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spacing w:line="360" w:lineRule="auto"/>
        <w:ind w:firstLine="260" w:firstLineChars="50"/>
        <w:jc w:val="center"/>
        <w:rPr>
          <w:rFonts w:ascii="楷体" w:hAnsi="楷体" w:eastAsia="楷体" w:cs="Times New Roman"/>
          <w:sz w:val="52"/>
          <w:szCs w:val="52"/>
        </w:rPr>
      </w:pPr>
    </w:p>
    <w:p>
      <w:pPr>
        <w:spacing w:line="360" w:lineRule="auto"/>
        <w:ind w:firstLine="240" w:firstLineChars="50"/>
        <w:jc w:val="center"/>
        <w:rPr>
          <w:rFonts w:ascii="楷体" w:hAnsi="楷体" w:eastAsia="楷体" w:cs="Times New Roman"/>
          <w:sz w:val="48"/>
          <w:szCs w:val="48"/>
        </w:rPr>
      </w:pPr>
      <w:r>
        <w:rPr>
          <w:rFonts w:hint="eastAsia" w:ascii="楷体" w:hAnsi="楷体" w:eastAsia="楷体" w:cs="Times New Roman"/>
          <w:sz w:val="48"/>
          <w:szCs w:val="48"/>
        </w:rPr>
        <w:t>保定市第一中医院</w:t>
      </w:r>
    </w:p>
    <w:p>
      <w:pPr>
        <w:spacing w:line="360" w:lineRule="auto"/>
        <w:ind w:firstLine="240" w:firstLineChars="50"/>
        <w:jc w:val="center"/>
        <w:rPr>
          <w:rFonts w:ascii="楷体" w:hAnsi="楷体" w:eastAsia="楷体" w:cs="Times New Roman"/>
          <w:sz w:val="48"/>
          <w:szCs w:val="48"/>
        </w:rPr>
      </w:pPr>
      <w:r>
        <w:rPr>
          <w:rFonts w:hint="eastAsia" w:ascii="楷体" w:hAnsi="楷体" w:eastAsia="楷体" w:cs="Times New Roman"/>
          <w:sz w:val="48"/>
          <w:szCs w:val="48"/>
        </w:rPr>
        <w:t>门诊、病房及综合培训楼新建项目</w:t>
      </w:r>
    </w:p>
    <w:p>
      <w:pPr>
        <w:spacing w:before="240" w:after="240" w:line="360" w:lineRule="auto"/>
        <w:ind w:firstLine="361" w:firstLineChars="50"/>
        <w:jc w:val="center"/>
        <w:rPr>
          <w:rFonts w:ascii="楷体" w:hAnsi="楷体" w:eastAsia="楷体" w:cs="Times New Roman"/>
          <w:b/>
          <w:sz w:val="72"/>
          <w:szCs w:val="72"/>
        </w:rPr>
      </w:pPr>
      <w:r>
        <w:rPr>
          <w:rFonts w:hint="eastAsia" w:ascii="楷体" w:hAnsi="楷体" w:eastAsia="楷体" w:cs="Times New Roman"/>
          <w:b/>
          <w:sz w:val="72"/>
          <w:szCs w:val="72"/>
        </w:rPr>
        <w:t>环境影响报告书</w:t>
      </w:r>
    </w:p>
    <w:p>
      <w:pPr>
        <w:spacing w:line="360" w:lineRule="auto"/>
        <w:ind w:firstLine="160" w:firstLineChars="50"/>
        <w:jc w:val="center"/>
        <w:rPr>
          <w:rFonts w:ascii="楷体" w:hAnsi="楷体" w:eastAsia="楷体" w:cs="Times New Roman"/>
          <w:sz w:val="32"/>
          <w:szCs w:val="32"/>
        </w:rPr>
      </w:pPr>
      <w:r>
        <w:rPr>
          <w:rFonts w:hint="eastAsia" w:ascii="楷体" w:hAnsi="楷体" w:eastAsia="楷体" w:cs="Times New Roman"/>
          <w:sz w:val="32"/>
          <w:szCs w:val="32"/>
        </w:rPr>
        <w:t>（报批版）</w:t>
      </w:r>
    </w:p>
    <w:p>
      <w:pPr>
        <w:spacing w:line="360" w:lineRule="auto"/>
        <w:ind w:firstLine="150" w:firstLineChars="50"/>
        <w:jc w:val="center"/>
        <w:rPr>
          <w:rFonts w:ascii="Times New Roman" w:hAnsi="Times New Roman" w:cs="Times New Roman"/>
          <w:sz w:val="30"/>
          <w:szCs w:val="30"/>
        </w:rPr>
      </w:pPr>
    </w:p>
    <w:p>
      <w:pPr>
        <w:spacing w:line="360" w:lineRule="auto"/>
        <w:ind w:firstLine="150" w:firstLineChars="50"/>
        <w:jc w:val="center"/>
        <w:rPr>
          <w:rFonts w:ascii="Times New Roman" w:hAnsi="Times New Roman" w:cs="Times New Roman"/>
          <w:sz w:val="30"/>
          <w:szCs w:val="30"/>
        </w:rPr>
      </w:pPr>
    </w:p>
    <w:p>
      <w:pPr>
        <w:spacing w:line="360" w:lineRule="auto"/>
        <w:ind w:firstLine="150" w:firstLineChars="50"/>
        <w:jc w:val="center"/>
        <w:rPr>
          <w:rFonts w:ascii="Times New Roman" w:hAnsi="Times New Roman" w:cs="Times New Roman"/>
          <w:sz w:val="30"/>
          <w:szCs w:val="30"/>
        </w:rPr>
      </w:pPr>
    </w:p>
    <w:p>
      <w:pPr>
        <w:spacing w:line="360" w:lineRule="auto"/>
        <w:ind w:firstLine="150" w:firstLineChars="50"/>
        <w:jc w:val="center"/>
        <w:rPr>
          <w:rFonts w:ascii="Times New Roman" w:hAnsi="Times New Roman" w:cs="Times New Roman"/>
          <w:sz w:val="30"/>
          <w:szCs w:val="30"/>
        </w:rPr>
      </w:pPr>
    </w:p>
    <w:p>
      <w:pPr>
        <w:spacing w:line="360" w:lineRule="auto"/>
        <w:ind w:firstLine="150" w:firstLineChars="50"/>
        <w:jc w:val="center"/>
        <w:rPr>
          <w:rFonts w:ascii="Times New Roman" w:hAnsi="Times New Roman" w:cs="Times New Roman"/>
          <w:sz w:val="30"/>
          <w:szCs w:val="30"/>
        </w:rPr>
      </w:pPr>
    </w:p>
    <w:p>
      <w:pPr>
        <w:spacing w:line="360" w:lineRule="auto"/>
        <w:ind w:firstLine="150" w:firstLineChars="50"/>
        <w:jc w:val="center"/>
        <w:rPr>
          <w:rFonts w:ascii="Times New Roman" w:hAnsi="Times New Roman" w:cs="Times New Roman"/>
          <w:sz w:val="30"/>
          <w:szCs w:val="30"/>
        </w:rPr>
      </w:pPr>
    </w:p>
    <w:p>
      <w:pPr>
        <w:spacing w:line="360" w:lineRule="auto"/>
        <w:ind w:firstLine="150" w:firstLineChars="50"/>
        <w:jc w:val="center"/>
        <w:rPr>
          <w:rFonts w:ascii="Times New Roman" w:hAnsi="Times New Roman" w:cs="Times New Roman"/>
          <w:sz w:val="30"/>
          <w:szCs w:val="30"/>
        </w:rPr>
      </w:pPr>
    </w:p>
    <w:p>
      <w:pPr>
        <w:spacing w:line="360" w:lineRule="auto"/>
        <w:ind w:firstLine="150" w:firstLineChars="50"/>
        <w:jc w:val="center"/>
        <w:rPr>
          <w:rFonts w:ascii="Times New Roman" w:hAnsi="Times New Roman" w:cs="Times New Roman"/>
          <w:sz w:val="30"/>
          <w:szCs w:val="30"/>
        </w:rPr>
      </w:pPr>
    </w:p>
    <w:p>
      <w:pPr>
        <w:ind w:firstLine="1760" w:firstLineChars="550"/>
        <w:rPr>
          <w:rFonts w:ascii="楷体" w:hAnsi="楷体" w:eastAsia="楷体"/>
          <w:sz w:val="32"/>
          <w:szCs w:val="32"/>
        </w:rPr>
      </w:pPr>
      <w:r>
        <w:rPr>
          <w:rFonts w:hint="eastAsia" w:ascii="楷体" w:hAnsi="楷体" w:eastAsia="楷体"/>
          <w:sz w:val="32"/>
          <w:szCs w:val="32"/>
        </w:rPr>
        <w:t>建设单位：保定市第一中医院</w:t>
      </w:r>
    </w:p>
    <w:p>
      <w:pPr>
        <w:ind w:firstLine="1760" w:firstLineChars="550"/>
        <w:jc w:val="left"/>
        <w:rPr>
          <w:rFonts w:ascii="楷体" w:hAnsi="楷体" w:eastAsia="楷体"/>
          <w:sz w:val="32"/>
          <w:szCs w:val="32"/>
        </w:rPr>
      </w:pPr>
      <w:r>
        <w:rPr>
          <w:rFonts w:hint="eastAsia" w:ascii="楷体" w:hAnsi="楷体" w:eastAsia="楷体"/>
          <w:sz w:val="32"/>
          <w:szCs w:val="32"/>
        </w:rPr>
        <w:t>评价单位：保定市新澜环保技术咨询有限公司</w:t>
      </w:r>
    </w:p>
    <w:p>
      <w:pPr>
        <w:ind w:firstLine="1760" w:firstLineChars="550"/>
        <w:jc w:val="left"/>
        <w:rPr>
          <w:rFonts w:ascii="楷体" w:hAnsi="楷体" w:eastAsia="楷体"/>
          <w:sz w:val="32"/>
          <w:szCs w:val="32"/>
        </w:rPr>
      </w:pPr>
      <w:r>
        <w:rPr>
          <w:rFonts w:hint="eastAsia" w:ascii="楷体" w:hAnsi="楷体" w:eastAsia="楷体"/>
          <w:sz w:val="32"/>
          <w:szCs w:val="32"/>
        </w:rPr>
        <w:t>编制日期：二零一九年七月</w:t>
      </w:r>
    </w:p>
    <w:p>
      <w:pPr>
        <w:spacing w:line="360" w:lineRule="auto"/>
        <w:ind w:firstLine="150" w:firstLineChars="50"/>
        <w:jc w:val="center"/>
        <w:rPr>
          <w:rFonts w:ascii="Times New Roman" w:hAnsi="Times New Roman" w:cs="Times New Roman"/>
          <w:sz w:val="30"/>
          <w:szCs w:val="30"/>
        </w:rPr>
        <w:sectPr>
          <w:headerReference r:id="rId3" w:type="default"/>
          <w:footerReference r:id="rId4" w:type="default"/>
          <w:pgSz w:w="11906" w:h="16838"/>
          <w:pgMar w:top="1440" w:right="1800" w:bottom="1440" w:left="1800" w:header="851" w:footer="992" w:gutter="0"/>
          <w:pgNumType w:fmt="upperRoman" w:start="1"/>
          <w:cols w:space="425" w:num="1"/>
          <w:docGrid w:type="lines" w:linePitch="312" w:charSpace="0"/>
        </w:sectPr>
      </w:pPr>
    </w:p>
    <w:p>
      <w:pPr>
        <w:spacing w:line="360" w:lineRule="auto"/>
        <w:ind w:firstLine="120" w:firstLineChars="50"/>
        <w:jc w:val="center"/>
        <w:rPr>
          <w:rFonts w:ascii="Times New Roman" w:hAnsi="Times New Roman" w:cs="Times New Roman" w:eastAsiaTheme="majorEastAsia"/>
          <w:b/>
          <w:sz w:val="24"/>
          <w:szCs w:val="24"/>
        </w:rPr>
      </w:pPr>
      <w:r>
        <w:rPr>
          <w:rFonts w:ascii="Times New Roman" w:cs="Times New Roman" w:hAnsiTheme="majorEastAsia" w:eastAsiaTheme="majorEastAsia"/>
          <w:b/>
          <w:sz w:val="24"/>
          <w:szCs w:val="24"/>
        </w:rPr>
        <w:t>目</w:t>
      </w:r>
      <w:r>
        <w:rPr>
          <w:rFonts w:ascii="Times New Roman" w:hAnsi="Times New Roman" w:cs="Times New Roman" w:eastAsiaTheme="majorEastAsia"/>
          <w:b/>
          <w:sz w:val="24"/>
          <w:szCs w:val="24"/>
        </w:rPr>
        <w:t xml:space="preserve">    </w:t>
      </w:r>
      <w:r>
        <w:rPr>
          <w:rFonts w:ascii="Times New Roman" w:cs="Times New Roman" w:hAnsiTheme="majorEastAsia" w:eastAsiaTheme="majorEastAsia"/>
          <w:b/>
          <w:sz w:val="24"/>
          <w:szCs w:val="24"/>
        </w:rPr>
        <w:t>录</w:t>
      </w:r>
    </w:p>
    <w:p>
      <w:pPr>
        <w:pStyle w:val="19"/>
        <w:tabs>
          <w:tab w:val="right" w:leader="dot" w:pos="8296"/>
        </w:tabs>
        <w:rPr>
          <w:rFonts w:ascii="Times New Roman" w:hAnsi="Times New Roman" w:cs="Times New Roman" w:eastAsiaTheme="majorEastAsia"/>
          <w:b w:val="0"/>
          <w:bCs w:val="0"/>
          <w:caps w:val="0"/>
          <w:sz w:val="24"/>
          <w:szCs w:val="24"/>
        </w:rPr>
      </w:pP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TOC \o "1-2" \h \z \u </w:instrText>
      </w:r>
      <w:r>
        <w:rPr>
          <w:rFonts w:ascii="Times New Roman" w:hAnsi="Times New Roman" w:cs="Times New Roman" w:eastAsiaTheme="majorEastAsia"/>
          <w:sz w:val="24"/>
          <w:szCs w:val="24"/>
        </w:rPr>
        <w:fldChar w:fldCharType="separate"/>
      </w:r>
      <w:r>
        <w:fldChar w:fldCharType="begin"/>
      </w:r>
      <w:r>
        <w:instrText xml:space="preserve"> HYPERLINK \l "_Toc13725328" </w:instrText>
      </w:r>
      <w:r>
        <w:fldChar w:fldCharType="separate"/>
      </w:r>
      <w:r>
        <w:rPr>
          <w:rStyle w:val="30"/>
          <w:rFonts w:ascii="Times New Roman" w:hAnsi="Times New Roman" w:cs="Times New Roman" w:eastAsiaTheme="majorEastAsia"/>
          <w:sz w:val="24"/>
          <w:szCs w:val="24"/>
        </w:rPr>
        <w:t>1.</w:t>
      </w:r>
      <w:r>
        <w:rPr>
          <w:rStyle w:val="30"/>
          <w:rFonts w:ascii="Times New Roman" w:cs="Times New Roman" w:hAnsiTheme="majorEastAsia" w:eastAsiaTheme="majorEastAsia"/>
          <w:sz w:val="24"/>
          <w:szCs w:val="24"/>
        </w:rPr>
        <w:t>概述</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_Toc13725328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1</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"_Toc13725329" </w:instrText>
      </w:r>
      <w:r>
        <w:fldChar w:fldCharType="separate"/>
      </w:r>
      <w:r>
        <w:rPr>
          <w:rStyle w:val="30"/>
          <w:rFonts w:ascii="Times New Roman" w:hAnsi="Times New Roman" w:cs="Times New Roman" w:eastAsiaTheme="majorEastAsia"/>
          <w:sz w:val="24"/>
          <w:szCs w:val="24"/>
        </w:rPr>
        <w:t>1.1</w:t>
      </w:r>
      <w:r>
        <w:rPr>
          <w:rStyle w:val="30"/>
          <w:rFonts w:ascii="Times New Roman" w:cs="Times New Roman" w:hAnsiTheme="majorEastAsia" w:eastAsiaTheme="majorEastAsia"/>
          <w:sz w:val="24"/>
          <w:szCs w:val="24"/>
        </w:rPr>
        <w:t>项目背景</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_Toc13725329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1</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"_Toc13725330" </w:instrText>
      </w:r>
      <w:r>
        <w:fldChar w:fldCharType="separate"/>
      </w:r>
      <w:r>
        <w:rPr>
          <w:rStyle w:val="30"/>
          <w:rFonts w:ascii="Times New Roman" w:hAnsi="Times New Roman" w:cs="Times New Roman" w:eastAsiaTheme="majorEastAsia"/>
          <w:sz w:val="24"/>
          <w:szCs w:val="24"/>
        </w:rPr>
        <w:t>1.2</w:t>
      </w:r>
      <w:r>
        <w:rPr>
          <w:rStyle w:val="30"/>
          <w:rFonts w:ascii="Times New Roman" w:cs="Times New Roman" w:hAnsiTheme="majorEastAsia" w:eastAsiaTheme="majorEastAsia"/>
          <w:sz w:val="24"/>
          <w:szCs w:val="24"/>
        </w:rPr>
        <w:t>项目特点</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_Toc13725330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2</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"_Toc13725331" </w:instrText>
      </w:r>
      <w:r>
        <w:fldChar w:fldCharType="separate"/>
      </w:r>
      <w:r>
        <w:rPr>
          <w:rStyle w:val="30"/>
          <w:rFonts w:ascii="Times New Roman" w:hAnsi="Times New Roman" w:cs="Times New Roman" w:eastAsiaTheme="majorEastAsia"/>
          <w:sz w:val="24"/>
          <w:szCs w:val="24"/>
        </w:rPr>
        <w:t>1.3</w:t>
      </w:r>
      <w:r>
        <w:rPr>
          <w:rStyle w:val="30"/>
          <w:rFonts w:ascii="Times New Roman" w:cs="Times New Roman" w:hAnsiTheme="majorEastAsia" w:eastAsiaTheme="majorEastAsia"/>
          <w:sz w:val="24"/>
          <w:szCs w:val="24"/>
        </w:rPr>
        <w:t>评价过程</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_Toc13725331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2</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"_Toc13725332" </w:instrText>
      </w:r>
      <w:r>
        <w:fldChar w:fldCharType="separate"/>
      </w:r>
      <w:r>
        <w:rPr>
          <w:rStyle w:val="30"/>
          <w:rFonts w:ascii="Times New Roman" w:hAnsi="Times New Roman" w:cs="Times New Roman" w:eastAsiaTheme="majorEastAsia"/>
          <w:sz w:val="24"/>
          <w:szCs w:val="24"/>
        </w:rPr>
        <w:t>1.4</w:t>
      </w:r>
      <w:r>
        <w:rPr>
          <w:rStyle w:val="30"/>
          <w:rFonts w:ascii="Times New Roman" w:cs="Times New Roman" w:hAnsiTheme="majorEastAsia" w:eastAsiaTheme="majorEastAsia"/>
          <w:sz w:val="24"/>
          <w:szCs w:val="24"/>
        </w:rPr>
        <w:t>分析判定相关情况</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_Toc13725332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3</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"_Toc13725333" </w:instrText>
      </w:r>
      <w:r>
        <w:fldChar w:fldCharType="separate"/>
      </w:r>
      <w:r>
        <w:rPr>
          <w:rStyle w:val="30"/>
          <w:rFonts w:ascii="Times New Roman" w:hAnsi="Times New Roman" w:cs="Times New Roman" w:eastAsiaTheme="majorEastAsia"/>
          <w:sz w:val="24"/>
          <w:szCs w:val="24"/>
        </w:rPr>
        <w:t>1.5</w:t>
      </w:r>
      <w:r>
        <w:rPr>
          <w:rStyle w:val="30"/>
          <w:rFonts w:ascii="Times New Roman" w:cs="Times New Roman" w:hAnsiTheme="majorEastAsia" w:eastAsiaTheme="majorEastAsia"/>
          <w:sz w:val="24"/>
          <w:szCs w:val="24"/>
        </w:rPr>
        <w:t>关注的主要环境问题</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_Toc13725333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5</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"_Toc13725334" </w:instrText>
      </w:r>
      <w:r>
        <w:fldChar w:fldCharType="separate"/>
      </w:r>
      <w:r>
        <w:rPr>
          <w:rStyle w:val="30"/>
          <w:rFonts w:ascii="Times New Roman" w:hAnsi="Times New Roman" w:cs="Times New Roman" w:eastAsiaTheme="majorEastAsia"/>
          <w:sz w:val="24"/>
          <w:szCs w:val="24"/>
        </w:rPr>
        <w:t>1.6</w:t>
      </w:r>
      <w:r>
        <w:rPr>
          <w:rStyle w:val="30"/>
          <w:rFonts w:ascii="Times New Roman" w:cs="Times New Roman" w:hAnsiTheme="majorEastAsia" w:eastAsiaTheme="majorEastAsia"/>
          <w:sz w:val="24"/>
          <w:szCs w:val="24"/>
        </w:rPr>
        <w:t>现有院区存在环境问题及解决措施</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_Toc13725334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5</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"_Toc13725335" </w:instrText>
      </w:r>
      <w:r>
        <w:fldChar w:fldCharType="separate"/>
      </w:r>
      <w:r>
        <w:rPr>
          <w:rStyle w:val="30"/>
          <w:rFonts w:ascii="Times New Roman" w:hAnsi="Times New Roman" w:cs="Times New Roman" w:eastAsiaTheme="majorEastAsia"/>
          <w:sz w:val="24"/>
          <w:szCs w:val="24"/>
        </w:rPr>
        <w:t>1.7</w:t>
      </w:r>
      <w:r>
        <w:rPr>
          <w:rStyle w:val="30"/>
          <w:rFonts w:ascii="Times New Roman" w:cs="Times New Roman" w:hAnsiTheme="majorEastAsia" w:eastAsiaTheme="majorEastAsia"/>
          <w:sz w:val="24"/>
          <w:szCs w:val="24"/>
        </w:rPr>
        <w:t>主要结论</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_Toc13725335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5</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"_Toc13725336" </w:instrText>
      </w:r>
      <w:r>
        <w:fldChar w:fldCharType="separate"/>
      </w:r>
      <w:r>
        <w:rPr>
          <w:rStyle w:val="30"/>
          <w:rFonts w:ascii="Times New Roman" w:hAnsi="Times New Roman" w:cs="Times New Roman" w:eastAsiaTheme="majorEastAsia"/>
          <w:sz w:val="24"/>
          <w:szCs w:val="24"/>
        </w:rPr>
        <w:t>1.7</w:t>
      </w:r>
      <w:r>
        <w:rPr>
          <w:rStyle w:val="30"/>
          <w:rFonts w:ascii="Times New Roman" w:cs="Times New Roman" w:hAnsiTheme="majorEastAsia" w:eastAsiaTheme="majorEastAsia"/>
          <w:sz w:val="24"/>
          <w:szCs w:val="24"/>
        </w:rPr>
        <w:t>致谢</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_Toc13725336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6</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19"/>
        <w:tabs>
          <w:tab w:val="right" w:leader="dot" w:pos="8296"/>
        </w:tabs>
        <w:rPr>
          <w:rFonts w:ascii="Times New Roman" w:hAnsi="Times New Roman" w:cs="Times New Roman" w:eastAsiaTheme="majorEastAsia"/>
          <w:b w:val="0"/>
          <w:bCs w:val="0"/>
          <w:caps w:val="0"/>
          <w:sz w:val="24"/>
          <w:szCs w:val="24"/>
        </w:rPr>
      </w:pPr>
      <w:r>
        <w:fldChar w:fldCharType="begin"/>
      </w:r>
      <w:r>
        <w:instrText xml:space="preserve"> HYPERLINK \l "_Toc13725337" </w:instrText>
      </w:r>
      <w:r>
        <w:fldChar w:fldCharType="separate"/>
      </w:r>
      <w:r>
        <w:rPr>
          <w:rStyle w:val="30"/>
          <w:rFonts w:ascii="Times New Roman" w:hAnsi="Times New Roman" w:cs="Times New Roman" w:eastAsiaTheme="majorEastAsia"/>
          <w:sz w:val="24"/>
          <w:szCs w:val="24"/>
        </w:rPr>
        <w:t>2.</w:t>
      </w:r>
      <w:r>
        <w:rPr>
          <w:rStyle w:val="30"/>
          <w:rFonts w:ascii="Times New Roman" w:cs="Times New Roman" w:hAnsiTheme="majorEastAsia" w:eastAsiaTheme="majorEastAsia"/>
          <w:sz w:val="24"/>
          <w:szCs w:val="24"/>
        </w:rPr>
        <w:t>总则</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_Toc13725337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7</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"_Toc13725338" </w:instrText>
      </w:r>
      <w:r>
        <w:fldChar w:fldCharType="separate"/>
      </w:r>
      <w:r>
        <w:rPr>
          <w:rStyle w:val="30"/>
          <w:rFonts w:ascii="Times New Roman" w:hAnsi="Times New Roman" w:cs="Times New Roman" w:eastAsiaTheme="majorEastAsia"/>
          <w:sz w:val="24"/>
          <w:szCs w:val="24"/>
        </w:rPr>
        <w:t>2.1</w:t>
      </w:r>
      <w:r>
        <w:rPr>
          <w:rStyle w:val="30"/>
          <w:rFonts w:ascii="Times New Roman" w:cs="Times New Roman" w:hAnsiTheme="majorEastAsia" w:eastAsiaTheme="majorEastAsia"/>
          <w:sz w:val="24"/>
          <w:szCs w:val="24"/>
        </w:rPr>
        <w:t>编制依据</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_Toc13725338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7</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"_Toc13725339" </w:instrText>
      </w:r>
      <w:r>
        <w:fldChar w:fldCharType="separate"/>
      </w:r>
      <w:r>
        <w:rPr>
          <w:rStyle w:val="30"/>
          <w:rFonts w:ascii="Times New Roman" w:hAnsi="Times New Roman" w:cs="Times New Roman" w:eastAsiaTheme="majorEastAsia"/>
          <w:sz w:val="24"/>
          <w:szCs w:val="24"/>
        </w:rPr>
        <w:t>2.2</w:t>
      </w:r>
      <w:r>
        <w:rPr>
          <w:rStyle w:val="30"/>
          <w:rFonts w:ascii="Times New Roman" w:cs="Times New Roman" w:hAnsiTheme="majorEastAsia" w:eastAsiaTheme="majorEastAsia"/>
          <w:sz w:val="24"/>
          <w:szCs w:val="24"/>
        </w:rPr>
        <w:t>评价目的</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_Toc13725339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11</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"_Toc13725340" </w:instrText>
      </w:r>
      <w:r>
        <w:fldChar w:fldCharType="separate"/>
      </w:r>
      <w:r>
        <w:rPr>
          <w:rStyle w:val="30"/>
          <w:rFonts w:ascii="Times New Roman" w:hAnsi="Times New Roman" w:cs="Times New Roman" w:eastAsiaTheme="majorEastAsia"/>
          <w:sz w:val="24"/>
          <w:szCs w:val="24"/>
        </w:rPr>
        <w:t>2.3</w:t>
      </w:r>
      <w:r>
        <w:rPr>
          <w:rStyle w:val="30"/>
          <w:rFonts w:ascii="Times New Roman" w:cs="Times New Roman" w:hAnsiTheme="majorEastAsia" w:eastAsiaTheme="majorEastAsia"/>
          <w:sz w:val="24"/>
          <w:szCs w:val="24"/>
        </w:rPr>
        <w:t>评价原则</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_Toc13725340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12</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"_Toc13725341" </w:instrText>
      </w:r>
      <w:r>
        <w:fldChar w:fldCharType="separate"/>
      </w:r>
      <w:r>
        <w:rPr>
          <w:rStyle w:val="30"/>
          <w:rFonts w:ascii="Times New Roman" w:hAnsi="Times New Roman" w:cs="Times New Roman" w:eastAsiaTheme="majorEastAsia"/>
          <w:sz w:val="24"/>
          <w:szCs w:val="24"/>
        </w:rPr>
        <w:t>2.4</w:t>
      </w:r>
      <w:r>
        <w:rPr>
          <w:rStyle w:val="30"/>
          <w:rFonts w:ascii="Times New Roman" w:cs="Times New Roman" w:hAnsiTheme="majorEastAsia" w:eastAsiaTheme="majorEastAsia"/>
          <w:sz w:val="24"/>
          <w:szCs w:val="24"/>
        </w:rPr>
        <w:t>环境影响要素识别与评价因子筛选</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_Toc13725341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12</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"_Toc13725342" </w:instrText>
      </w:r>
      <w:r>
        <w:fldChar w:fldCharType="separate"/>
      </w:r>
      <w:r>
        <w:rPr>
          <w:rStyle w:val="30"/>
          <w:rFonts w:ascii="Times New Roman" w:hAnsi="Times New Roman" w:cs="Times New Roman" w:eastAsiaTheme="majorEastAsia"/>
          <w:sz w:val="24"/>
          <w:szCs w:val="24"/>
        </w:rPr>
        <w:t>2.5</w:t>
      </w:r>
      <w:r>
        <w:rPr>
          <w:rStyle w:val="30"/>
          <w:rFonts w:ascii="Times New Roman" w:cs="Times New Roman" w:hAnsiTheme="majorEastAsia" w:eastAsiaTheme="majorEastAsia"/>
          <w:sz w:val="24"/>
          <w:szCs w:val="24"/>
        </w:rPr>
        <w:t>评价等级</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_Toc13725342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14</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"_Toc13725343" </w:instrText>
      </w:r>
      <w:r>
        <w:fldChar w:fldCharType="separate"/>
      </w:r>
      <w:r>
        <w:rPr>
          <w:rStyle w:val="30"/>
          <w:rFonts w:ascii="Times New Roman" w:hAnsi="Times New Roman" w:cs="Times New Roman" w:eastAsiaTheme="majorEastAsia"/>
          <w:sz w:val="24"/>
          <w:szCs w:val="24"/>
        </w:rPr>
        <w:t>2.6</w:t>
      </w:r>
      <w:r>
        <w:rPr>
          <w:rStyle w:val="30"/>
          <w:rFonts w:ascii="Times New Roman" w:cs="Times New Roman" w:hAnsiTheme="majorEastAsia" w:eastAsiaTheme="majorEastAsia"/>
          <w:sz w:val="24"/>
          <w:szCs w:val="24"/>
        </w:rPr>
        <w:t>评价范围</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_Toc13725343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19</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"_Toc13725344" </w:instrText>
      </w:r>
      <w:r>
        <w:fldChar w:fldCharType="separate"/>
      </w:r>
      <w:r>
        <w:rPr>
          <w:rStyle w:val="30"/>
          <w:rFonts w:ascii="Times New Roman" w:hAnsi="Times New Roman" w:cs="Times New Roman" w:eastAsiaTheme="majorEastAsia"/>
          <w:sz w:val="24"/>
          <w:szCs w:val="24"/>
        </w:rPr>
        <w:t>2.7</w:t>
      </w:r>
      <w:r>
        <w:rPr>
          <w:rStyle w:val="30"/>
          <w:rFonts w:ascii="Times New Roman" w:cs="Times New Roman" w:hAnsiTheme="majorEastAsia" w:eastAsiaTheme="majorEastAsia"/>
          <w:sz w:val="24"/>
          <w:szCs w:val="24"/>
        </w:rPr>
        <w:t>评价内容与评价重点</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_Toc13725344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20</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"_Toc13725345" </w:instrText>
      </w:r>
      <w:r>
        <w:fldChar w:fldCharType="separate"/>
      </w:r>
      <w:r>
        <w:rPr>
          <w:rStyle w:val="30"/>
          <w:rFonts w:ascii="Times New Roman" w:hAnsi="Times New Roman" w:cs="Times New Roman" w:eastAsiaTheme="majorEastAsia"/>
          <w:sz w:val="24"/>
          <w:szCs w:val="24"/>
        </w:rPr>
        <w:t>2.8</w:t>
      </w:r>
      <w:r>
        <w:rPr>
          <w:rStyle w:val="30"/>
          <w:rFonts w:ascii="Times New Roman" w:cs="Times New Roman" w:hAnsiTheme="majorEastAsia" w:eastAsiaTheme="majorEastAsia"/>
          <w:sz w:val="24"/>
          <w:szCs w:val="24"/>
        </w:rPr>
        <w:t>环境功能区划</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_Toc13725345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20</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"_Toc13725346" </w:instrText>
      </w:r>
      <w:r>
        <w:fldChar w:fldCharType="separate"/>
      </w:r>
      <w:r>
        <w:rPr>
          <w:rStyle w:val="30"/>
          <w:rFonts w:ascii="Times New Roman" w:hAnsi="Times New Roman" w:cs="Times New Roman" w:eastAsiaTheme="majorEastAsia"/>
          <w:sz w:val="24"/>
          <w:szCs w:val="24"/>
        </w:rPr>
        <w:t>2.9</w:t>
      </w:r>
      <w:r>
        <w:rPr>
          <w:rStyle w:val="30"/>
          <w:rFonts w:ascii="Times New Roman" w:cs="Times New Roman" w:hAnsiTheme="majorEastAsia" w:eastAsiaTheme="majorEastAsia"/>
          <w:sz w:val="24"/>
          <w:szCs w:val="24"/>
        </w:rPr>
        <w:t>环境保护目标</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_Toc13725346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21</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"_Toc13725347" </w:instrText>
      </w:r>
      <w:r>
        <w:fldChar w:fldCharType="separate"/>
      </w:r>
      <w:r>
        <w:rPr>
          <w:rStyle w:val="30"/>
          <w:rFonts w:ascii="Times New Roman" w:hAnsi="Times New Roman" w:cs="Times New Roman" w:eastAsiaTheme="majorEastAsia"/>
          <w:sz w:val="24"/>
          <w:szCs w:val="24"/>
        </w:rPr>
        <w:t>2.10</w:t>
      </w:r>
      <w:r>
        <w:rPr>
          <w:rStyle w:val="30"/>
          <w:rFonts w:ascii="Times New Roman" w:cs="Times New Roman" w:hAnsiTheme="majorEastAsia" w:eastAsiaTheme="majorEastAsia"/>
          <w:sz w:val="24"/>
          <w:szCs w:val="24"/>
        </w:rPr>
        <w:t>评价标准</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_Toc13725347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22</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19"/>
        <w:tabs>
          <w:tab w:val="right" w:leader="dot" w:pos="8296"/>
        </w:tabs>
        <w:rPr>
          <w:rFonts w:ascii="Times New Roman" w:hAnsi="Times New Roman" w:cs="Times New Roman" w:eastAsiaTheme="majorEastAsia"/>
          <w:b w:val="0"/>
          <w:bCs w:val="0"/>
          <w:caps w:val="0"/>
          <w:sz w:val="24"/>
          <w:szCs w:val="24"/>
        </w:rPr>
      </w:pPr>
      <w:r>
        <w:fldChar w:fldCharType="begin"/>
      </w:r>
      <w:r>
        <w:instrText xml:space="preserve"> HYPERLINK \l "_Toc13725348" </w:instrText>
      </w:r>
      <w:r>
        <w:fldChar w:fldCharType="separate"/>
      </w:r>
      <w:r>
        <w:rPr>
          <w:rStyle w:val="30"/>
          <w:rFonts w:ascii="Times New Roman" w:hAnsi="Times New Roman" w:cs="Times New Roman" w:eastAsiaTheme="majorEastAsia"/>
          <w:sz w:val="24"/>
          <w:szCs w:val="24"/>
        </w:rPr>
        <w:t>3.</w:t>
      </w:r>
      <w:r>
        <w:rPr>
          <w:rStyle w:val="30"/>
          <w:rFonts w:ascii="Times New Roman" w:cs="Times New Roman" w:hAnsiTheme="majorEastAsia" w:eastAsiaTheme="majorEastAsia"/>
          <w:sz w:val="24"/>
          <w:szCs w:val="24"/>
        </w:rPr>
        <w:t>建设项目工程分析</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_Toc13725348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28</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"_Toc13725349" </w:instrText>
      </w:r>
      <w:r>
        <w:fldChar w:fldCharType="separate"/>
      </w:r>
      <w:r>
        <w:rPr>
          <w:rStyle w:val="30"/>
          <w:rFonts w:ascii="Times New Roman" w:hAnsi="Times New Roman" w:cs="Times New Roman" w:eastAsiaTheme="majorEastAsia"/>
          <w:sz w:val="24"/>
          <w:szCs w:val="24"/>
        </w:rPr>
        <w:t>3.1</w:t>
      </w:r>
      <w:r>
        <w:rPr>
          <w:rStyle w:val="30"/>
          <w:rFonts w:ascii="Times New Roman" w:cs="Times New Roman" w:hAnsiTheme="majorEastAsia" w:eastAsiaTheme="majorEastAsia"/>
          <w:sz w:val="24"/>
          <w:szCs w:val="24"/>
        </w:rPr>
        <w:t>项目概况</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_Toc13725349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28</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"_Toc13725350" </w:instrText>
      </w:r>
      <w:r>
        <w:fldChar w:fldCharType="separate"/>
      </w:r>
      <w:r>
        <w:rPr>
          <w:rStyle w:val="30"/>
          <w:rFonts w:ascii="Times New Roman" w:hAnsi="Times New Roman" w:cs="Times New Roman" w:eastAsiaTheme="majorEastAsia"/>
          <w:sz w:val="24"/>
          <w:szCs w:val="24"/>
        </w:rPr>
        <w:t>3.2</w:t>
      </w:r>
      <w:r>
        <w:rPr>
          <w:rStyle w:val="30"/>
          <w:rFonts w:ascii="Times New Roman" w:cs="Times New Roman" w:hAnsiTheme="majorEastAsia" w:eastAsiaTheme="majorEastAsia"/>
          <w:sz w:val="24"/>
          <w:szCs w:val="24"/>
        </w:rPr>
        <w:t>营运期工艺流程及产污节点</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_Toc13725350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35</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"_Toc13725351" </w:instrText>
      </w:r>
      <w:r>
        <w:fldChar w:fldCharType="separate"/>
      </w:r>
      <w:r>
        <w:rPr>
          <w:rStyle w:val="30"/>
          <w:rFonts w:ascii="Times New Roman" w:hAnsi="Times New Roman" w:cs="Times New Roman" w:eastAsiaTheme="majorEastAsia"/>
          <w:sz w:val="24"/>
          <w:szCs w:val="24"/>
        </w:rPr>
        <w:t>3.3</w:t>
      </w:r>
      <w:r>
        <w:rPr>
          <w:rStyle w:val="30"/>
          <w:rFonts w:ascii="Times New Roman" w:cs="Times New Roman" w:hAnsiTheme="majorEastAsia" w:eastAsiaTheme="majorEastAsia"/>
          <w:sz w:val="24"/>
          <w:szCs w:val="24"/>
        </w:rPr>
        <w:t>项目主要污染源、污染物及污染防治措施</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_Toc13725351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36</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"_Toc13725352" </w:instrText>
      </w:r>
      <w:r>
        <w:fldChar w:fldCharType="separate"/>
      </w:r>
      <w:r>
        <w:rPr>
          <w:rStyle w:val="30"/>
          <w:rFonts w:ascii="Times New Roman" w:hAnsi="Times New Roman" w:cs="Times New Roman" w:eastAsiaTheme="majorEastAsia"/>
          <w:sz w:val="24"/>
          <w:szCs w:val="24"/>
        </w:rPr>
        <w:t>3.4</w:t>
      </w:r>
      <w:r>
        <w:rPr>
          <w:rStyle w:val="30"/>
          <w:rFonts w:ascii="Times New Roman" w:cs="Times New Roman" w:hAnsiTheme="majorEastAsia" w:eastAsiaTheme="majorEastAsia"/>
          <w:sz w:val="24"/>
          <w:szCs w:val="24"/>
        </w:rPr>
        <w:t>总量控制要求</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_Toc13725352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43</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19"/>
        <w:tabs>
          <w:tab w:val="right" w:leader="dot" w:pos="8296"/>
        </w:tabs>
        <w:rPr>
          <w:rFonts w:ascii="Times New Roman" w:hAnsi="Times New Roman" w:cs="Times New Roman" w:eastAsiaTheme="majorEastAsia"/>
          <w:b w:val="0"/>
          <w:bCs w:val="0"/>
          <w:caps w:val="0"/>
          <w:sz w:val="24"/>
          <w:szCs w:val="24"/>
        </w:rPr>
      </w:pPr>
      <w:r>
        <w:fldChar w:fldCharType="begin"/>
      </w:r>
      <w:r>
        <w:instrText xml:space="preserve"> HYPERLINK \l "_Toc13725353" </w:instrText>
      </w:r>
      <w:r>
        <w:fldChar w:fldCharType="separate"/>
      </w:r>
      <w:r>
        <w:rPr>
          <w:rStyle w:val="30"/>
          <w:rFonts w:ascii="Times New Roman" w:hAnsi="Times New Roman" w:cs="Times New Roman" w:eastAsiaTheme="majorEastAsia"/>
          <w:sz w:val="24"/>
          <w:szCs w:val="24"/>
        </w:rPr>
        <w:t>4.</w:t>
      </w:r>
      <w:r>
        <w:rPr>
          <w:rStyle w:val="30"/>
          <w:rFonts w:ascii="Times New Roman" w:cs="Times New Roman" w:hAnsiTheme="majorEastAsia" w:eastAsiaTheme="majorEastAsia"/>
          <w:sz w:val="24"/>
          <w:szCs w:val="24"/>
        </w:rPr>
        <w:t>环境现状调查与评价</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_Toc13725353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44</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"_Toc13725354" </w:instrText>
      </w:r>
      <w:r>
        <w:fldChar w:fldCharType="separate"/>
      </w:r>
      <w:r>
        <w:rPr>
          <w:rStyle w:val="30"/>
          <w:rFonts w:ascii="Times New Roman" w:hAnsi="Times New Roman" w:cs="Times New Roman" w:eastAsiaTheme="majorEastAsia"/>
          <w:sz w:val="24"/>
          <w:szCs w:val="24"/>
        </w:rPr>
        <w:t>4.1</w:t>
      </w:r>
      <w:r>
        <w:rPr>
          <w:rStyle w:val="30"/>
          <w:rFonts w:ascii="Times New Roman" w:cs="Times New Roman" w:hAnsiTheme="majorEastAsia" w:eastAsiaTheme="majorEastAsia"/>
          <w:sz w:val="24"/>
          <w:szCs w:val="24"/>
        </w:rPr>
        <w:t>项目区域自然环境概况</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_Toc13725354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44</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"_Toc13725355" </w:instrText>
      </w:r>
      <w:r>
        <w:fldChar w:fldCharType="separate"/>
      </w:r>
      <w:r>
        <w:rPr>
          <w:rStyle w:val="30"/>
          <w:rFonts w:ascii="Times New Roman" w:hAnsi="Times New Roman" w:cs="Times New Roman" w:eastAsiaTheme="majorEastAsia"/>
          <w:sz w:val="24"/>
          <w:szCs w:val="24"/>
        </w:rPr>
        <w:t>4.2</w:t>
      </w:r>
      <w:r>
        <w:rPr>
          <w:rStyle w:val="30"/>
          <w:rFonts w:ascii="Times New Roman" w:cs="Times New Roman" w:hAnsiTheme="majorEastAsia" w:eastAsiaTheme="majorEastAsia"/>
          <w:sz w:val="24"/>
          <w:szCs w:val="24"/>
        </w:rPr>
        <w:t>相关规划符合性分析</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_Toc13725355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49</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19"/>
        <w:tabs>
          <w:tab w:val="right" w:leader="dot" w:pos="8296"/>
        </w:tabs>
        <w:rPr>
          <w:rFonts w:ascii="Times New Roman" w:hAnsi="Times New Roman" w:cs="Times New Roman" w:eastAsiaTheme="majorEastAsia"/>
          <w:b w:val="0"/>
          <w:bCs w:val="0"/>
          <w:caps w:val="0"/>
          <w:sz w:val="24"/>
          <w:szCs w:val="24"/>
        </w:rPr>
      </w:pPr>
      <w:r>
        <w:fldChar w:fldCharType="begin"/>
      </w:r>
      <w:r>
        <w:instrText xml:space="preserve"> HYPERLINK \l "_Toc13725356" </w:instrText>
      </w:r>
      <w:r>
        <w:fldChar w:fldCharType="separate"/>
      </w:r>
      <w:r>
        <w:rPr>
          <w:rStyle w:val="30"/>
          <w:rFonts w:ascii="Times New Roman" w:hAnsi="Times New Roman" w:cs="Times New Roman" w:eastAsiaTheme="majorEastAsia"/>
          <w:sz w:val="24"/>
          <w:szCs w:val="24"/>
        </w:rPr>
        <w:t>5.</w:t>
      </w:r>
      <w:r>
        <w:rPr>
          <w:rStyle w:val="30"/>
          <w:rFonts w:ascii="Times New Roman" w:cs="Times New Roman" w:hAnsiTheme="majorEastAsia" w:eastAsiaTheme="majorEastAsia"/>
          <w:sz w:val="24"/>
          <w:szCs w:val="24"/>
        </w:rPr>
        <w:t>环境影响预测与评价</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_Toc13725356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65</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"_Toc13725357" </w:instrText>
      </w:r>
      <w:r>
        <w:fldChar w:fldCharType="separate"/>
      </w:r>
      <w:r>
        <w:rPr>
          <w:rStyle w:val="30"/>
          <w:rFonts w:ascii="Times New Roman" w:hAnsi="Times New Roman" w:cs="Times New Roman" w:eastAsiaTheme="majorEastAsia"/>
          <w:sz w:val="24"/>
          <w:szCs w:val="24"/>
        </w:rPr>
        <w:t>5.1</w:t>
      </w:r>
      <w:r>
        <w:rPr>
          <w:rStyle w:val="30"/>
          <w:rFonts w:ascii="Times New Roman" w:cs="Times New Roman" w:hAnsiTheme="majorEastAsia" w:eastAsiaTheme="majorEastAsia"/>
          <w:sz w:val="24"/>
          <w:szCs w:val="24"/>
        </w:rPr>
        <w:t>施工期环境影响分析</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_Toc13725357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65</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"_Toc13725358" </w:instrText>
      </w:r>
      <w:r>
        <w:fldChar w:fldCharType="separate"/>
      </w:r>
      <w:r>
        <w:rPr>
          <w:rStyle w:val="30"/>
          <w:rFonts w:ascii="Times New Roman" w:hAnsi="Times New Roman" w:cs="Times New Roman" w:eastAsiaTheme="majorEastAsia"/>
          <w:sz w:val="24"/>
          <w:szCs w:val="24"/>
        </w:rPr>
        <w:t>5.2</w:t>
      </w:r>
      <w:r>
        <w:rPr>
          <w:rStyle w:val="30"/>
          <w:rFonts w:ascii="Times New Roman" w:cs="Times New Roman" w:hAnsiTheme="majorEastAsia" w:eastAsiaTheme="majorEastAsia"/>
          <w:sz w:val="24"/>
          <w:szCs w:val="24"/>
        </w:rPr>
        <w:t>营运期环境影响预测与评价</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_Toc13725358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70</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19"/>
        <w:tabs>
          <w:tab w:val="right" w:leader="dot" w:pos="8296"/>
        </w:tabs>
        <w:rPr>
          <w:rFonts w:ascii="Times New Roman" w:hAnsi="Times New Roman" w:cs="Times New Roman" w:eastAsiaTheme="majorEastAsia"/>
          <w:b w:val="0"/>
          <w:bCs w:val="0"/>
          <w:caps w:val="0"/>
          <w:sz w:val="24"/>
          <w:szCs w:val="24"/>
        </w:rPr>
      </w:pPr>
      <w:r>
        <w:fldChar w:fldCharType="begin"/>
      </w:r>
      <w:r>
        <w:instrText xml:space="preserve"> HYPERLINK \l "_Toc13725359" </w:instrText>
      </w:r>
      <w:r>
        <w:fldChar w:fldCharType="separate"/>
      </w:r>
      <w:r>
        <w:rPr>
          <w:rStyle w:val="30"/>
          <w:rFonts w:ascii="Times New Roman" w:hAnsi="Times New Roman" w:cs="Times New Roman" w:eastAsiaTheme="majorEastAsia"/>
          <w:sz w:val="24"/>
          <w:szCs w:val="24"/>
        </w:rPr>
        <w:t>6.</w:t>
      </w:r>
      <w:r>
        <w:rPr>
          <w:rStyle w:val="30"/>
          <w:rFonts w:ascii="Times New Roman" w:cs="Times New Roman" w:hAnsiTheme="majorEastAsia" w:eastAsiaTheme="majorEastAsia"/>
          <w:sz w:val="24"/>
          <w:szCs w:val="24"/>
        </w:rPr>
        <w:t>环境保护措施及其可行性论证</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_Toc13725359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95</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"_Toc13725360" </w:instrText>
      </w:r>
      <w:r>
        <w:fldChar w:fldCharType="separate"/>
      </w:r>
      <w:r>
        <w:rPr>
          <w:rStyle w:val="30"/>
          <w:rFonts w:ascii="Times New Roman" w:hAnsi="Times New Roman" w:cs="Times New Roman" w:eastAsiaTheme="majorEastAsia"/>
          <w:sz w:val="24"/>
          <w:szCs w:val="24"/>
        </w:rPr>
        <w:t>6.1</w:t>
      </w:r>
      <w:r>
        <w:rPr>
          <w:rStyle w:val="30"/>
          <w:rFonts w:ascii="Times New Roman" w:cs="Times New Roman" w:hAnsiTheme="majorEastAsia" w:eastAsiaTheme="majorEastAsia"/>
          <w:sz w:val="24"/>
          <w:szCs w:val="24"/>
        </w:rPr>
        <w:t>废气治理措施及其可行性论证</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_Toc13725360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95</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"_Toc13725361" </w:instrText>
      </w:r>
      <w:r>
        <w:fldChar w:fldCharType="separate"/>
      </w:r>
      <w:r>
        <w:rPr>
          <w:rStyle w:val="30"/>
          <w:rFonts w:ascii="Times New Roman" w:hAnsi="Times New Roman" w:cs="Times New Roman" w:eastAsiaTheme="majorEastAsia"/>
          <w:sz w:val="24"/>
          <w:szCs w:val="24"/>
        </w:rPr>
        <w:t>6.2</w:t>
      </w:r>
      <w:r>
        <w:rPr>
          <w:rStyle w:val="30"/>
          <w:rFonts w:ascii="Times New Roman" w:cs="Times New Roman" w:hAnsiTheme="majorEastAsia" w:eastAsiaTheme="majorEastAsia"/>
          <w:sz w:val="24"/>
          <w:szCs w:val="24"/>
        </w:rPr>
        <w:t>废水治理措施及其可行性论证</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_Toc13725361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96</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"_Toc13725362" </w:instrText>
      </w:r>
      <w:r>
        <w:fldChar w:fldCharType="separate"/>
      </w:r>
      <w:r>
        <w:rPr>
          <w:rStyle w:val="30"/>
          <w:rFonts w:ascii="Times New Roman" w:hAnsi="Times New Roman" w:cs="Times New Roman" w:eastAsiaTheme="majorEastAsia"/>
          <w:sz w:val="24"/>
          <w:szCs w:val="24"/>
        </w:rPr>
        <w:t>6.3</w:t>
      </w:r>
      <w:r>
        <w:rPr>
          <w:rStyle w:val="30"/>
          <w:rFonts w:ascii="Times New Roman" w:cs="Times New Roman" w:hAnsiTheme="majorEastAsia" w:eastAsiaTheme="majorEastAsia"/>
          <w:sz w:val="24"/>
          <w:szCs w:val="24"/>
        </w:rPr>
        <w:t>地下水防渗措施可行性论证</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_Toc13725362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98</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"_Toc13725363" </w:instrText>
      </w:r>
      <w:r>
        <w:fldChar w:fldCharType="separate"/>
      </w:r>
      <w:r>
        <w:rPr>
          <w:rStyle w:val="30"/>
          <w:rFonts w:ascii="Times New Roman" w:hAnsi="Times New Roman" w:cs="Times New Roman" w:eastAsiaTheme="majorEastAsia"/>
          <w:sz w:val="24"/>
          <w:szCs w:val="24"/>
        </w:rPr>
        <w:t>6.4</w:t>
      </w:r>
      <w:r>
        <w:rPr>
          <w:rStyle w:val="30"/>
          <w:rFonts w:ascii="Times New Roman" w:cs="Times New Roman" w:hAnsiTheme="majorEastAsia" w:eastAsiaTheme="majorEastAsia"/>
          <w:sz w:val="24"/>
          <w:szCs w:val="24"/>
        </w:rPr>
        <w:t>噪声治理措施及其可行性论证</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_Toc13725363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98</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"_Toc13725364" </w:instrText>
      </w:r>
      <w:r>
        <w:fldChar w:fldCharType="separate"/>
      </w:r>
      <w:r>
        <w:rPr>
          <w:rStyle w:val="30"/>
          <w:rFonts w:ascii="Times New Roman" w:hAnsi="Times New Roman" w:cs="Times New Roman" w:eastAsiaTheme="majorEastAsia"/>
          <w:sz w:val="24"/>
          <w:szCs w:val="24"/>
        </w:rPr>
        <w:t>6.5</w:t>
      </w:r>
      <w:r>
        <w:rPr>
          <w:rStyle w:val="30"/>
          <w:rFonts w:ascii="Times New Roman" w:cs="Times New Roman" w:hAnsiTheme="majorEastAsia" w:eastAsiaTheme="majorEastAsia"/>
          <w:sz w:val="24"/>
          <w:szCs w:val="24"/>
        </w:rPr>
        <w:t>固体废物处置措施及其可行性论证</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_Toc13725364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99</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"_Toc13725365" </w:instrText>
      </w:r>
      <w:r>
        <w:fldChar w:fldCharType="separate"/>
      </w:r>
      <w:r>
        <w:rPr>
          <w:rStyle w:val="30"/>
          <w:rFonts w:ascii="Times New Roman" w:hAnsi="Times New Roman" w:cs="Times New Roman" w:eastAsiaTheme="majorEastAsia"/>
          <w:sz w:val="24"/>
          <w:szCs w:val="24"/>
        </w:rPr>
        <w:t>6.6</w:t>
      </w:r>
      <w:r>
        <w:rPr>
          <w:rStyle w:val="30"/>
          <w:rFonts w:ascii="Times New Roman" w:cs="Times New Roman" w:hAnsiTheme="majorEastAsia" w:eastAsiaTheme="majorEastAsia"/>
          <w:sz w:val="24"/>
          <w:szCs w:val="24"/>
        </w:rPr>
        <w:t>环保设施投资情况</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_Toc13725365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100</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19"/>
        <w:tabs>
          <w:tab w:val="right" w:leader="dot" w:pos="8296"/>
        </w:tabs>
        <w:rPr>
          <w:rFonts w:ascii="Times New Roman" w:hAnsi="Times New Roman" w:cs="Times New Roman" w:eastAsiaTheme="majorEastAsia"/>
          <w:b w:val="0"/>
          <w:bCs w:val="0"/>
          <w:caps w:val="0"/>
          <w:sz w:val="24"/>
          <w:szCs w:val="24"/>
        </w:rPr>
      </w:pPr>
      <w:r>
        <w:fldChar w:fldCharType="begin"/>
      </w:r>
      <w:r>
        <w:instrText xml:space="preserve"> HYPERLINK \l "_Toc13725366" </w:instrText>
      </w:r>
      <w:r>
        <w:fldChar w:fldCharType="separate"/>
      </w:r>
      <w:r>
        <w:rPr>
          <w:rStyle w:val="30"/>
          <w:rFonts w:ascii="Times New Roman" w:hAnsi="Times New Roman" w:cs="Times New Roman" w:eastAsiaTheme="majorEastAsia"/>
          <w:sz w:val="24"/>
          <w:szCs w:val="24"/>
        </w:rPr>
        <w:t>7.</w:t>
      </w:r>
      <w:r>
        <w:rPr>
          <w:rStyle w:val="30"/>
          <w:rFonts w:ascii="Times New Roman" w:cs="Times New Roman" w:hAnsiTheme="majorEastAsia" w:eastAsiaTheme="majorEastAsia"/>
          <w:sz w:val="24"/>
          <w:szCs w:val="24"/>
        </w:rPr>
        <w:t>环境影响经济损益分析</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_Toc13725366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102</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"_Toc13725367" </w:instrText>
      </w:r>
      <w:r>
        <w:fldChar w:fldCharType="separate"/>
      </w:r>
      <w:r>
        <w:rPr>
          <w:rStyle w:val="30"/>
          <w:rFonts w:ascii="Times New Roman" w:hAnsi="Times New Roman" w:cs="Times New Roman" w:eastAsiaTheme="majorEastAsia"/>
          <w:sz w:val="24"/>
          <w:szCs w:val="24"/>
        </w:rPr>
        <w:t>7.1</w:t>
      </w:r>
      <w:r>
        <w:rPr>
          <w:rStyle w:val="30"/>
          <w:rFonts w:ascii="Times New Roman" w:cs="Times New Roman" w:hAnsiTheme="majorEastAsia" w:eastAsiaTheme="majorEastAsia"/>
          <w:sz w:val="24"/>
          <w:szCs w:val="24"/>
        </w:rPr>
        <w:t>社会效益分析</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_Toc13725367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102</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"_Toc13725368" </w:instrText>
      </w:r>
      <w:r>
        <w:fldChar w:fldCharType="separate"/>
      </w:r>
      <w:r>
        <w:rPr>
          <w:rStyle w:val="30"/>
          <w:rFonts w:ascii="Times New Roman" w:hAnsi="Times New Roman" w:cs="Times New Roman" w:eastAsiaTheme="majorEastAsia"/>
          <w:sz w:val="24"/>
          <w:szCs w:val="24"/>
        </w:rPr>
        <w:t>7.2</w:t>
      </w:r>
      <w:r>
        <w:rPr>
          <w:rStyle w:val="30"/>
          <w:rFonts w:ascii="Times New Roman" w:cs="Times New Roman" w:hAnsiTheme="majorEastAsia" w:eastAsiaTheme="majorEastAsia"/>
          <w:sz w:val="24"/>
          <w:szCs w:val="24"/>
        </w:rPr>
        <w:t>经济效益分析</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_Toc13725368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102</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"_Toc13725369" </w:instrText>
      </w:r>
      <w:r>
        <w:fldChar w:fldCharType="separate"/>
      </w:r>
      <w:r>
        <w:rPr>
          <w:rStyle w:val="30"/>
          <w:rFonts w:ascii="Times New Roman" w:hAnsi="Times New Roman" w:cs="Times New Roman" w:eastAsiaTheme="majorEastAsia"/>
          <w:sz w:val="24"/>
          <w:szCs w:val="24"/>
        </w:rPr>
        <w:t>7.3</w:t>
      </w:r>
      <w:r>
        <w:rPr>
          <w:rStyle w:val="30"/>
          <w:rFonts w:ascii="Times New Roman" w:cs="Times New Roman" w:hAnsiTheme="majorEastAsia" w:eastAsiaTheme="majorEastAsia"/>
          <w:sz w:val="24"/>
          <w:szCs w:val="24"/>
        </w:rPr>
        <w:t>环境效益分析</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_Toc13725369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103</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19"/>
        <w:tabs>
          <w:tab w:val="right" w:leader="dot" w:pos="8296"/>
        </w:tabs>
        <w:rPr>
          <w:rFonts w:ascii="Times New Roman" w:hAnsi="Times New Roman" w:cs="Times New Roman" w:eastAsiaTheme="majorEastAsia"/>
          <w:b w:val="0"/>
          <w:bCs w:val="0"/>
          <w:caps w:val="0"/>
          <w:sz w:val="24"/>
          <w:szCs w:val="24"/>
        </w:rPr>
      </w:pPr>
      <w:r>
        <w:fldChar w:fldCharType="begin"/>
      </w:r>
      <w:r>
        <w:instrText xml:space="preserve"> HYPERLINK \l "_Toc13725370" </w:instrText>
      </w:r>
      <w:r>
        <w:fldChar w:fldCharType="separate"/>
      </w:r>
      <w:r>
        <w:rPr>
          <w:rStyle w:val="30"/>
          <w:rFonts w:ascii="Times New Roman" w:hAnsi="Times New Roman" w:cs="Times New Roman" w:eastAsiaTheme="majorEastAsia"/>
          <w:sz w:val="24"/>
          <w:szCs w:val="24"/>
        </w:rPr>
        <w:t>8.</w:t>
      </w:r>
      <w:r>
        <w:rPr>
          <w:rStyle w:val="30"/>
          <w:rFonts w:ascii="Times New Roman" w:cs="Times New Roman" w:hAnsiTheme="majorEastAsia" w:eastAsiaTheme="majorEastAsia"/>
          <w:sz w:val="24"/>
          <w:szCs w:val="24"/>
        </w:rPr>
        <w:t>环境管理与监测计划</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_Toc13725370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104</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"_Toc13725371" </w:instrText>
      </w:r>
      <w:r>
        <w:fldChar w:fldCharType="separate"/>
      </w:r>
      <w:r>
        <w:rPr>
          <w:rStyle w:val="30"/>
          <w:rFonts w:ascii="Times New Roman" w:hAnsi="Times New Roman" w:cs="Times New Roman" w:eastAsiaTheme="majorEastAsia"/>
          <w:sz w:val="24"/>
          <w:szCs w:val="24"/>
        </w:rPr>
        <w:t>8.1</w:t>
      </w:r>
      <w:r>
        <w:rPr>
          <w:rStyle w:val="30"/>
          <w:rFonts w:ascii="Times New Roman" w:cs="Times New Roman" w:hAnsiTheme="majorEastAsia" w:eastAsiaTheme="majorEastAsia"/>
          <w:sz w:val="24"/>
          <w:szCs w:val="24"/>
        </w:rPr>
        <w:t>环境管理</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_Toc13725371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104</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"_Toc13725372" </w:instrText>
      </w:r>
      <w:r>
        <w:fldChar w:fldCharType="separate"/>
      </w:r>
      <w:r>
        <w:rPr>
          <w:rStyle w:val="30"/>
          <w:rFonts w:ascii="Times New Roman" w:hAnsi="Times New Roman" w:cs="Times New Roman" w:eastAsiaTheme="majorEastAsia"/>
          <w:sz w:val="24"/>
          <w:szCs w:val="24"/>
        </w:rPr>
        <w:t>8.2</w:t>
      </w:r>
      <w:r>
        <w:rPr>
          <w:rStyle w:val="30"/>
          <w:rFonts w:ascii="Times New Roman" w:cs="Times New Roman" w:hAnsiTheme="majorEastAsia" w:eastAsiaTheme="majorEastAsia"/>
          <w:sz w:val="24"/>
          <w:szCs w:val="24"/>
        </w:rPr>
        <w:t>企业环境信息公开</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_Toc13725372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105</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"_Toc13725373" </w:instrText>
      </w:r>
      <w:r>
        <w:fldChar w:fldCharType="separate"/>
      </w:r>
      <w:r>
        <w:rPr>
          <w:rStyle w:val="30"/>
          <w:rFonts w:ascii="Times New Roman" w:hAnsi="Times New Roman" w:cs="Times New Roman" w:eastAsiaTheme="majorEastAsia"/>
          <w:sz w:val="24"/>
          <w:szCs w:val="24"/>
        </w:rPr>
        <w:t>8.3</w:t>
      </w:r>
      <w:r>
        <w:rPr>
          <w:rStyle w:val="30"/>
          <w:rFonts w:ascii="Times New Roman" w:cs="Times New Roman" w:hAnsiTheme="majorEastAsia" w:eastAsiaTheme="majorEastAsia"/>
          <w:sz w:val="24"/>
          <w:szCs w:val="24"/>
        </w:rPr>
        <w:t>环境保护措施清单</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_Toc13725373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106</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"_Toc13725374" </w:instrText>
      </w:r>
      <w:r>
        <w:fldChar w:fldCharType="separate"/>
      </w:r>
      <w:r>
        <w:rPr>
          <w:rStyle w:val="30"/>
          <w:rFonts w:ascii="Times New Roman" w:hAnsi="Times New Roman" w:cs="Times New Roman" w:eastAsiaTheme="majorEastAsia"/>
          <w:sz w:val="24"/>
          <w:szCs w:val="24"/>
        </w:rPr>
        <w:t>8.4</w:t>
      </w:r>
      <w:r>
        <w:rPr>
          <w:rStyle w:val="30"/>
          <w:rFonts w:ascii="Times New Roman" w:cs="Times New Roman" w:hAnsiTheme="majorEastAsia" w:eastAsiaTheme="majorEastAsia"/>
          <w:sz w:val="24"/>
          <w:szCs w:val="24"/>
        </w:rPr>
        <w:t>环境监测计划</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_Toc13725374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109</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"_Toc13725375" </w:instrText>
      </w:r>
      <w:r>
        <w:fldChar w:fldCharType="separate"/>
      </w:r>
      <w:r>
        <w:rPr>
          <w:rStyle w:val="30"/>
          <w:rFonts w:ascii="Times New Roman" w:hAnsi="Times New Roman" w:cs="Times New Roman" w:eastAsiaTheme="majorEastAsia"/>
          <w:sz w:val="24"/>
          <w:szCs w:val="24"/>
        </w:rPr>
        <w:t>8.5</w:t>
      </w:r>
      <w:r>
        <w:rPr>
          <w:rStyle w:val="30"/>
          <w:rFonts w:ascii="Times New Roman" w:cs="Times New Roman" w:hAnsiTheme="majorEastAsia" w:eastAsiaTheme="majorEastAsia"/>
          <w:sz w:val="24"/>
          <w:szCs w:val="24"/>
        </w:rPr>
        <w:t>建设项目竣工环境保护验收内容</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_Toc13725375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111</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19"/>
        <w:tabs>
          <w:tab w:val="right" w:leader="dot" w:pos="8296"/>
        </w:tabs>
        <w:rPr>
          <w:rFonts w:ascii="Times New Roman" w:hAnsi="Times New Roman" w:cs="Times New Roman" w:eastAsiaTheme="majorEastAsia"/>
          <w:b w:val="0"/>
          <w:bCs w:val="0"/>
          <w:caps w:val="0"/>
          <w:sz w:val="24"/>
          <w:szCs w:val="24"/>
        </w:rPr>
      </w:pPr>
      <w:r>
        <w:fldChar w:fldCharType="begin"/>
      </w:r>
      <w:r>
        <w:instrText xml:space="preserve"> HYPERLINK \l "_Toc13725376" </w:instrText>
      </w:r>
      <w:r>
        <w:fldChar w:fldCharType="separate"/>
      </w:r>
      <w:r>
        <w:rPr>
          <w:rStyle w:val="30"/>
          <w:rFonts w:ascii="Times New Roman" w:hAnsi="Times New Roman" w:cs="Times New Roman" w:eastAsiaTheme="majorEastAsia"/>
          <w:sz w:val="24"/>
          <w:szCs w:val="24"/>
        </w:rPr>
        <w:t>9.</w:t>
      </w:r>
      <w:r>
        <w:rPr>
          <w:rStyle w:val="30"/>
          <w:rFonts w:ascii="Times New Roman" w:cs="Times New Roman" w:hAnsiTheme="majorEastAsia" w:eastAsiaTheme="majorEastAsia"/>
          <w:sz w:val="24"/>
          <w:szCs w:val="24"/>
        </w:rPr>
        <w:t>结论</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_Toc13725376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114</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"_Toc13725377" </w:instrText>
      </w:r>
      <w:r>
        <w:fldChar w:fldCharType="separate"/>
      </w:r>
      <w:r>
        <w:rPr>
          <w:rStyle w:val="30"/>
          <w:rFonts w:ascii="Times New Roman" w:hAnsi="Times New Roman" w:cs="Times New Roman" w:eastAsiaTheme="majorEastAsia"/>
          <w:sz w:val="24"/>
          <w:szCs w:val="24"/>
        </w:rPr>
        <w:t>9.1</w:t>
      </w:r>
      <w:r>
        <w:rPr>
          <w:rStyle w:val="30"/>
          <w:rFonts w:ascii="Times New Roman" w:cs="Times New Roman" w:hAnsiTheme="majorEastAsia" w:eastAsiaTheme="majorEastAsia"/>
          <w:sz w:val="24"/>
          <w:szCs w:val="24"/>
        </w:rPr>
        <w:t>项目概况</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_Toc13725377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114</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"_Toc13725378" </w:instrText>
      </w:r>
      <w:r>
        <w:fldChar w:fldCharType="separate"/>
      </w:r>
      <w:r>
        <w:rPr>
          <w:rStyle w:val="30"/>
          <w:rFonts w:ascii="Times New Roman" w:hAnsi="Times New Roman" w:cs="Times New Roman" w:eastAsiaTheme="majorEastAsia"/>
          <w:sz w:val="24"/>
          <w:szCs w:val="24"/>
        </w:rPr>
        <w:t>9.2</w:t>
      </w:r>
      <w:r>
        <w:rPr>
          <w:rStyle w:val="30"/>
          <w:rFonts w:ascii="Times New Roman" w:cs="Times New Roman" w:hAnsiTheme="majorEastAsia" w:eastAsiaTheme="majorEastAsia"/>
          <w:sz w:val="24"/>
          <w:szCs w:val="24"/>
        </w:rPr>
        <w:t>环境质量现状</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_Toc13725378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115</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"_Toc13725379" </w:instrText>
      </w:r>
      <w:r>
        <w:fldChar w:fldCharType="separate"/>
      </w:r>
      <w:r>
        <w:rPr>
          <w:rStyle w:val="30"/>
          <w:rFonts w:ascii="Times New Roman" w:hAnsi="Times New Roman" w:cs="Times New Roman" w:eastAsiaTheme="majorEastAsia"/>
          <w:sz w:val="24"/>
          <w:szCs w:val="24"/>
        </w:rPr>
        <w:t>9.3</w:t>
      </w:r>
      <w:r>
        <w:rPr>
          <w:rStyle w:val="30"/>
          <w:rFonts w:ascii="Times New Roman" w:cs="Times New Roman" w:hAnsiTheme="majorEastAsia" w:eastAsiaTheme="majorEastAsia"/>
          <w:sz w:val="24"/>
          <w:szCs w:val="24"/>
        </w:rPr>
        <w:t>环境保护措施及污染物排放情况</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_Toc13725379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116</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"_Toc13725380" </w:instrText>
      </w:r>
      <w:r>
        <w:fldChar w:fldCharType="separate"/>
      </w:r>
      <w:r>
        <w:rPr>
          <w:rStyle w:val="30"/>
          <w:rFonts w:ascii="Times New Roman" w:hAnsi="Times New Roman" w:cs="Times New Roman" w:eastAsiaTheme="majorEastAsia"/>
          <w:sz w:val="24"/>
          <w:szCs w:val="24"/>
        </w:rPr>
        <w:t>9.4</w:t>
      </w:r>
      <w:r>
        <w:rPr>
          <w:rStyle w:val="30"/>
          <w:rFonts w:ascii="Times New Roman" w:cs="Times New Roman" w:hAnsiTheme="majorEastAsia" w:eastAsiaTheme="majorEastAsia"/>
          <w:sz w:val="24"/>
          <w:szCs w:val="24"/>
        </w:rPr>
        <w:t>环境影响分析结论</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_Toc13725380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117</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"_Toc13725381" </w:instrText>
      </w:r>
      <w:r>
        <w:fldChar w:fldCharType="separate"/>
      </w:r>
      <w:r>
        <w:rPr>
          <w:rStyle w:val="30"/>
          <w:rFonts w:ascii="Times New Roman" w:hAnsi="Times New Roman" w:cs="Times New Roman" w:eastAsiaTheme="majorEastAsia"/>
          <w:sz w:val="24"/>
          <w:szCs w:val="24"/>
        </w:rPr>
        <w:t>9.5</w:t>
      </w:r>
      <w:r>
        <w:rPr>
          <w:rStyle w:val="30"/>
          <w:rFonts w:ascii="Times New Roman" w:cs="Times New Roman" w:hAnsiTheme="majorEastAsia" w:eastAsiaTheme="majorEastAsia"/>
          <w:sz w:val="24"/>
          <w:szCs w:val="24"/>
        </w:rPr>
        <w:t>环境保护措施可行性论证结论</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_Toc13725381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118</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"_Toc13725382" </w:instrText>
      </w:r>
      <w:r>
        <w:fldChar w:fldCharType="separate"/>
      </w:r>
      <w:r>
        <w:rPr>
          <w:rStyle w:val="30"/>
          <w:rFonts w:ascii="Times New Roman" w:hAnsi="Times New Roman" w:cs="Times New Roman" w:eastAsiaTheme="majorEastAsia"/>
          <w:sz w:val="24"/>
          <w:szCs w:val="24"/>
        </w:rPr>
        <w:t>9.6</w:t>
      </w:r>
      <w:r>
        <w:rPr>
          <w:rStyle w:val="30"/>
          <w:rFonts w:ascii="Times New Roman" w:cs="Times New Roman" w:hAnsiTheme="majorEastAsia" w:eastAsiaTheme="majorEastAsia"/>
          <w:sz w:val="24"/>
          <w:szCs w:val="24"/>
        </w:rPr>
        <w:t>环境影响经济损益分析</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_Toc13725382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118</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"_Toc13725383" </w:instrText>
      </w:r>
      <w:r>
        <w:fldChar w:fldCharType="separate"/>
      </w:r>
      <w:r>
        <w:rPr>
          <w:rStyle w:val="30"/>
          <w:rFonts w:ascii="Times New Roman" w:hAnsi="Times New Roman" w:cs="Times New Roman" w:eastAsiaTheme="majorEastAsia"/>
          <w:sz w:val="24"/>
          <w:szCs w:val="24"/>
        </w:rPr>
        <w:t>9.7</w:t>
      </w:r>
      <w:r>
        <w:rPr>
          <w:rStyle w:val="30"/>
          <w:rFonts w:ascii="Times New Roman" w:cs="Times New Roman" w:hAnsiTheme="majorEastAsia" w:eastAsiaTheme="majorEastAsia"/>
          <w:sz w:val="24"/>
          <w:szCs w:val="24"/>
        </w:rPr>
        <w:t>环境管理与监测计划</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_Toc13725383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119</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"_Toc13725384" </w:instrText>
      </w:r>
      <w:r>
        <w:fldChar w:fldCharType="separate"/>
      </w:r>
      <w:r>
        <w:rPr>
          <w:rStyle w:val="30"/>
          <w:rFonts w:ascii="Times New Roman" w:hAnsi="Times New Roman" w:cs="Times New Roman" w:eastAsiaTheme="majorEastAsia"/>
          <w:sz w:val="24"/>
          <w:szCs w:val="24"/>
        </w:rPr>
        <w:t>9.8</w:t>
      </w:r>
      <w:r>
        <w:rPr>
          <w:rStyle w:val="30"/>
          <w:rFonts w:ascii="Times New Roman" w:cs="Times New Roman" w:hAnsiTheme="majorEastAsia" w:eastAsiaTheme="majorEastAsia"/>
          <w:sz w:val="24"/>
          <w:szCs w:val="24"/>
        </w:rPr>
        <w:t>总量控制指标</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_Toc13725384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119</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pStyle w:val="23"/>
        <w:tabs>
          <w:tab w:val="right" w:leader="dot" w:pos="8296"/>
        </w:tabs>
        <w:rPr>
          <w:rFonts w:ascii="Times New Roman" w:hAnsi="Times New Roman" w:cs="Times New Roman" w:eastAsiaTheme="majorEastAsia"/>
          <w:smallCaps w:val="0"/>
          <w:sz w:val="24"/>
          <w:szCs w:val="24"/>
        </w:rPr>
      </w:pPr>
      <w:r>
        <w:fldChar w:fldCharType="begin"/>
      </w:r>
      <w:r>
        <w:instrText xml:space="preserve"> HYPERLINK \l "_Toc13725385" </w:instrText>
      </w:r>
      <w:r>
        <w:fldChar w:fldCharType="separate"/>
      </w:r>
      <w:r>
        <w:rPr>
          <w:rStyle w:val="30"/>
          <w:rFonts w:ascii="Times New Roman" w:hAnsi="Times New Roman" w:cs="Times New Roman" w:eastAsiaTheme="majorEastAsia"/>
          <w:sz w:val="24"/>
          <w:szCs w:val="24"/>
        </w:rPr>
        <w:t>9.9</w:t>
      </w:r>
      <w:r>
        <w:rPr>
          <w:rStyle w:val="30"/>
          <w:rFonts w:ascii="Times New Roman" w:cs="Times New Roman" w:hAnsiTheme="majorEastAsia" w:eastAsiaTheme="majorEastAsia"/>
          <w:sz w:val="24"/>
          <w:szCs w:val="24"/>
        </w:rPr>
        <w:t>项目可行性结论</w:t>
      </w:r>
      <w:r>
        <w:rPr>
          <w:rFonts w:ascii="Times New Roman" w:hAnsi="Times New Roman" w:cs="Times New Roman" w:eastAsiaTheme="majorEastAsia"/>
          <w:sz w:val="24"/>
          <w:szCs w:val="24"/>
        </w:rPr>
        <w:tab/>
      </w:r>
      <w:r>
        <w:rPr>
          <w:rFonts w:ascii="Times New Roman" w:hAnsi="Times New Roman" w:cs="Times New Roman" w:eastAsiaTheme="majorEastAsia"/>
          <w:sz w:val="24"/>
          <w:szCs w:val="24"/>
        </w:rPr>
        <w:fldChar w:fldCharType="begin"/>
      </w:r>
      <w:r>
        <w:rPr>
          <w:rFonts w:ascii="Times New Roman" w:hAnsi="Times New Roman" w:cs="Times New Roman" w:eastAsiaTheme="majorEastAsia"/>
          <w:sz w:val="24"/>
          <w:szCs w:val="24"/>
        </w:rPr>
        <w:instrText xml:space="preserve"> PAGEREF _Toc13725385 \h </w:instrText>
      </w:r>
      <w:r>
        <w:rPr>
          <w:rFonts w:ascii="Times New Roman" w:hAnsi="Times New Roman" w:cs="Times New Roman" w:eastAsiaTheme="majorEastAsia"/>
          <w:sz w:val="24"/>
          <w:szCs w:val="24"/>
        </w:rPr>
        <w:fldChar w:fldCharType="separate"/>
      </w:r>
      <w:r>
        <w:rPr>
          <w:rFonts w:ascii="Times New Roman" w:hAnsi="Times New Roman" w:cs="Times New Roman" w:eastAsiaTheme="majorEastAsia"/>
          <w:sz w:val="24"/>
          <w:szCs w:val="24"/>
        </w:rPr>
        <w:t>119</w:t>
      </w:r>
      <w:r>
        <w:rPr>
          <w:rFonts w:ascii="Times New Roman" w:hAnsi="Times New Roman" w:cs="Times New Roman" w:eastAsiaTheme="majorEastAsia"/>
          <w:sz w:val="24"/>
          <w:szCs w:val="24"/>
        </w:rPr>
        <w:fldChar w:fldCharType="end"/>
      </w:r>
      <w:r>
        <w:rPr>
          <w:rFonts w:ascii="Times New Roman" w:hAnsi="Times New Roman" w:cs="Times New Roman" w:eastAsiaTheme="majorEastAsia"/>
          <w:sz w:val="24"/>
          <w:szCs w:val="24"/>
        </w:rPr>
        <w:fldChar w:fldCharType="end"/>
      </w:r>
    </w:p>
    <w:p>
      <w:pPr>
        <w:spacing w:line="360" w:lineRule="auto"/>
        <w:ind w:firstLine="120" w:firstLineChars="50"/>
        <w:rPr>
          <w:rFonts w:ascii="Times New Roman" w:hAnsi="Times New Roman" w:cs="Times New Roman"/>
          <w:sz w:val="30"/>
          <w:szCs w:val="30"/>
        </w:rPr>
        <w:sectPr>
          <w:headerReference r:id="rId5" w:type="default"/>
          <w:footerReference r:id="rId6" w:type="default"/>
          <w:pgSz w:w="11906" w:h="16838"/>
          <w:pgMar w:top="1440" w:right="1800" w:bottom="1440" w:left="1800" w:header="851" w:footer="992" w:gutter="0"/>
          <w:pgNumType w:fmt="upperRoman" w:start="1"/>
          <w:cols w:space="425" w:num="1"/>
          <w:docGrid w:type="lines" w:linePitch="312" w:charSpace="0"/>
        </w:sectPr>
      </w:pPr>
      <w:r>
        <w:rPr>
          <w:rFonts w:ascii="Times New Roman" w:hAnsi="Times New Roman" w:cs="Times New Roman" w:eastAsiaTheme="majorEastAsia"/>
          <w:sz w:val="24"/>
          <w:szCs w:val="24"/>
        </w:rPr>
        <w:fldChar w:fldCharType="end"/>
      </w:r>
    </w:p>
    <w:p>
      <w:pPr>
        <w:spacing w:line="360" w:lineRule="auto"/>
        <w:ind w:firstLine="151" w:firstLineChars="50"/>
        <w:rPr>
          <w:rFonts w:ascii="Times New Roman" w:hAnsi="Times New Roman" w:cs="Times New Roman"/>
          <w:b/>
          <w:sz w:val="30"/>
          <w:szCs w:val="30"/>
        </w:rPr>
      </w:pPr>
      <w:r>
        <w:rPr>
          <w:rFonts w:hint="eastAsia" w:ascii="Times New Roman" w:hAnsi="Times New Roman" w:cs="Times New Roman"/>
          <w:b/>
          <w:sz w:val="30"/>
          <w:szCs w:val="30"/>
        </w:rPr>
        <w:t>附图、附件、附表</w:t>
      </w:r>
    </w:p>
    <w:p>
      <w:pPr>
        <w:spacing w:line="360" w:lineRule="auto"/>
        <w:ind w:firstLine="120" w:firstLineChars="50"/>
        <w:rPr>
          <w:rFonts w:ascii="Times New Roman" w:hAnsi="Times New Roman" w:cs="Times New Roman"/>
          <w:b/>
          <w:sz w:val="24"/>
          <w:szCs w:val="24"/>
        </w:rPr>
      </w:pPr>
    </w:p>
    <w:p>
      <w:pPr>
        <w:spacing w:line="360" w:lineRule="auto"/>
        <w:ind w:firstLine="120" w:firstLineChars="50"/>
        <w:rPr>
          <w:rFonts w:ascii="Times New Roman" w:hAnsi="Times New Roman" w:cs="Times New Roman"/>
          <w:b/>
          <w:sz w:val="24"/>
          <w:szCs w:val="24"/>
        </w:rPr>
      </w:pPr>
      <w:r>
        <w:rPr>
          <w:rFonts w:hint="eastAsia" w:ascii="Times New Roman" w:hAnsi="Times New Roman" w:cs="Times New Roman"/>
          <w:b/>
          <w:sz w:val="24"/>
          <w:szCs w:val="24"/>
        </w:rPr>
        <w:t>附图</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附图1 建设项目地理位置图</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附图2 建设项目周边关系及环境敏感点分布图</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附图3 建设项目平面布置图</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附图4 环境现状监测点位分布图</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附图5 生态保护红线图</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附图6 项目声环境功能区划图</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附图7 项目卫生防护距离包络线图</w:t>
      </w:r>
    </w:p>
    <w:p>
      <w:pPr>
        <w:spacing w:line="360" w:lineRule="auto"/>
        <w:ind w:firstLine="120" w:firstLineChars="50"/>
        <w:rPr>
          <w:rFonts w:ascii="Times New Roman" w:hAnsi="Times New Roman" w:cs="Times New Roman"/>
          <w:b/>
          <w:sz w:val="24"/>
          <w:szCs w:val="24"/>
        </w:rPr>
      </w:pPr>
      <w:r>
        <w:rPr>
          <w:rFonts w:hint="eastAsia" w:ascii="Times New Roman" w:hAnsi="Times New Roman" w:cs="Times New Roman"/>
          <w:b/>
          <w:sz w:val="24"/>
          <w:szCs w:val="24"/>
        </w:rPr>
        <w:t>附件</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附件1 委托书</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附件2 保定市发展和改革委员会关于市第一中医院新建门诊、病房及综合培训楼项目建议书的批复</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附件3 保定市自然资源和规划局出具的建设项目选址意见书</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附件4 保定市固定资产项目建设条件联合审查意见书</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附件5 保定市第一中医院医疗机构执业许可证</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附件6 项目环境废气、地下水、噪声检测报告</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附件7 专家意见及专家组名单</w:t>
      </w:r>
    </w:p>
    <w:p>
      <w:pPr>
        <w:spacing w:line="360" w:lineRule="auto"/>
        <w:rPr>
          <w:rFonts w:ascii="Times New Roman" w:hAnsi="Times New Roman" w:cs="Times New Roman"/>
          <w:b/>
          <w:sz w:val="24"/>
          <w:szCs w:val="24"/>
        </w:rPr>
      </w:pPr>
      <w:r>
        <w:rPr>
          <w:rFonts w:hint="eastAsia" w:ascii="Times New Roman" w:hAnsi="Times New Roman" w:cs="Times New Roman"/>
          <w:b/>
          <w:sz w:val="24"/>
          <w:szCs w:val="24"/>
        </w:rPr>
        <w:t>附表</w:t>
      </w:r>
    </w:p>
    <w:p>
      <w:pPr>
        <w:spacing w:line="360" w:lineRule="auto"/>
        <w:ind w:firstLine="480" w:firstLineChars="200"/>
        <w:rPr>
          <w:rFonts w:ascii="Times New Roman" w:hAnsi="Times New Roman" w:cs="Times New Roman"/>
          <w:sz w:val="24"/>
          <w:szCs w:val="24"/>
        </w:rPr>
        <w:sectPr>
          <w:pgSz w:w="11906" w:h="16838"/>
          <w:pgMar w:top="1440" w:right="1800" w:bottom="1440" w:left="1800" w:header="851" w:footer="992" w:gutter="0"/>
          <w:pgNumType w:fmt="upperRoman"/>
          <w:cols w:space="425" w:num="1"/>
          <w:docGrid w:type="lines" w:linePitch="312" w:charSpace="0"/>
        </w:sectPr>
      </w:pPr>
      <w:r>
        <w:rPr>
          <w:rFonts w:hint="eastAsia" w:ascii="Times New Roman" w:hAnsi="Times New Roman" w:cs="Times New Roman"/>
          <w:sz w:val="24"/>
          <w:szCs w:val="24"/>
        </w:rPr>
        <w:t>附件1 建设项目环评审批基础信息表</w:t>
      </w:r>
    </w:p>
    <w:p>
      <w:pPr>
        <w:pStyle w:val="2"/>
        <w:spacing w:before="0" w:after="0" w:line="360" w:lineRule="auto"/>
        <w:rPr>
          <w:rFonts w:ascii="Times New Roman" w:hAnsi="Times New Roman" w:cs="Times New Roman"/>
          <w:sz w:val="30"/>
          <w:szCs w:val="30"/>
        </w:rPr>
      </w:pPr>
      <w:bookmarkStart w:id="0" w:name="_Toc13725328"/>
      <w:r>
        <w:rPr>
          <w:rFonts w:ascii="Times New Roman" w:hAnsi="Times New Roman" w:cs="Times New Roman"/>
          <w:sz w:val="30"/>
          <w:szCs w:val="30"/>
        </w:rPr>
        <w:t>1.概述</w:t>
      </w:r>
      <w:bookmarkEnd w:id="0"/>
    </w:p>
    <w:p>
      <w:pPr>
        <w:pStyle w:val="3"/>
        <w:spacing w:before="0" w:after="0" w:line="360" w:lineRule="auto"/>
        <w:rPr>
          <w:rFonts w:ascii="Times New Roman" w:hAnsi="Times New Roman" w:cs="Times New Roman"/>
          <w:sz w:val="28"/>
          <w:szCs w:val="28"/>
        </w:rPr>
      </w:pPr>
      <w:bookmarkStart w:id="1" w:name="_Toc13725329"/>
      <w:r>
        <w:rPr>
          <w:rFonts w:ascii="Times New Roman" w:hAnsi="Times New Roman" w:cs="Times New Roman"/>
          <w:sz w:val="28"/>
          <w:szCs w:val="28"/>
        </w:rPr>
        <w:t>1.1项目</w:t>
      </w:r>
      <w:r>
        <w:rPr>
          <w:rFonts w:hint="eastAsia" w:ascii="Times New Roman" w:hAnsi="Times New Roman" w:cs="Times New Roman"/>
          <w:sz w:val="28"/>
          <w:szCs w:val="28"/>
        </w:rPr>
        <w:t>背景</w:t>
      </w:r>
      <w:bookmarkEnd w:id="1"/>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保定市第一中医院始建于1949年，是保定市唯一一所集医疗、可研、教学、康复、预防保健为一体的综合性三级甲等中医医院。保定市第一中医院位于保定市裕华西路530号，占地面积8.9亩，开放床位500张。</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为了更好地解决中医院的发展和改善群众就医条件，保定市第一中医院拟投资22127万元，在保定市莲池区华电路南侧，秀兰﹒文景苑小区东侧，建设</w:t>
      </w:r>
      <w:r>
        <w:rPr>
          <w:rFonts w:hint="eastAsia" w:ascii="Times New Roman" w:hAnsi="Times New Roman" w:cs="Times New Roman"/>
          <w:sz w:val="24"/>
          <w:szCs w:val="24"/>
        </w:rPr>
        <w:t>“</w:t>
      </w:r>
      <w:r>
        <w:rPr>
          <w:rFonts w:ascii="Times New Roman" w:hAnsi="Times New Roman" w:cs="Times New Roman"/>
          <w:sz w:val="24"/>
          <w:szCs w:val="24"/>
        </w:rPr>
        <w:t>保定市第一中医院门诊、病房及综合培训楼新建项目</w:t>
      </w:r>
      <w:r>
        <w:rPr>
          <w:rFonts w:hint="eastAsia" w:ascii="Times New Roman" w:hAnsi="Times New Roman" w:cs="Times New Roman"/>
          <w:sz w:val="24"/>
          <w:szCs w:val="24"/>
        </w:rPr>
        <w:t>”</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保定市发展和改革委员会已出具关于本项目建</w:t>
      </w:r>
      <w:r>
        <w:rPr>
          <w:rFonts w:hint="eastAsia" w:ascii="Times New Roman" w:hAnsi="Times New Roman" w:cs="Times New Roman"/>
          <w:sz w:val="24"/>
          <w:szCs w:val="24"/>
        </w:rPr>
        <w:t>议</w:t>
      </w:r>
      <w:r>
        <w:rPr>
          <w:rFonts w:ascii="Times New Roman" w:hAnsi="Times New Roman" w:cs="Times New Roman"/>
          <w:sz w:val="24"/>
          <w:szCs w:val="24"/>
        </w:rPr>
        <w:t>书的批复（保发改社会[2018]714号）（见附件）。</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sz w:val="24"/>
          <w:szCs w:val="24"/>
        </w:rPr>
        <w:t>根据《中华人民共和国环境影响评价法》、中华人民共和国国务院第</w:t>
      </w:r>
      <w:r>
        <w:rPr>
          <w:rFonts w:hint="eastAsia" w:ascii="Times New Roman" w:hAnsi="Times New Roman" w:cs="Times New Roman"/>
          <w:sz w:val="24"/>
          <w:szCs w:val="24"/>
        </w:rPr>
        <w:t>682</w:t>
      </w:r>
      <w:r>
        <w:rPr>
          <w:rFonts w:ascii="Times New Roman" w:hAnsi="Times New Roman" w:cs="Times New Roman"/>
          <w:sz w:val="24"/>
          <w:szCs w:val="24"/>
        </w:rPr>
        <w:t>号令</w:t>
      </w:r>
      <w:r>
        <w:rPr>
          <w:rFonts w:hint="eastAsia" w:ascii="Times New Roman" w:hAnsi="Times New Roman" w:cs="Times New Roman"/>
          <w:sz w:val="24"/>
          <w:szCs w:val="24"/>
        </w:rPr>
        <w:t>《国务院关于修改〈建设项目环境保护管理条例〉的决定》，依据</w:t>
      </w:r>
      <w:r>
        <w:rPr>
          <w:rFonts w:ascii="Times New Roman" w:hAnsi="Times New Roman" w:cs="Times New Roman"/>
          <w:sz w:val="24"/>
          <w:szCs w:val="24"/>
        </w:rPr>
        <w:t>国家环保部第</w:t>
      </w:r>
      <w:r>
        <w:rPr>
          <w:rFonts w:hint="eastAsia" w:ascii="Times New Roman" w:hAnsi="Times New Roman" w:cs="Times New Roman"/>
          <w:sz w:val="24"/>
          <w:szCs w:val="24"/>
        </w:rPr>
        <w:t>44</w:t>
      </w:r>
      <w:r>
        <w:rPr>
          <w:rFonts w:ascii="Times New Roman" w:hAnsi="Times New Roman" w:cs="Times New Roman"/>
          <w:sz w:val="24"/>
          <w:szCs w:val="24"/>
        </w:rPr>
        <w:t>号令</w:t>
      </w:r>
      <w:r>
        <w:rPr>
          <w:rFonts w:hint="eastAsia" w:ascii="Times New Roman" w:hAnsi="Times New Roman" w:cs="Times New Roman"/>
          <w:sz w:val="24"/>
          <w:szCs w:val="24"/>
        </w:rPr>
        <w:t>《建设项目环境影响评价分类管理名录》</w:t>
      </w:r>
      <w:r>
        <w:rPr>
          <w:rFonts w:hint="eastAsia"/>
          <w:color w:val="000000"/>
          <w:sz w:val="24"/>
          <w:szCs w:val="24"/>
        </w:rPr>
        <w:t>、生态环境部第1号令《关于修改</w:t>
      </w:r>
      <w:r>
        <w:rPr>
          <w:rFonts w:hint="eastAsia" w:asciiTheme="minorEastAsia" w:hAnsiTheme="minorEastAsia"/>
          <w:color w:val="000000"/>
          <w:sz w:val="24"/>
          <w:szCs w:val="24"/>
        </w:rPr>
        <w:t>&lt;</w:t>
      </w:r>
      <w:r>
        <w:rPr>
          <w:rFonts w:hint="eastAsia"/>
          <w:color w:val="000000"/>
          <w:sz w:val="24"/>
          <w:szCs w:val="24"/>
        </w:rPr>
        <w:t>建设项目环境影响评价分类管理名录</w:t>
      </w:r>
      <w:r>
        <w:rPr>
          <w:rFonts w:hint="eastAsia" w:asciiTheme="minorEastAsia" w:hAnsiTheme="minorEastAsia"/>
          <w:color w:val="000000"/>
          <w:sz w:val="24"/>
          <w:szCs w:val="24"/>
        </w:rPr>
        <w:t>&gt;</w:t>
      </w:r>
      <w:r>
        <w:rPr>
          <w:rFonts w:hint="eastAsia"/>
          <w:color w:val="000000"/>
          <w:sz w:val="24"/>
          <w:szCs w:val="24"/>
        </w:rPr>
        <w:t>部分内容的决定》</w:t>
      </w:r>
      <w:r>
        <w:rPr>
          <w:rFonts w:ascii="Times New Roman" w:hAnsi="Times New Roman" w:cs="Times New Roman"/>
          <w:sz w:val="24"/>
          <w:szCs w:val="24"/>
        </w:rPr>
        <w:t>的有关规定，</w:t>
      </w:r>
      <w:r>
        <w:rPr>
          <w:rFonts w:hint="eastAsia" w:ascii="Times New Roman" w:hAnsi="Times New Roman" w:cs="Times New Roman"/>
          <w:sz w:val="24"/>
          <w:szCs w:val="24"/>
        </w:rPr>
        <w:t>本项目属于“三十九、卫生 111 医院、专科防治院（所、站）、社区医疗、卫生院（所、站）、血站、急救中心、疗养院等其他卫生机构</w:t>
      </w:r>
      <w:r>
        <w:rPr>
          <w:rFonts w:hint="eastAsia" w:cs="Times New Roman" w:asciiTheme="minorEastAsia" w:hAnsiTheme="minorEastAsia"/>
          <w:sz w:val="24"/>
          <w:szCs w:val="24"/>
        </w:rPr>
        <w:t>─</w:t>
      </w:r>
      <w:r>
        <w:rPr>
          <w:rFonts w:hint="eastAsia" w:ascii="Times New Roman" w:hAnsi="Times New Roman" w:cs="Times New Roman"/>
          <w:sz w:val="24"/>
          <w:szCs w:val="24"/>
        </w:rPr>
        <w:t>新建</w:t>
      </w:r>
      <w:r>
        <w:rPr>
          <w:rFonts w:hint="eastAsia" w:ascii="Times New Roman" w:hAnsi="Times New Roman" w:cs="Times New Roman"/>
          <w:color w:val="000000" w:themeColor="text1"/>
          <w:sz w:val="24"/>
          <w:szCs w:val="24"/>
        </w:rPr>
        <w:t>、扩建床位500张</w:t>
      </w:r>
      <w:r>
        <w:rPr>
          <w:rFonts w:hint="eastAsia" w:ascii="Times New Roman" w:hAnsi="Times New Roman" w:cs="Times New Roman"/>
          <w:sz w:val="24"/>
          <w:szCs w:val="24"/>
        </w:rPr>
        <w:t>及以上的”，环评报告级别为</w:t>
      </w:r>
      <w:r>
        <w:rPr>
          <w:rFonts w:hint="eastAsia" w:ascii="Times New Roman" w:hAnsi="Times New Roman" w:cs="Times New Roman"/>
          <w:color w:val="000000" w:themeColor="text1"/>
          <w:sz w:val="24"/>
          <w:szCs w:val="24"/>
        </w:rPr>
        <w:t>环境影响报告书。</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为此，</w:t>
      </w:r>
      <w:r>
        <w:rPr>
          <w:rFonts w:hint="eastAsia" w:ascii="Times New Roman" w:hAnsi="Times New Roman" w:cs="Times New Roman"/>
          <w:bCs/>
          <w:color w:val="000000" w:themeColor="text1"/>
          <w:sz w:val="24"/>
          <w:szCs w:val="24"/>
        </w:rPr>
        <w:t>保定市第一中医院</w:t>
      </w:r>
      <w:r>
        <w:rPr>
          <w:rFonts w:ascii="Times New Roman" w:hAnsi="Times New Roman" w:cs="Times New Roman"/>
          <w:color w:val="000000" w:themeColor="text1"/>
          <w:sz w:val="24"/>
          <w:szCs w:val="24"/>
        </w:rPr>
        <w:t>委托</w:t>
      </w:r>
      <w:r>
        <w:rPr>
          <w:rFonts w:hint="eastAsia" w:ascii="Times New Roman" w:hAnsi="Times New Roman" w:cs="Times New Roman"/>
          <w:bCs/>
          <w:color w:val="000000" w:themeColor="text1"/>
          <w:sz w:val="24"/>
          <w:szCs w:val="24"/>
        </w:rPr>
        <w:t>保定市新澜环保技术咨询有限公司</w:t>
      </w:r>
      <w:r>
        <w:rPr>
          <w:rFonts w:ascii="Times New Roman" w:hAnsi="Times New Roman" w:cs="Times New Roman"/>
          <w:color w:val="000000" w:themeColor="text1"/>
          <w:sz w:val="24"/>
          <w:szCs w:val="24"/>
        </w:rPr>
        <w:t>承担本项目的环境影响评价工作</w:t>
      </w:r>
      <w:r>
        <w:rPr>
          <w:rFonts w:hint="eastAsia" w:ascii="Times New Roman" w:hAnsi="Times New Roman" w:cs="Times New Roman"/>
          <w:color w:val="000000" w:themeColor="text1"/>
          <w:sz w:val="24"/>
          <w:szCs w:val="24"/>
        </w:rPr>
        <w:t>（委托书见附件1）</w:t>
      </w:r>
      <w:r>
        <w:rPr>
          <w:rFonts w:ascii="Times New Roman" w:hAnsi="Times New Roman" w:cs="Times New Roman"/>
          <w:color w:val="000000" w:themeColor="text1"/>
          <w:sz w:val="24"/>
          <w:szCs w:val="24"/>
        </w:rPr>
        <w:t>。评价单位</w:t>
      </w:r>
      <w:r>
        <w:rPr>
          <w:rFonts w:hint="eastAsia" w:ascii="Times New Roman" w:hAnsi="Times New Roman" w:cs="Times New Roman"/>
          <w:color w:val="000000" w:themeColor="text1"/>
          <w:sz w:val="24"/>
          <w:szCs w:val="24"/>
        </w:rPr>
        <w:t>接受委托后，立即组织技术人员进行现场踏勘并收集相关资料，对工程进行了充分调研，在此基础上按相关技术导则要求结合相关规划、区域环境特征、项目实际情况开展环境影响评价工作．对项目进行初步工程分析，识别项目环境影响因素，筛选主要的环境影响评价因子，明确评价重点和环境保护目标，确定环境影响评价范围、评价等级和评价标准，最后编写完成了《</w:t>
      </w:r>
      <w:r>
        <w:rPr>
          <w:rFonts w:hint="eastAsia" w:ascii="Times New Roman" w:hAnsi="Times New Roman" w:cs="Times New Roman"/>
          <w:bCs/>
          <w:color w:val="000000" w:themeColor="text1"/>
          <w:sz w:val="24"/>
          <w:szCs w:val="24"/>
        </w:rPr>
        <w:t>保定市第一中医院门诊、病房及综合培训楼新建项目</w:t>
      </w:r>
      <w:r>
        <w:rPr>
          <w:rFonts w:hint="eastAsia" w:ascii="Times New Roman" w:hAnsi="Times New Roman" w:cs="Times New Roman"/>
          <w:color w:val="000000" w:themeColor="text1"/>
          <w:sz w:val="24"/>
          <w:szCs w:val="24"/>
        </w:rPr>
        <w:t>环境影响报告书》（报审版）。</w:t>
      </w:r>
    </w:p>
    <w:p>
      <w:pPr>
        <w:spacing w:line="360" w:lineRule="auto"/>
        <w:ind w:firstLine="600" w:firstLineChars="250"/>
        <w:rPr>
          <w:color w:val="000000" w:themeColor="text1"/>
          <w:sz w:val="24"/>
        </w:rPr>
      </w:pPr>
      <w:r>
        <w:rPr>
          <w:rFonts w:ascii="Times New Roman" w:hAnsi="Times New Roman" w:cs="Times New Roman"/>
          <w:color w:val="000000" w:themeColor="text1"/>
          <w:sz w:val="24"/>
        </w:rPr>
        <w:t>201</w:t>
      </w:r>
      <w:r>
        <w:rPr>
          <w:rFonts w:hint="eastAsia" w:ascii="Times New Roman" w:hAnsi="Times New Roman" w:cs="Times New Roman"/>
          <w:color w:val="000000" w:themeColor="text1"/>
          <w:sz w:val="24"/>
        </w:rPr>
        <w:t>9</w:t>
      </w:r>
      <w:r>
        <w:rPr>
          <w:rFonts w:ascii="Times New Roman" w:hAnsi="Times New Roman" w:cs="Times New Roman"/>
          <w:color w:val="000000" w:themeColor="text1"/>
          <w:sz w:val="24"/>
        </w:rPr>
        <w:t>年</w:t>
      </w:r>
      <w:r>
        <w:rPr>
          <w:rFonts w:hint="eastAsia" w:ascii="Times New Roman" w:hAnsi="Times New Roman" w:cs="Times New Roman"/>
          <w:color w:val="000000" w:themeColor="text1"/>
          <w:sz w:val="24"/>
        </w:rPr>
        <w:t>6</w:t>
      </w:r>
      <w:r>
        <w:rPr>
          <w:rFonts w:ascii="Times New Roman" w:hAnsi="Times New Roman" w:cs="Times New Roman"/>
          <w:color w:val="000000" w:themeColor="text1"/>
          <w:sz w:val="24"/>
        </w:rPr>
        <w:t>月</w:t>
      </w:r>
      <w:r>
        <w:rPr>
          <w:rFonts w:hint="eastAsia" w:ascii="Times New Roman" w:hAnsi="Times New Roman" w:cs="Times New Roman"/>
          <w:color w:val="000000" w:themeColor="text1"/>
          <w:sz w:val="24"/>
        </w:rPr>
        <w:t>13</w:t>
      </w:r>
      <w:r>
        <w:rPr>
          <w:rFonts w:ascii="Times New Roman" w:hAnsi="Times New Roman" w:cs="Times New Roman"/>
          <w:color w:val="000000" w:themeColor="text1"/>
          <w:sz w:val="24"/>
        </w:rPr>
        <w:t>日，</w:t>
      </w:r>
      <w:r>
        <w:rPr>
          <w:rFonts w:hint="eastAsia" w:ascii="Times New Roman" w:hAnsi="Times New Roman" w:cs="Times New Roman"/>
          <w:bCs/>
          <w:color w:val="000000" w:themeColor="text1"/>
          <w:sz w:val="24"/>
          <w:szCs w:val="24"/>
        </w:rPr>
        <w:t>保定市第一中医院</w:t>
      </w:r>
      <w:r>
        <w:rPr>
          <w:rFonts w:hint="eastAsia" w:hAnsi="宋体"/>
          <w:color w:val="000000" w:themeColor="text1"/>
          <w:sz w:val="24"/>
        </w:rPr>
        <w:t>在保定市中心血站主持召开了该项目的环境影响报告书技术评审会，会后评价单位按照专家评审意见对报告内容进行了认真修改完善。报告书（报批版）在环保主管部门批复后将作为项目建设及环境管理的依据。</w:t>
      </w:r>
    </w:p>
    <w:p>
      <w:pPr>
        <w:pStyle w:val="3"/>
        <w:spacing w:before="0" w:after="0" w:line="360" w:lineRule="auto"/>
        <w:rPr>
          <w:rFonts w:ascii="Times New Roman" w:hAnsi="Times New Roman" w:cs="Times New Roman"/>
          <w:sz w:val="28"/>
          <w:szCs w:val="28"/>
        </w:rPr>
      </w:pPr>
      <w:bookmarkStart w:id="2" w:name="_Toc13725330"/>
      <w:r>
        <w:rPr>
          <w:rFonts w:ascii="Times New Roman" w:hAnsi="Times New Roman" w:cs="Times New Roman"/>
          <w:sz w:val="28"/>
          <w:szCs w:val="28"/>
        </w:rPr>
        <w:t>1.2项目特点</w:t>
      </w:r>
      <w:bookmarkEnd w:id="2"/>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本项目为新建项目，与裕华西路530号同属第一中医院，但两个项目独立管理运营。</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bCs/>
          <w:color w:val="000000" w:themeColor="text1"/>
          <w:sz w:val="24"/>
          <w:szCs w:val="24"/>
        </w:rPr>
        <w:t>保定市第一中医院门诊、病房及综合培训楼新建项目</w:t>
      </w:r>
      <w:r>
        <w:rPr>
          <w:rFonts w:hint="eastAsia" w:ascii="Times New Roman" w:hAnsi="Times New Roman" w:cs="Times New Roman"/>
          <w:color w:val="000000" w:themeColor="text1"/>
          <w:sz w:val="24"/>
          <w:szCs w:val="24"/>
        </w:rPr>
        <w:t>位于保定市莲池区华电路南侧，秀兰</w:t>
      </w:r>
      <w:r>
        <w:rPr>
          <w:rFonts w:hint="eastAsia" w:cs="Times New Roman" w:asciiTheme="minorEastAsia" w:hAnsiTheme="minorEastAsia"/>
          <w:color w:val="000000" w:themeColor="text1"/>
          <w:sz w:val="24"/>
          <w:szCs w:val="24"/>
        </w:rPr>
        <w:t>˙</w:t>
      </w:r>
      <w:r>
        <w:rPr>
          <w:rFonts w:hint="eastAsia" w:ascii="Times New Roman" w:hAnsi="Times New Roman" w:cs="Times New Roman"/>
          <w:color w:val="000000" w:themeColor="text1"/>
          <w:sz w:val="24"/>
          <w:szCs w:val="24"/>
        </w:rPr>
        <w:t>文景苑小区东侧，厂区中心地理位置坐标为东经</w:t>
      </w:r>
      <w:r>
        <w:rPr>
          <w:rFonts w:ascii="Times New Roman" w:hAnsi="Times New Roman" w:cs="Times New Roman"/>
          <w:color w:val="000000" w:themeColor="text1"/>
          <w:sz w:val="24"/>
          <w:szCs w:val="24"/>
        </w:rPr>
        <w:t>115°</w:t>
      </w:r>
      <w:r>
        <w:rPr>
          <w:rFonts w:hint="eastAsia" w:ascii="Times New Roman" w:hAnsi="Times New Roman" w:cs="Times New Roman"/>
          <w:color w:val="000000" w:themeColor="text1"/>
          <w:sz w:val="24"/>
          <w:szCs w:val="24"/>
        </w:rPr>
        <w:t>30</w:t>
      </w:r>
      <w:r>
        <w:rPr>
          <w:rFonts w:ascii="Times New Roman" w:hAnsi="Times New Roman" w:cs="Times New Roman"/>
          <w:color w:val="000000" w:themeColor="text1"/>
          <w:sz w:val="24"/>
          <w:szCs w:val="24"/>
        </w:rPr>
        <w:t>′</w:t>
      </w:r>
      <w:r>
        <w:rPr>
          <w:rFonts w:hint="eastAsia" w:ascii="Times New Roman" w:hAnsi="Times New Roman" w:cs="Times New Roman"/>
          <w:color w:val="000000" w:themeColor="text1"/>
          <w:sz w:val="24"/>
          <w:szCs w:val="24"/>
        </w:rPr>
        <w:t>21.56</w:t>
      </w:r>
      <w:r>
        <w:rPr>
          <w:rFonts w:ascii="Times New Roman" w:hAnsi="Times New Roman" w:cs="Times New Roman"/>
          <w:color w:val="000000" w:themeColor="text1"/>
          <w:sz w:val="24"/>
          <w:szCs w:val="24"/>
        </w:rPr>
        <w:t>″ 、</w:t>
      </w:r>
      <w:r>
        <w:rPr>
          <w:rFonts w:hint="eastAsia" w:ascii="Times New Roman" w:hAnsi="Times New Roman" w:cs="Times New Roman"/>
          <w:color w:val="000000" w:themeColor="text1"/>
          <w:sz w:val="24"/>
          <w:szCs w:val="24"/>
        </w:rPr>
        <w:t>北纬</w:t>
      </w:r>
      <w:r>
        <w:rPr>
          <w:rFonts w:ascii="Times New Roman" w:hAnsi="Times New Roman" w:cs="Times New Roman"/>
          <w:color w:val="000000" w:themeColor="text1"/>
          <w:sz w:val="24"/>
          <w:szCs w:val="24"/>
        </w:rPr>
        <w:t>3</w:t>
      </w:r>
      <w:r>
        <w:rPr>
          <w:rFonts w:hint="eastAsia" w:ascii="Times New Roman" w:hAnsi="Times New Roman" w:cs="Times New Roman"/>
          <w:color w:val="000000" w:themeColor="text1"/>
          <w:sz w:val="24"/>
          <w:szCs w:val="24"/>
        </w:rPr>
        <w:t>8</w:t>
      </w:r>
      <w:r>
        <w:rPr>
          <w:rFonts w:ascii="Times New Roman" w:hAnsi="Times New Roman" w:cs="Times New Roman"/>
          <w:color w:val="000000" w:themeColor="text1"/>
          <w:sz w:val="24"/>
          <w:szCs w:val="24"/>
        </w:rPr>
        <w:t>°</w:t>
      </w:r>
      <w:r>
        <w:rPr>
          <w:rFonts w:hint="eastAsia" w:ascii="Times New Roman" w:hAnsi="Times New Roman" w:cs="Times New Roman"/>
          <w:color w:val="000000" w:themeColor="text1"/>
          <w:sz w:val="24"/>
          <w:szCs w:val="24"/>
        </w:rPr>
        <w:t>53</w:t>
      </w:r>
      <w:r>
        <w:rPr>
          <w:rFonts w:ascii="Times New Roman" w:hAnsi="Times New Roman" w:cs="Times New Roman"/>
          <w:color w:val="000000" w:themeColor="text1"/>
          <w:sz w:val="24"/>
          <w:szCs w:val="24"/>
        </w:rPr>
        <w:t>′</w:t>
      </w:r>
      <w:r>
        <w:rPr>
          <w:rFonts w:hint="eastAsia" w:ascii="Times New Roman" w:hAnsi="Times New Roman" w:cs="Times New Roman"/>
          <w:color w:val="000000" w:themeColor="text1"/>
          <w:sz w:val="24"/>
          <w:szCs w:val="24"/>
        </w:rPr>
        <w:t>5.00</w:t>
      </w:r>
      <w:r>
        <w:rPr>
          <w:rFonts w:ascii="Times New Roman" w:hAnsi="Times New Roman" w:cs="Times New Roman"/>
          <w:color w:val="000000" w:themeColor="text1"/>
          <w:sz w:val="24"/>
          <w:szCs w:val="24"/>
        </w:rPr>
        <w:t>″</w:t>
      </w:r>
      <w:r>
        <w:rPr>
          <w:rFonts w:hint="eastAsia" w:ascii="Times New Roman" w:hAnsi="Times New Roman" w:cs="Times New Roman"/>
          <w:color w:val="000000" w:themeColor="text1"/>
          <w:sz w:val="24"/>
          <w:szCs w:val="24"/>
        </w:rPr>
        <w:t>。项目总占地面积为18500m</w:t>
      </w:r>
      <w:r>
        <w:rPr>
          <w:rFonts w:hint="eastAsia" w:ascii="Times New Roman" w:hAnsi="Times New Roman" w:cs="Times New Roman"/>
          <w:color w:val="000000" w:themeColor="text1"/>
          <w:sz w:val="24"/>
          <w:szCs w:val="24"/>
          <w:vertAlign w:val="superscript"/>
        </w:rPr>
        <w:t>2</w:t>
      </w:r>
      <w:r>
        <w:rPr>
          <w:rFonts w:hint="eastAsia" w:ascii="Times New Roman" w:hAnsi="Times New Roman" w:cs="Times New Roman"/>
          <w:color w:val="000000" w:themeColor="text1"/>
          <w:sz w:val="24"/>
          <w:szCs w:val="24"/>
        </w:rPr>
        <w:t>，建筑基底面积7079.04m</w:t>
      </w:r>
      <w:r>
        <w:rPr>
          <w:rFonts w:hint="eastAsia" w:ascii="Times New Roman" w:hAnsi="Times New Roman" w:cs="Times New Roman"/>
          <w:color w:val="000000" w:themeColor="text1"/>
          <w:sz w:val="24"/>
          <w:szCs w:val="24"/>
          <w:vertAlign w:val="superscript"/>
        </w:rPr>
        <w:t>2</w:t>
      </w:r>
      <w:r>
        <w:rPr>
          <w:rFonts w:hint="eastAsia" w:ascii="Times New Roman" w:hAnsi="Times New Roman" w:cs="Times New Roman"/>
          <w:color w:val="000000" w:themeColor="text1"/>
          <w:sz w:val="24"/>
          <w:szCs w:val="24"/>
        </w:rPr>
        <w:t>，总建筑面积55350.00m</w:t>
      </w:r>
      <w:r>
        <w:rPr>
          <w:rFonts w:hint="eastAsia" w:ascii="Times New Roman" w:hAnsi="Times New Roman" w:cs="Times New Roman"/>
          <w:color w:val="000000" w:themeColor="text1"/>
          <w:sz w:val="24"/>
          <w:szCs w:val="24"/>
          <w:vertAlign w:val="superscript"/>
        </w:rPr>
        <w:t>2</w:t>
      </w:r>
      <w:r>
        <w:rPr>
          <w:rFonts w:hint="eastAsia" w:ascii="Times New Roman" w:hAnsi="Times New Roman" w:cs="Times New Roman"/>
          <w:color w:val="000000" w:themeColor="text1"/>
          <w:sz w:val="24"/>
          <w:szCs w:val="24"/>
        </w:rPr>
        <w:t>。建设1栋8层门诊楼，1栋15层住院楼，1栋6层综合培训楼，设计停车位516个（不设人防），容积率2.17，建筑密度38.30%，绿地率30.00%。设计床位600张。</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项目废水营运期废水主要为医疗废水、生活污水和食堂废水；废气主要为食堂油烟、煎药室恶臭气体（主要污染物为臭气浓度）、污水处理工艺各个污水处理单元产生恶臭气体（主要污染物为氨、硫化氢、臭气浓度）；主要噪声源为</w:t>
      </w:r>
      <w:r>
        <w:rPr>
          <w:rFonts w:ascii="Times New Roman" w:hAnsi="Times New Roman" w:cs="Times New Roman"/>
          <w:color w:val="000000" w:themeColor="text1"/>
          <w:sz w:val="24"/>
          <w:szCs w:val="24"/>
        </w:rPr>
        <w:t>风机</w:t>
      </w:r>
      <w:r>
        <w:rPr>
          <w:rFonts w:hint="eastAsia" w:ascii="Times New Roman" w:hAnsi="Times New Roman" w:cs="Times New Roman"/>
          <w:color w:val="000000" w:themeColor="text1"/>
          <w:sz w:val="24"/>
          <w:szCs w:val="24"/>
        </w:rPr>
        <w:t>、水泵等设备以及道路车辆通行</w:t>
      </w:r>
      <w:r>
        <w:rPr>
          <w:rFonts w:ascii="Times New Roman" w:hAnsi="Times New Roman" w:cs="Times New Roman"/>
          <w:color w:val="000000" w:themeColor="text1"/>
          <w:sz w:val="24"/>
          <w:szCs w:val="24"/>
        </w:rPr>
        <w:t>产生的噪声</w:t>
      </w:r>
      <w:r>
        <w:rPr>
          <w:rFonts w:hint="eastAsia" w:ascii="Times New Roman" w:hAnsi="Times New Roman" w:cs="Times New Roman"/>
          <w:color w:val="000000" w:themeColor="text1"/>
          <w:sz w:val="24"/>
          <w:szCs w:val="24"/>
        </w:rPr>
        <w:t>；固体废物主要为化粪池和</w:t>
      </w:r>
      <w:r>
        <w:rPr>
          <w:rFonts w:ascii="Times New Roman" w:hAnsi="Times New Roman" w:cs="Times New Roman"/>
          <w:color w:val="000000" w:themeColor="text1"/>
          <w:sz w:val="24"/>
          <w:szCs w:val="24"/>
        </w:rPr>
        <w:t>污水处理站污泥</w:t>
      </w:r>
      <w:r>
        <w:rPr>
          <w:rFonts w:hint="eastAsia" w:ascii="Times New Roman" w:hAnsi="Times New Roman" w:cs="Times New Roman"/>
          <w:color w:val="000000" w:themeColor="text1"/>
          <w:sz w:val="24"/>
          <w:szCs w:val="24"/>
        </w:rPr>
        <w:t>、医疗废物、</w:t>
      </w:r>
      <w:r>
        <w:rPr>
          <w:rFonts w:ascii="Times New Roman" w:hAnsi="Times New Roman" w:cs="Times New Roman"/>
          <w:bCs/>
          <w:color w:val="000000" w:themeColor="text1"/>
          <w:sz w:val="24"/>
          <w:szCs w:val="24"/>
        </w:rPr>
        <w:t>COD、氨氮在线监测仪</w:t>
      </w:r>
      <w:r>
        <w:rPr>
          <w:rFonts w:hint="eastAsia" w:ascii="Times New Roman" w:hAnsi="Times New Roman" w:cs="Times New Roman"/>
          <w:bCs/>
          <w:color w:val="000000" w:themeColor="text1"/>
          <w:sz w:val="24"/>
          <w:szCs w:val="24"/>
        </w:rPr>
        <w:t>废液</w:t>
      </w:r>
      <w:r>
        <w:rPr>
          <w:rFonts w:hint="eastAsia" w:ascii="Times New Roman" w:hAnsi="Times New Roman" w:cs="Times New Roman"/>
          <w:color w:val="000000" w:themeColor="text1"/>
          <w:sz w:val="24"/>
          <w:szCs w:val="24"/>
        </w:rPr>
        <w:t>和生活垃圾。</w:t>
      </w:r>
    </w:p>
    <w:p>
      <w:pPr>
        <w:pStyle w:val="3"/>
        <w:spacing w:before="0" w:after="0" w:line="360" w:lineRule="auto"/>
        <w:rPr>
          <w:rFonts w:ascii="Times New Roman" w:hAnsi="Times New Roman" w:cs="Times New Roman"/>
          <w:sz w:val="28"/>
          <w:szCs w:val="28"/>
        </w:rPr>
      </w:pPr>
      <w:bookmarkStart w:id="3" w:name="_Toc13725331"/>
      <w:r>
        <w:rPr>
          <w:rFonts w:ascii="Times New Roman" w:hAnsi="Times New Roman" w:cs="Times New Roman"/>
          <w:sz w:val="28"/>
          <w:szCs w:val="28"/>
        </w:rPr>
        <w:t>1.3评价过程</w:t>
      </w:r>
      <w:bookmarkEnd w:id="3"/>
    </w:p>
    <w:p>
      <w:pPr>
        <w:ind w:firstLine="480" w:firstLineChars="200"/>
        <w:rPr>
          <w:rFonts w:ascii="Times New Roman" w:hAnsi="Times New Roman" w:cs="Times New Roman"/>
          <w:sz w:val="24"/>
          <w:szCs w:val="24"/>
        </w:rPr>
      </w:pPr>
      <w:r>
        <w:rPr>
          <w:rFonts w:hint="eastAsia" w:ascii="Times New Roman" w:hAnsi="Times New Roman" w:cs="Times New Roman"/>
          <w:sz w:val="24"/>
          <w:szCs w:val="24"/>
        </w:rPr>
        <w:t>本次评价过程见图1-1。</w:t>
      </w:r>
    </w:p>
    <w:p/>
    <w:p>
      <w:r>
        <w:rPr>
          <w:rFonts w:hint="eastAsia"/>
        </w:rPr>
        <w:drawing>
          <wp:anchor distT="0" distB="0" distL="114300" distR="114300" simplePos="0" relativeHeight="252285952" behindDoc="0" locked="0" layoutInCell="1" allowOverlap="1">
            <wp:simplePos x="0" y="0"/>
            <wp:positionH relativeFrom="column">
              <wp:posOffset>-190500</wp:posOffset>
            </wp:positionH>
            <wp:positionV relativeFrom="paragraph">
              <wp:posOffset>7620</wp:posOffset>
            </wp:positionV>
            <wp:extent cx="5862320" cy="5334000"/>
            <wp:effectExtent l="19050" t="0" r="5080" b="0"/>
            <wp:wrapSquare wrapText="bothSides"/>
            <wp:docPr id="5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1"/>
                    <pic:cNvPicPr>
                      <a:picLocks noChangeAspect="1" noChangeArrowheads="1"/>
                    </pic:cNvPicPr>
                  </pic:nvPicPr>
                  <pic:blipFill>
                    <a:blip r:embed="rId10" cstate="print"/>
                    <a:srcRect t="1585" b="1974"/>
                    <a:stretch>
                      <a:fillRect/>
                    </a:stretch>
                  </pic:blipFill>
                  <pic:spPr>
                    <a:xfrm>
                      <a:off x="0" y="0"/>
                      <a:ext cx="5862320" cy="5334000"/>
                    </a:xfrm>
                    <a:prstGeom prst="rect">
                      <a:avLst/>
                    </a:prstGeom>
                    <a:noFill/>
                    <a:ln w="9525" cmpd="sng">
                      <a:noFill/>
                      <a:miter lim="800000"/>
                      <a:headEnd/>
                      <a:tailEnd/>
                    </a:ln>
                    <a:effectLst/>
                  </pic:spPr>
                </pic:pic>
              </a:graphicData>
            </a:graphic>
          </wp:anchor>
        </w:drawing>
      </w:r>
    </w:p>
    <w:p>
      <w:pPr>
        <w:ind w:firstLine="2048" w:firstLineChars="850"/>
        <w:rPr>
          <w:rFonts w:ascii="Times New Roman" w:hAnsi="Times New Roman" w:cs="Times New Roman" w:eastAsiaTheme="majorEastAsia"/>
          <w:b/>
          <w:sz w:val="24"/>
          <w:szCs w:val="24"/>
        </w:rPr>
      </w:pPr>
      <w:r>
        <w:rPr>
          <w:rFonts w:ascii="Times New Roman" w:cs="Times New Roman" w:hAnsiTheme="majorEastAsia" w:eastAsiaTheme="majorEastAsia"/>
          <w:b/>
          <w:sz w:val="24"/>
          <w:szCs w:val="24"/>
        </w:rPr>
        <w:t>图</w:t>
      </w:r>
      <w:r>
        <w:rPr>
          <w:rFonts w:ascii="Times New Roman" w:hAnsi="Times New Roman" w:cs="Times New Roman" w:eastAsiaTheme="majorEastAsia"/>
          <w:b/>
          <w:sz w:val="24"/>
          <w:szCs w:val="24"/>
        </w:rPr>
        <w:t xml:space="preserve">1-1   </w:t>
      </w:r>
      <w:r>
        <w:rPr>
          <w:rFonts w:ascii="Times New Roman" w:cs="Times New Roman" w:hAnsiTheme="majorEastAsia" w:eastAsiaTheme="majorEastAsia"/>
          <w:b/>
          <w:sz w:val="24"/>
          <w:szCs w:val="24"/>
        </w:rPr>
        <w:t>建设项目主要环境影响评价工序图</w:t>
      </w:r>
    </w:p>
    <w:p>
      <w:pPr>
        <w:pStyle w:val="3"/>
        <w:spacing w:before="0" w:after="0" w:line="360" w:lineRule="auto"/>
        <w:rPr>
          <w:rFonts w:ascii="Times New Roman" w:hAnsi="Times New Roman" w:cs="Times New Roman"/>
          <w:sz w:val="28"/>
          <w:szCs w:val="28"/>
        </w:rPr>
      </w:pPr>
      <w:bookmarkStart w:id="4" w:name="_Toc13725332"/>
      <w:r>
        <w:rPr>
          <w:rFonts w:hint="eastAsia" w:ascii="Times New Roman" w:hAnsi="Times New Roman" w:cs="Times New Roman"/>
          <w:sz w:val="28"/>
          <w:szCs w:val="28"/>
        </w:rPr>
        <w:t>1.4分析判定相关情况</w:t>
      </w:r>
      <w:bookmarkEnd w:id="4"/>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1.4.1项目选址可行性分析</w:t>
      </w:r>
    </w:p>
    <w:p>
      <w:pPr>
        <w:pStyle w:val="5"/>
        <w:spacing w:before="0" w:after="0" w:line="36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1.4.1.1项目准入条件相符性分析</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本项目位于</w:t>
      </w:r>
      <w:r>
        <w:rPr>
          <w:rFonts w:hint="eastAsia" w:ascii="Times New Roman" w:hAnsi="Times New Roman" w:cs="Times New Roman"/>
          <w:color w:val="000000" w:themeColor="text1"/>
          <w:sz w:val="24"/>
          <w:szCs w:val="24"/>
        </w:rPr>
        <w:t>保定市莲池区华电路南侧，秀兰﹒文景苑小区东侧</w:t>
      </w:r>
      <w:r>
        <w:rPr>
          <w:rFonts w:ascii="Times New Roman" w:hAnsi="Times New Roman" w:cs="Times New Roman"/>
          <w:color w:val="000000" w:themeColor="text1"/>
          <w:sz w:val="24"/>
          <w:szCs w:val="24"/>
        </w:rPr>
        <w:t>，</w:t>
      </w:r>
      <w:r>
        <w:rPr>
          <w:rFonts w:hint="eastAsia" w:ascii="Times New Roman" w:hAnsi="Times New Roman" w:cs="Times New Roman"/>
          <w:color w:val="000000" w:themeColor="text1"/>
          <w:sz w:val="24"/>
          <w:szCs w:val="24"/>
        </w:rPr>
        <w:t>本项目已取得固定资产联合审批办公室出具的保定市固定资产项目建设条件联合审查意见书（编号：2019004）：经联合踏勘，各相关部门提出具体建设意见，请你单位按照各部门意见认真落实（见附件）。</w:t>
      </w:r>
    </w:p>
    <w:p>
      <w:pPr>
        <w:pStyle w:val="5"/>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1.4.1.2用地合理性分析</w:t>
      </w:r>
    </w:p>
    <w:p>
      <w:pPr>
        <w:pStyle w:val="50"/>
        <w:numPr>
          <w:ilvl w:val="0"/>
          <w:numId w:val="2"/>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本项目位于保定市莲池区华电路南侧，秀兰﹒文景苑小区东侧，项目总占地面积为18500m</w:t>
      </w:r>
      <w:r>
        <w:rPr>
          <w:rFonts w:hint="eastAsia" w:ascii="Times New Roman" w:hAnsi="Times New Roman" w:cs="Times New Roman"/>
          <w:sz w:val="24"/>
          <w:szCs w:val="24"/>
          <w:vertAlign w:val="superscript"/>
        </w:rPr>
        <w:t>2</w:t>
      </w:r>
      <w:r>
        <w:rPr>
          <w:rFonts w:hint="eastAsia" w:ascii="Times New Roman" w:hAnsi="Times New Roman" w:cs="Times New Roman"/>
          <w:sz w:val="24"/>
          <w:szCs w:val="24"/>
        </w:rPr>
        <w:t>，根据固定资产联合审批办公室出具《保定市固定资产项目建设条件联合审查意见书（编号：2019004）》中自然资源意见：我局同意依据城市规划按政策办理用地手续。属非营利性的医疗卫生设施用地，可以划拨供应土地使用权。</w:t>
      </w:r>
    </w:p>
    <w:p>
      <w:pPr>
        <w:pStyle w:val="50"/>
        <w:numPr>
          <w:ilvl w:val="0"/>
          <w:numId w:val="2"/>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保定市自然资源和规划局已于2019年1月30日出具该项目建设项目选址意见书（选字第130600201900011号）：经审核，本建设项目符合城乡规划要求，颁发此书。</w:t>
      </w:r>
    </w:p>
    <w:p>
      <w:pPr>
        <w:pStyle w:val="5"/>
        <w:spacing w:before="0" w:after="0" w:line="360" w:lineRule="auto"/>
        <w:rPr>
          <w:rFonts w:ascii="Times New Roman" w:hAnsi="Times New Roman" w:cs="Times New Roman"/>
          <w:sz w:val="24"/>
          <w:szCs w:val="24"/>
        </w:rPr>
      </w:pPr>
      <w:r>
        <w:rPr>
          <w:rFonts w:ascii="Times New Roman" w:hAnsi="Times New Roman" w:cs="Times New Roman"/>
          <w:sz w:val="24"/>
          <w:szCs w:val="24"/>
        </w:rPr>
        <w:t>1.4.1.</w:t>
      </w:r>
      <w:r>
        <w:rPr>
          <w:rFonts w:hint="eastAsia" w:ascii="Times New Roman" w:hAnsi="Times New Roman" w:cs="Times New Roman"/>
          <w:sz w:val="24"/>
          <w:szCs w:val="24"/>
        </w:rPr>
        <w:t>3</w:t>
      </w:r>
      <w:r>
        <w:rPr>
          <w:rFonts w:ascii="Times New Roman" w:hAnsi="Times New Roman" w:cs="Times New Roman"/>
          <w:sz w:val="24"/>
          <w:szCs w:val="24"/>
        </w:rPr>
        <w:t xml:space="preserve"> </w:t>
      </w:r>
      <w:r>
        <w:rPr>
          <w:rFonts w:hint="eastAsia" w:ascii="Times New Roman" w:hAnsi="Times New Roman" w:cs="Times New Roman"/>
          <w:sz w:val="24"/>
          <w:szCs w:val="24"/>
        </w:rPr>
        <w:t>环境条件分析</w:t>
      </w:r>
    </w:p>
    <w:p>
      <w:pPr>
        <w:pStyle w:val="50"/>
        <w:spacing w:line="360" w:lineRule="auto"/>
        <w:ind w:firstLine="48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项目认真落实本报告提出的环保对策建议后，污染治理措施治理效果明显，运营期“三废”排放量小，对环境影响较小，环境质量可以维持现状水平。</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综上所述，项目选址可行。</w:t>
      </w:r>
    </w:p>
    <w:p>
      <w:pPr>
        <w:pStyle w:val="5"/>
        <w:spacing w:before="0" w:after="0" w:line="360" w:lineRule="auto"/>
        <w:rPr>
          <w:rFonts w:ascii="Times New Roman" w:hAnsi="Times New Roman" w:cs="Times New Roman"/>
          <w:sz w:val="24"/>
          <w:szCs w:val="24"/>
        </w:rPr>
      </w:pPr>
      <w:r>
        <w:rPr>
          <w:rFonts w:ascii="Times New Roman" w:hAnsi="Times New Roman" w:cs="Times New Roman"/>
          <w:sz w:val="24"/>
          <w:szCs w:val="24"/>
        </w:rPr>
        <w:t>1.4.1.</w:t>
      </w:r>
      <w:r>
        <w:rPr>
          <w:rFonts w:hint="eastAsia" w:ascii="Times New Roman" w:hAnsi="Times New Roman" w:cs="Times New Roman"/>
          <w:sz w:val="24"/>
          <w:szCs w:val="24"/>
        </w:rPr>
        <w:t>4</w:t>
      </w:r>
      <w:r>
        <w:rPr>
          <w:rFonts w:ascii="Times New Roman" w:hAnsi="Times New Roman" w:cs="Times New Roman"/>
          <w:sz w:val="24"/>
          <w:szCs w:val="24"/>
        </w:rPr>
        <w:t xml:space="preserve"> </w:t>
      </w:r>
      <w:r>
        <w:rPr>
          <w:rFonts w:hint="eastAsia" w:ascii="Times New Roman" w:hAnsi="Times New Roman" w:cs="Times New Roman"/>
          <w:sz w:val="24"/>
          <w:szCs w:val="24"/>
        </w:rPr>
        <w:t>“三线一单” 符合性分析</w:t>
      </w:r>
    </w:p>
    <w:p>
      <w:pPr>
        <w:pStyle w:val="10"/>
        <w:ind w:firstLine="482"/>
        <w:jc w:val="center"/>
        <w:rPr>
          <w:rFonts w:ascii="Times New Roman" w:hAnsi="Times New Roman"/>
          <w:b/>
          <w:color w:val="000000" w:themeColor="text1"/>
          <w:sz w:val="24"/>
        </w:rPr>
      </w:pPr>
      <w:r>
        <w:rPr>
          <w:rFonts w:ascii="Times New Roman" w:hAnsi="Times New Roman"/>
          <w:b/>
          <w:color w:val="000000" w:themeColor="text1"/>
          <w:sz w:val="24"/>
        </w:rPr>
        <w:t>表</w:t>
      </w:r>
      <w:r>
        <w:rPr>
          <w:rFonts w:hint="eastAsia" w:ascii="Times New Roman" w:hAnsi="Times New Roman"/>
          <w:b/>
          <w:color w:val="000000" w:themeColor="text1"/>
          <w:sz w:val="24"/>
        </w:rPr>
        <w:t xml:space="preserve">1-1   </w:t>
      </w:r>
      <w:r>
        <w:rPr>
          <w:rFonts w:ascii="Times New Roman" w:hAnsi="Times New Roman"/>
          <w:b/>
          <w:color w:val="000000" w:themeColor="text1"/>
          <w:sz w:val="24"/>
        </w:rPr>
        <w:t xml:space="preserve"> “三线一单”符合性分析</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6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2132" w:type="dxa"/>
            <w:vAlign w:val="center"/>
          </w:tcPr>
          <w:p>
            <w:pPr>
              <w:pStyle w:val="10"/>
              <w:spacing w:line="300" w:lineRule="exact"/>
              <w:jc w:val="center"/>
              <w:rPr>
                <w:rFonts w:ascii="Times New Roman" w:hAnsi="Times New Roman"/>
                <w:b/>
                <w:color w:val="000000" w:themeColor="text1"/>
                <w:szCs w:val="21"/>
              </w:rPr>
            </w:pPr>
            <w:r>
              <w:rPr>
                <w:rFonts w:ascii="Times New Roman" w:hAnsi="Times New Roman"/>
                <w:b/>
                <w:color w:val="000000" w:themeColor="text1"/>
                <w:szCs w:val="21"/>
              </w:rPr>
              <w:t>内容</w:t>
            </w:r>
          </w:p>
        </w:tc>
        <w:tc>
          <w:tcPr>
            <w:tcW w:w="6390" w:type="dxa"/>
            <w:vAlign w:val="center"/>
          </w:tcPr>
          <w:p>
            <w:pPr>
              <w:pStyle w:val="10"/>
              <w:spacing w:line="300" w:lineRule="exact"/>
              <w:jc w:val="center"/>
              <w:rPr>
                <w:rFonts w:ascii="Times New Roman" w:hAnsi="Times New Roman"/>
                <w:b/>
                <w:color w:val="000000" w:themeColor="text1"/>
                <w:szCs w:val="21"/>
              </w:rPr>
            </w:pPr>
            <w:r>
              <w:rPr>
                <w:rFonts w:ascii="Times New Roman" w:hAnsi="Times New Roman"/>
                <w:b/>
                <w:color w:val="000000" w:themeColor="text1"/>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2132" w:type="dxa"/>
            <w:vAlign w:val="center"/>
          </w:tcPr>
          <w:p>
            <w:pPr>
              <w:pStyle w:val="10"/>
              <w:spacing w:line="300" w:lineRule="exact"/>
              <w:rPr>
                <w:rFonts w:ascii="Times New Roman" w:hAnsi="Times New Roman"/>
                <w:color w:val="000000" w:themeColor="text1"/>
                <w:szCs w:val="21"/>
              </w:rPr>
            </w:pPr>
            <w:r>
              <w:rPr>
                <w:rFonts w:ascii="Times New Roman" w:hAnsi="Times New Roman"/>
                <w:color w:val="000000" w:themeColor="text1"/>
                <w:kern w:val="0"/>
                <w:szCs w:val="21"/>
              </w:rPr>
              <w:t>生态保</w:t>
            </w:r>
            <w:r>
              <w:rPr>
                <w:rFonts w:hint="eastAsia" w:ascii="Times New Roman" w:hAnsi="Times New Roman"/>
                <w:color w:val="000000" w:themeColor="text1"/>
                <w:kern w:val="0"/>
                <w:szCs w:val="21"/>
              </w:rPr>
              <w:t>护</w:t>
            </w:r>
            <w:r>
              <w:rPr>
                <w:rFonts w:ascii="Times New Roman" w:hAnsi="Times New Roman"/>
                <w:color w:val="000000" w:themeColor="text1"/>
                <w:kern w:val="0"/>
                <w:szCs w:val="21"/>
              </w:rPr>
              <w:t>红线</w:t>
            </w:r>
          </w:p>
        </w:tc>
        <w:tc>
          <w:tcPr>
            <w:tcW w:w="6390" w:type="dxa"/>
            <w:vAlign w:val="center"/>
          </w:tcPr>
          <w:p>
            <w:pPr>
              <w:autoSpaceDE w:val="0"/>
              <w:autoSpaceDN w:val="0"/>
              <w:spacing w:line="300" w:lineRule="exact"/>
              <w:jc w:val="center"/>
              <w:rPr>
                <w:color w:val="000000" w:themeColor="text1"/>
                <w:szCs w:val="21"/>
              </w:rPr>
            </w:pPr>
            <w:r>
              <w:rPr>
                <w:color w:val="000000" w:themeColor="text1"/>
                <w:kern w:val="0"/>
                <w:szCs w:val="21"/>
              </w:rPr>
              <w:t>本项目位于</w:t>
            </w:r>
            <w:r>
              <w:rPr>
                <w:rFonts w:hint="eastAsia"/>
                <w:color w:val="000000" w:themeColor="text1"/>
                <w:kern w:val="0"/>
                <w:szCs w:val="21"/>
              </w:rPr>
              <w:t>保定市莲池区华电路南侧，秀兰﹒文景苑小区东侧</w:t>
            </w:r>
            <w:r>
              <w:rPr>
                <w:color w:val="000000" w:themeColor="text1"/>
                <w:kern w:val="0"/>
                <w:szCs w:val="21"/>
              </w:rPr>
              <w:t>，周边无自然保护区、饮用水源保护区等生态保护目标，符合生态保护红线要求。</w:t>
            </w:r>
            <w:r>
              <w:rPr>
                <w:rFonts w:hint="eastAsia"/>
                <w:color w:val="000000" w:themeColor="text1"/>
                <w:kern w:val="0"/>
                <w:szCs w:val="21"/>
              </w:rPr>
              <w:t>项目生态保护红线见附图5。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2132" w:type="dxa"/>
            <w:vAlign w:val="center"/>
          </w:tcPr>
          <w:p>
            <w:pPr>
              <w:pStyle w:val="10"/>
              <w:spacing w:line="300" w:lineRule="exact"/>
              <w:rPr>
                <w:rFonts w:ascii="Times New Roman" w:hAnsi="Times New Roman"/>
                <w:color w:val="000000" w:themeColor="text1"/>
                <w:szCs w:val="21"/>
              </w:rPr>
            </w:pPr>
            <w:r>
              <w:rPr>
                <w:rFonts w:ascii="Times New Roman" w:hAnsi="Times New Roman"/>
                <w:color w:val="000000" w:themeColor="text1"/>
                <w:kern w:val="0"/>
                <w:szCs w:val="21"/>
              </w:rPr>
              <w:t>资源利用上线</w:t>
            </w:r>
          </w:p>
        </w:tc>
        <w:tc>
          <w:tcPr>
            <w:tcW w:w="6390" w:type="dxa"/>
            <w:vAlign w:val="center"/>
          </w:tcPr>
          <w:p>
            <w:pPr>
              <w:pStyle w:val="10"/>
              <w:spacing w:after="0" w:line="300" w:lineRule="exact"/>
              <w:ind w:left="0" w:leftChars="0"/>
              <w:rPr>
                <w:rFonts w:ascii="Times New Roman" w:hAnsi="Times New Roman"/>
                <w:color w:val="000000" w:themeColor="text1"/>
                <w:szCs w:val="21"/>
              </w:rPr>
            </w:pPr>
            <w:r>
              <w:rPr>
                <w:rFonts w:ascii="Times New Roman" w:hAnsi="Times New Roman"/>
                <w:color w:val="000000" w:themeColor="text1"/>
                <w:kern w:val="0"/>
                <w:szCs w:val="21"/>
              </w:rPr>
              <w:t>本项目营运过程中能源消耗为电、水等，项目资源消耗</w:t>
            </w:r>
            <w:r>
              <w:rPr>
                <w:rFonts w:hint="eastAsia" w:ascii="Times New Roman" w:hAnsi="Times New Roman"/>
                <w:color w:val="000000" w:themeColor="text1"/>
                <w:kern w:val="0"/>
                <w:szCs w:val="21"/>
              </w:rPr>
              <w:t>量</w:t>
            </w:r>
            <w:r>
              <w:rPr>
                <w:rFonts w:ascii="Times New Roman" w:hAnsi="Times New Roman"/>
                <w:color w:val="000000" w:themeColor="text1"/>
                <w:kern w:val="0"/>
                <w:szCs w:val="21"/>
              </w:rPr>
              <w:t>相对区域资源利用总量较少，符合资源利用上限要求。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2132" w:type="dxa"/>
            <w:vAlign w:val="center"/>
          </w:tcPr>
          <w:p>
            <w:pPr>
              <w:pStyle w:val="10"/>
              <w:spacing w:line="300" w:lineRule="exact"/>
              <w:rPr>
                <w:rFonts w:ascii="Times New Roman" w:hAnsi="Times New Roman"/>
                <w:color w:val="000000" w:themeColor="text1"/>
                <w:szCs w:val="21"/>
              </w:rPr>
            </w:pPr>
            <w:r>
              <w:rPr>
                <w:rFonts w:ascii="Times New Roman" w:hAnsi="Times New Roman"/>
                <w:color w:val="000000" w:themeColor="text1"/>
                <w:kern w:val="0"/>
                <w:szCs w:val="21"/>
              </w:rPr>
              <w:t>环境质量底线</w:t>
            </w:r>
          </w:p>
        </w:tc>
        <w:tc>
          <w:tcPr>
            <w:tcW w:w="6390" w:type="dxa"/>
            <w:vAlign w:val="center"/>
          </w:tcPr>
          <w:p>
            <w:pPr>
              <w:pStyle w:val="10"/>
              <w:spacing w:after="0" w:line="300" w:lineRule="exact"/>
              <w:ind w:left="0" w:leftChars="0"/>
              <w:jc w:val="center"/>
              <w:rPr>
                <w:rFonts w:ascii="Times New Roman" w:hAnsi="Times New Roman"/>
                <w:color w:val="000000" w:themeColor="text1"/>
                <w:szCs w:val="21"/>
              </w:rPr>
            </w:pPr>
            <w:r>
              <w:rPr>
                <w:rFonts w:ascii="Times New Roman" w:hAnsi="Times New Roman"/>
                <w:color w:val="000000" w:themeColor="text1"/>
                <w:kern w:val="0"/>
                <w:szCs w:val="21"/>
              </w:rPr>
              <w:t>本项目主要污染物为</w:t>
            </w:r>
            <w:r>
              <w:rPr>
                <w:rFonts w:hint="eastAsia" w:ascii="Times New Roman" w:hAnsi="Times New Roman"/>
                <w:color w:val="000000" w:themeColor="text1"/>
                <w:kern w:val="0"/>
                <w:szCs w:val="21"/>
              </w:rPr>
              <w:t>废水、</w:t>
            </w:r>
            <w:r>
              <w:rPr>
                <w:rFonts w:ascii="Times New Roman" w:hAnsi="Times New Roman"/>
                <w:color w:val="000000" w:themeColor="text1"/>
                <w:kern w:val="0"/>
                <w:szCs w:val="21"/>
              </w:rPr>
              <w:t>废气</w:t>
            </w:r>
            <w:r>
              <w:rPr>
                <w:rFonts w:hint="eastAsia" w:ascii="Times New Roman" w:hAnsi="Times New Roman"/>
                <w:color w:val="000000" w:themeColor="text1"/>
                <w:kern w:val="0"/>
                <w:szCs w:val="21"/>
              </w:rPr>
              <w:t>、噪声、固体废物</w:t>
            </w:r>
            <w:r>
              <w:rPr>
                <w:rFonts w:ascii="Times New Roman" w:hAnsi="Times New Roman"/>
                <w:color w:val="000000" w:themeColor="text1"/>
                <w:kern w:val="0"/>
                <w:szCs w:val="21"/>
              </w:rPr>
              <w:t>，经</w:t>
            </w:r>
            <w:r>
              <w:rPr>
                <w:rFonts w:hint="eastAsia" w:ascii="Times New Roman" w:hAnsi="Times New Roman"/>
                <w:color w:val="000000" w:themeColor="text1"/>
                <w:kern w:val="0"/>
                <w:szCs w:val="21"/>
              </w:rPr>
              <w:t>相应治理</w:t>
            </w:r>
            <w:r>
              <w:rPr>
                <w:rFonts w:ascii="Times New Roman" w:hAnsi="Times New Roman"/>
                <w:color w:val="000000" w:themeColor="text1"/>
                <w:kern w:val="0"/>
                <w:szCs w:val="21"/>
              </w:rPr>
              <w:t>措施处理后，对周边环境影响很小，符合环境质量底线要求。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2132" w:type="dxa"/>
            <w:vAlign w:val="center"/>
          </w:tcPr>
          <w:p>
            <w:pPr>
              <w:pStyle w:val="10"/>
              <w:spacing w:line="300" w:lineRule="exact"/>
              <w:ind w:left="0" w:leftChars="0" w:firstLine="105" w:firstLineChars="50"/>
              <w:rPr>
                <w:rFonts w:ascii="Times New Roman" w:hAnsi="Times New Roman"/>
                <w:color w:val="000000" w:themeColor="text1"/>
                <w:szCs w:val="21"/>
              </w:rPr>
            </w:pPr>
            <w:r>
              <w:rPr>
                <w:rFonts w:ascii="Times New Roman" w:hAnsi="Times New Roman"/>
                <w:color w:val="000000" w:themeColor="text1"/>
                <w:kern w:val="0"/>
                <w:szCs w:val="21"/>
              </w:rPr>
              <w:t>环境准入负面清单</w:t>
            </w:r>
          </w:p>
        </w:tc>
        <w:tc>
          <w:tcPr>
            <w:tcW w:w="6390" w:type="dxa"/>
            <w:vAlign w:val="center"/>
          </w:tcPr>
          <w:p>
            <w:pPr>
              <w:pStyle w:val="10"/>
              <w:spacing w:after="0" w:line="300" w:lineRule="exact"/>
              <w:ind w:left="0" w:leftChars="0"/>
              <w:jc w:val="center"/>
              <w:rPr>
                <w:rFonts w:ascii="Times New Roman" w:hAnsi="Times New Roman"/>
                <w:color w:val="000000" w:themeColor="text1"/>
                <w:szCs w:val="21"/>
              </w:rPr>
            </w:pPr>
            <w:r>
              <w:rPr>
                <w:rFonts w:hint="eastAsia" w:ascii="Times New Roman" w:hAnsi="Times New Roman"/>
                <w:color w:val="000000" w:themeColor="text1"/>
                <w:szCs w:val="21"/>
              </w:rPr>
              <w:t>本项目为医疗卫生服务设施建设，目前项目选址区域无明确的环境准入负面清单，项目不属于高污染、高耗能和资源型的产业类型。</w:t>
            </w:r>
          </w:p>
        </w:tc>
      </w:tr>
    </w:tbl>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1.4.2产业政策符合性分析</w:t>
      </w:r>
    </w:p>
    <w:p>
      <w:pPr>
        <w:pStyle w:val="50"/>
        <w:numPr>
          <w:ilvl w:val="0"/>
          <w:numId w:val="3"/>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本项目属于国家发改委令第21号《产业结构调整指导目录（2011年本）（2013</w:t>
      </w:r>
      <w:r>
        <w:rPr>
          <w:rFonts w:hint="eastAsia" w:ascii="Times New Roman" w:hAnsi="Times New Roman" w:cs="Times New Roman"/>
          <w:sz w:val="24"/>
          <w:szCs w:val="24"/>
        </w:rPr>
        <w:t>修正</w:t>
      </w:r>
      <w:r>
        <w:rPr>
          <w:rFonts w:ascii="Times New Roman" w:hAnsi="Times New Roman" w:cs="Times New Roman"/>
          <w:sz w:val="24"/>
          <w:szCs w:val="24"/>
        </w:rPr>
        <w:t>）》</w:t>
      </w:r>
      <w:r>
        <w:rPr>
          <w:rFonts w:hint="eastAsia" w:ascii="Times New Roman" w:hAnsi="Times New Roman" w:cs="Times New Roman"/>
          <w:sz w:val="24"/>
          <w:szCs w:val="24"/>
        </w:rPr>
        <w:t>中“鼓励类  三十六、教育、文化、卫生、体育服务业：29 “医疗卫生服务设施建设”；</w:t>
      </w:r>
    </w:p>
    <w:p>
      <w:pPr>
        <w:pStyle w:val="50"/>
        <w:numPr>
          <w:ilvl w:val="0"/>
          <w:numId w:val="3"/>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项目</w:t>
      </w:r>
      <w:r>
        <w:rPr>
          <w:rFonts w:ascii="Times New Roman" w:hAnsi="Times New Roman" w:cs="Times New Roman"/>
          <w:sz w:val="24"/>
          <w:szCs w:val="24"/>
        </w:rPr>
        <w:t>不属于《河北省新增限制和淘汰类产业目录（2015年版）》（冀政办发[2015]7号）中限制和淘汰类建设项目</w:t>
      </w:r>
      <w:r>
        <w:rPr>
          <w:rFonts w:hint="eastAsia" w:ascii="Times New Roman" w:hAnsi="Times New Roman" w:cs="Times New Roman"/>
          <w:sz w:val="24"/>
          <w:szCs w:val="24"/>
        </w:rPr>
        <w:t>；</w:t>
      </w:r>
    </w:p>
    <w:p>
      <w:pPr>
        <w:pStyle w:val="50"/>
        <w:numPr>
          <w:ilvl w:val="0"/>
          <w:numId w:val="3"/>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项目设备未列入工信部《高耗能落后机电设备（产品）淘汰目录（第一批、第二批、第三批、第四批）》中所列淘汰落后生产工艺装备和产品。</w:t>
      </w:r>
    </w:p>
    <w:p>
      <w:pPr>
        <w:pStyle w:val="50"/>
        <w:numPr>
          <w:ilvl w:val="0"/>
          <w:numId w:val="3"/>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企业已取得</w:t>
      </w:r>
      <w:r>
        <w:rPr>
          <w:rFonts w:hint="eastAsia" w:ascii="Times New Roman" w:hAnsi="Times New Roman" w:cs="Times New Roman"/>
          <w:sz w:val="24"/>
          <w:szCs w:val="24"/>
        </w:rPr>
        <w:t>保定市发展和改革委员会已出具关于本项目建议书的批复（保发改社会[2018]714号）</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综上所述，项目建设符合国家及地方产业政策。</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1.4.3清洁生产符合性分析</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eastAsia="宋体" w:cs="Times New Roman"/>
          <w:color w:val="000000" w:themeColor="text1"/>
          <w:sz w:val="24"/>
          <w:szCs w:val="24"/>
        </w:rPr>
        <w:t>本项目在总体规划设计中，合理采用建筑及装饰材料，并采取一系列的节能、节水措施，减少资源的消耗，符合清洁生产要求。</w:t>
      </w:r>
    </w:p>
    <w:p>
      <w:pPr>
        <w:pStyle w:val="3"/>
        <w:spacing w:before="0" w:after="0" w:line="360" w:lineRule="auto"/>
        <w:rPr>
          <w:rFonts w:ascii="Times New Roman" w:hAnsi="Times New Roman" w:cs="Times New Roman"/>
          <w:sz w:val="28"/>
          <w:szCs w:val="28"/>
        </w:rPr>
      </w:pPr>
      <w:bookmarkStart w:id="5" w:name="_Toc13725333"/>
      <w:r>
        <w:rPr>
          <w:rFonts w:ascii="Times New Roman" w:hAnsi="Times New Roman" w:cs="Times New Roman"/>
          <w:sz w:val="28"/>
          <w:szCs w:val="28"/>
        </w:rPr>
        <w:t>1.</w:t>
      </w:r>
      <w:r>
        <w:rPr>
          <w:rFonts w:hint="eastAsia" w:ascii="Times New Roman" w:hAnsi="Times New Roman" w:cs="Times New Roman"/>
          <w:sz w:val="28"/>
          <w:szCs w:val="28"/>
        </w:rPr>
        <w:t>5</w:t>
      </w:r>
      <w:r>
        <w:rPr>
          <w:rFonts w:ascii="Times New Roman" w:hAnsi="Times New Roman" w:cs="Times New Roman"/>
          <w:sz w:val="28"/>
          <w:szCs w:val="28"/>
        </w:rPr>
        <w:t>关注的主要环境问题</w:t>
      </w:r>
      <w:bookmarkEnd w:id="5"/>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评价关注的主要环境问题是项目营运期废水，其次为废气、噪声及固体废物对区域环境的影响。</w:t>
      </w:r>
    </w:p>
    <w:p>
      <w:pPr>
        <w:spacing w:line="360" w:lineRule="auto"/>
        <w:ind w:firstLine="480" w:firstLineChars="200"/>
        <w:rPr>
          <w:rFonts w:ascii="Times New Roman" w:hAnsi="Times New Roman" w:cs="Times New Roman"/>
          <w:color w:val="FF0000"/>
          <w:sz w:val="24"/>
          <w:szCs w:val="24"/>
        </w:rPr>
      </w:pPr>
      <w:r>
        <w:rPr>
          <w:rFonts w:hint="eastAsia" w:ascii="Times New Roman" w:hAnsi="Times New Roman" w:cs="Times New Roman"/>
          <w:color w:val="000000" w:themeColor="text1"/>
          <w:sz w:val="24"/>
          <w:szCs w:val="24"/>
        </w:rPr>
        <w:t>项目营运期废水主要为医疗废水、生活污水和食堂废水。</w:t>
      </w:r>
      <w:r>
        <w:rPr>
          <w:rFonts w:ascii="Times New Roman" w:hAnsi="Times New Roman" w:cs="Times New Roman"/>
          <w:color w:val="000000" w:themeColor="text1"/>
          <w:sz w:val="24"/>
          <w:szCs w:val="24"/>
        </w:rPr>
        <w:t>食堂废水经隔油池</w:t>
      </w:r>
      <w:r>
        <w:rPr>
          <w:rFonts w:hint="eastAsia" w:ascii="Times New Roman" w:hAnsi="Times New Roman" w:cs="Times New Roman"/>
          <w:color w:val="000000" w:themeColor="text1"/>
          <w:sz w:val="24"/>
          <w:szCs w:val="24"/>
        </w:rPr>
        <w:t>预处理后，与医疗废水、生活污水一并进入</w:t>
      </w:r>
      <w:r>
        <w:rPr>
          <w:rFonts w:ascii="Times New Roman" w:hAnsi="Times New Roman" w:cs="Times New Roman"/>
          <w:color w:val="000000" w:themeColor="text1"/>
          <w:sz w:val="24"/>
          <w:szCs w:val="24"/>
        </w:rPr>
        <w:t>化粪池处理后排入医院污水处理站处理，</w:t>
      </w:r>
      <w:r>
        <w:rPr>
          <w:rFonts w:hint="eastAsia" w:ascii="Times New Roman" w:hAnsi="Times New Roman" w:cs="Times New Roman"/>
          <w:color w:val="000000" w:themeColor="text1"/>
          <w:sz w:val="24"/>
          <w:szCs w:val="24"/>
        </w:rPr>
        <w:t>最终排入银定庄污水处理厂。</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项目营运期废气主要为食堂油烟、煎药室恶臭气体和污水处理工艺各个污水处理单元产生恶臭气体（主要污染物为氨、硫化氢、臭气浓度）。食堂油烟采取安装油烟净化器进行治理后于食堂楼顶排放；煎药室采取煎药设备煎药过程密闭，及时通风，无组织排放；污水处理站恶臭气体通过集气管道</w:t>
      </w:r>
      <w:r>
        <w:rPr>
          <w:rFonts w:ascii="Times New Roman" w:hAnsi="Times New Roman" w:cs="Times New Roman"/>
          <w:color w:val="000000" w:themeColor="text1"/>
          <w:sz w:val="24"/>
          <w:szCs w:val="24"/>
        </w:rPr>
        <w:t>+</w:t>
      </w:r>
      <w:r>
        <w:rPr>
          <w:rFonts w:hint="eastAsia" w:ascii="Times New Roman" w:hAnsi="Times New Roman" w:cs="Times New Roman"/>
          <w:color w:val="000000" w:themeColor="text1"/>
          <w:sz w:val="24"/>
          <w:szCs w:val="24"/>
        </w:rPr>
        <w:t>水喷淋装置</w:t>
      </w:r>
      <w:r>
        <w:rPr>
          <w:rFonts w:ascii="Times New Roman" w:hAnsi="Times New Roman" w:cs="Times New Roman"/>
          <w:color w:val="000000" w:themeColor="text1"/>
          <w:sz w:val="24"/>
          <w:szCs w:val="24"/>
        </w:rPr>
        <w:t>+UV</w:t>
      </w:r>
      <w:r>
        <w:rPr>
          <w:rFonts w:hint="eastAsia" w:ascii="Times New Roman" w:hAnsi="Times New Roman" w:cs="Times New Roman"/>
          <w:color w:val="000000" w:themeColor="text1"/>
          <w:sz w:val="24"/>
          <w:szCs w:val="24"/>
        </w:rPr>
        <w:t>紫外线光解净化器</w:t>
      </w:r>
      <w:r>
        <w:rPr>
          <w:rFonts w:ascii="Times New Roman" w:hAnsi="Times New Roman" w:cs="Times New Roman"/>
          <w:color w:val="000000" w:themeColor="text1"/>
          <w:sz w:val="24"/>
          <w:szCs w:val="24"/>
        </w:rPr>
        <w:t>+1</w:t>
      </w:r>
      <w:r>
        <w:rPr>
          <w:rFonts w:hint="eastAsia" w:ascii="Times New Roman" w:hAnsi="Times New Roman" w:cs="Times New Roman"/>
          <w:color w:val="000000" w:themeColor="text1"/>
          <w:sz w:val="24"/>
          <w:szCs w:val="24"/>
        </w:rPr>
        <w:t>根</w:t>
      </w:r>
      <w:r>
        <w:rPr>
          <w:rFonts w:ascii="Times New Roman" w:hAnsi="Times New Roman" w:cs="Times New Roman"/>
          <w:color w:val="000000" w:themeColor="text1"/>
          <w:sz w:val="24"/>
          <w:szCs w:val="24"/>
        </w:rPr>
        <w:t>15m</w:t>
      </w:r>
      <w:r>
        <w:rPr>
          <w:rFonts w:hint="eastAsia" w:ascii="Times New Roman" w:hAnsi="Times New Roman" w:cs="Times New Roman"/>
          <w:color w:val="000000" w:themeColor="text1"/>
          <w:sz w:val="24"/>
          <w:szCs w:val="24"/>
        </w:rPr>
        <w:t>高排气筒。</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项目主要噪声源为</w:t>
      </w:r>
      <w:r>
        <w:rPr>
          <w:rFonts w:ascii="Times New Roman" w:hAnsi="Times New Roman" w:cs="Times New Roman"/>
          <w:sz w:val="24"/>
          <w:szCs w:val="24"/>
        </w:rPr>
        <w:t>风机</w:t>
      </w:r>
      <w:r>
        <w:rPr>
          <w:rFonts w:hint="eastAsia" w:ascii="Times New Roman" w:hAnsi="Times New Roman" w:cs="Times New Roman"/>
          <w:sz w:val="24"/>
          <w:szCs w:val="24"/>
        </w:rPr>
        <w:t>、水泵等设备以及道路车辆通行</w:t>
      </w:r>
      <w:r>
        <w:rPr>
          <w:rFonts w:ascii="Times New Roman" w:hAnsi="Times New Roman" w:cs="Times New Roman"/>
          <w:sz w:val="24"/>
          <w:szCs w:val="24"/>
        </w:rPr>
        <w:t>产生的噪声，</w:t>
      </w:r>
      <w:r>
        <w:rPr>
          <w:rFonts w:hint="eastAsia" w:ascii="Times New Roman" w:hAnsi="Times New Roman" w:cs="Times New Roman"/>
          <w:sz w:val="24"/>
          <w:szCs w:val="24"/>
        </w:rPr>
        <w:t>各设备</w:t>
      </w:r>
      <w:r>
        <w:rPr>
          <w:rFonts w:ascii="Times New Roman" w:hAnsi="Times New Roman" w:cs="Times New Roman"/>
          <w:sz w:val="24"/>
          <w:szCs w:val="24"/>
        </w:rPr>
        <w:t>源强约</w:t>
      </w:r>
      <w:r>
        <w:rPr>
          <w:rFonts w:hint="eastAsia" w:ascii="Times New Roman" w:hAnsi="Times New Roman" w:cs="Times New Roman"/>
          <w:sz w:val="24"/>
          <w:szCs w:val="24"/>
        </w:rPr>
        <w:t>75~</w:t>
      </w:r>
      <w:r>
        <w:rPr>
          <w:rFonts w:ascii="Times New Roman" w:hAnsi="Times New Roman" w:cs="Times New Roman"/>
          <w:sz w:val="24"/>
          <w:szCs w:val="24"/>
        </w:rPr>
        <w:t>8</w:t>
      </w:r>
      <w:r>
        <w:rPr>
          <w:rFonts w:hint="eastAsia" w:ascii="Times New Roman" w:hAnsi="Times New Roman" w:cs="Times New Roman"/>
          <w:sz w:val="24"/>
          <w:szCs w:val="24"/>
        </w:rPr>
        <w:t>5</w:t>
      </w:r>
      <w:r>
        <w:rPr>
          <w:rFonts w:ascii="Times New Roman" w:hAnsi="Times New Roman" w:cs="Times New Roman"/>
          <w:sz w:val="24"/>
          <w:szCs w:val="24"/>
        </w:rPr>
        <w:t>dB(A)，经采取基础减</w:t>
      </w:r>
      <w:r>
        <w:rPr>
          <w:rFonts w:hint="eastAsia" w:ascii="Times New Roman" w:hAnsi="Times New Roman" w:cs="Times New Roman"/>
          <w:sz w:val="24"/>
          <w:szCs w:val="24"/>
        </w:rPr>
        <w:t>振</w:t>
      </w:r>
      <w:r>
        <w:rPr>
          <w:rFonts w:ascii="Times New Roman" w:hAnsi="Times New Roman" w:cs="Times New Roman"/>
          <w:sz w:val="24"/>
          <w:szCs w:val="24"/>
        </w:rPr>
        <w:t>、隔声</w:t>
      </w:r>
      <w:r>
        <w:rPr>
          <w:rFonts w:hint="eastAsia" w:ascii="Times New Roman" w:hAnsi="Times New Roman" w:cs="Times New Roman"/>
          <w:sz w:val="24"/>
          <w:szCs w:val="24"/>
        </w:rPr>
        <w:t>、风机进出口软连接</w:t>
      </w:r>
      <w:r>
        <w:rPr>
          <w:rFonts w:ascii="Times New Roman" w:hAnsi="Times New Roman" w:cs="Times New Roman"/>
          <w:sz w:val="24"/>
          <w:szCs w:val="24"/>
        </w:rPr>
        <w:t>等措施，再经过距离衰减</w:t>
      </w:r>
      <w:r>
        <w:rPr>
          <w:rFonts w:hint="eastAsia" w:ascii="Times New Roman" w:hAnsi="Times New Roman" w:cs="Times New Roman"/>
          <w:sz w:val="24"/>
          <w:szCs w:val="24"/>
        </w:rPr>
        <w:t>等降噪措施。</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项目固体废物主要为化粪池和</w:t>
      </w:r>
      <w:r>
        <w:rPr>
          <w:rFonts w:ascii="Times New Roman" w:hAnsi="Times New Roman" w:cs="Times New Roman"/>
          <w:sz w:val="24"/>
          <w:szCs w:val="24"/>
        </w:rPr>
        <w:t>污水处理站污泥</w:t>
      </w:r>
      <w:r>
        <w:rPr>
          <w:rFonts w:hint="eastAsia" w:ascii="Times New Roman" w:hAnsi="Times New Roman" w:cs="Times New Roman"/>
          <w:sz w:val="24"/>
          <w:szCs w:val="24"/>
        </w:rPr>
        <w:t>、医疗废物、</w:t>
      </w:r>
      <w:r>
        <w:rPr>
          <w:rFonts w:ascii="Times New Roman" w:hAnsi="Times New Roman" w:cs="Times New Roman"/>
          <w:bCs/>
          <w:sz w:val="24"/>
          <w:szCs w:val="24"/>
        </w:rPr>
        <w:t>COD、氨氮在线监测仪</w:t>
      </w:r>
      <w:r>
        <w:rPr>
          <w:rFonts w:hint="eastAsia" w:ascii="Times New Roman" w:hAnsi="Times New Roman" w:cs="Times New Roman"/>
          <w:bCs/>
          <w:sz w:val="24"/>
          <w:szCs w:val="24"/>
        </w:rPr>
        <w:t>废液</w:t>
      </w:r>
      <w:r>
        <w:rPr>
          <w:rFonts w:hint="eastAsia" w:ascii="Times New Roman" w:hAnsi="Times New Roman" w:cs="Times New Roman"/>
          <w:sz w:val="24"/>
          <w:szCs w:val="24"/>
        </w:rPr>
        <w:t>、药渣、生活垃圾。</w:t>
      </w:r>
      <w:r>
        <w:rPr>
          <w:rFonts w:ascii="Times New Roman" w:hAnsi="Times New Roman" w:cs="Times New Roman"/>
          <w:sz w:val="24"/>
          <w:szCs w:val="24"/>
        </w:rPr>
        <w:t>医疗废物和污泥</w:t>
      </w:r>
      <w:r>
        <w:rPr>
          <w:rFonts w:hint="eastAsia" w:ascii="Times New Roman" w:hAnsi="Times New Roman" w:cs="Times New Roman"/>
          <w:sz w:val="24"/>
          <w:szCs w:val="24"/>
        </w:rPr>
        <w:t>按照《危险废物贮存污染控制标准》</w:t>
      </w:r>
      <w:r>
        <w:rPr>
          <w:rFonts w:ascii="Times New Roman" w:hAnsi="Times New Roman" w:cs="Times New Roman"/>
          <w:sz w:val="24"/>
          <w:szCs w:val="24"/>
        </w:rPr>
        <w:t>分类收集后消毒灭菌、密封包装，</w:t>
      </w:r>
      <w:r>
        <w:rPr>
          <w:rFonts w:hint="eastAsia" w:ascii="Times New Roman" w:hAnsi="Times New Roman" w:cs="Times New Roman"/>
          <w:sz w:val="24"/>
          <w:szCs w:val="24"/>
        </w:rPr>
        <w:t>临时贮存在医院内密封的专用容器内</w:t>
      </w:r>
      <w:r>
        <w:rPr>
          <w:rFonts w:ascii="Times New Roman" w:hAnsi="Times New Roman" w:cs="Times New Roman"/>
          <w:sz w:val="24"/>
          <w:szCs w:val="24"/>
        </w:rPr>
        <w:t>，</w:t>
      </w:r>
      <w:r>
        <w:rPr>
          <w:rFonts w:hint="eastAsia" w:ascii="Times New Roman" w:hAnsi="Times New Roman" w:cs="Times New Roman"/>
          <w:sz w:val="24"/>
          <w:szCs w:val="24"/>
        </w:rPr>
        <w:t>定期交由有资质单位统一处理；药渣、生活垃圾定期由环卫部门统一收集处置。</w:t>
      </w:r>
    </w:p>
    <w:p>
      <w:pPr>
        <w:pStyle w:val="3"/>
        <w:spacing w:before="0" w:after="0" w:line="360" w:lineRule="auto"/>
        <w:rPr>
          <w:rFonts w:ascii="Times New Roman" w:hAnsi="Times New Roman" w:cs="Times New Roman"/>
          <w:color w:val="000000" w:themeColor="text1"/>
          <w:sz w:val="28"/>
          <w:szCs w:val="28"/>
        </w:rPr>
      </w:pPr>
      <w:bookmarkStart w:id="6" w:name="_Toc13725334"/>
      <w:r>
        <w:rPr>
          <w:rFonts w:ascii="Times New Roman" w:hAnsi="Times New Roman" w:cs="Times New Roman"/>
          <w:color w:val="000000" w:themeColor="text1"/>
          <w:sz w:val="28"/>
          <w:szCs w:val="28"/>
        </w:rPr>
        <w:t>1.</w:t>
      </w:r>
      <w:r>
        <w:rPr>
          <w:rFonts w:hint="eastAsia" w:ascii="Times New Roman" w:hAnsi="Times New Roman" w:cs="Times New Roman"/>
          <w:color w:val="000000" w:themeColor="text1"/>
          <w:sz w:val="28"/>
          <w:szCs w:val="28"/>
        </w:rPr>
        <w:t>6现有院区存在环境问题及解决措施</w:t>
      </w:r>
      <w:bookmarkEnd w:id="6"/>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保定市第一中医院始建于1949年，</w:t>
      </w:r>
      <w:r>
        <w:rPr>
          <w:rFonts w:hint="eastAsia" w:ascii="Times New Roman" w:hAnsi="Times New Roman" w:cs="Times New Roman"/>
          <w:color w:val="000000" w:themeColor="text1"/>
          <w:sz w:val="24"/>
          <w:szCs w:val="24"/>
        </w:rPr>
        <w:t>现有院区</w:t>
      </w:r>
      <w:r>
        <w:rPr>
          <w:rFonts w:ascii="Times New Roman" w:hAnsi="Times New Roman" w:cs="Times New Roman"/>
          <w:color w:val="000000" w:themeColor="text1"/>
          <w:sz w:val="24"/>
          <w:szCs w:val="24"/>
        </w:rPr>
        <w:t>位于保定市裕华西路530号，占地面积8.9亩，开放床位500张。现有项目迄今为止未办理</w:t>
      </w:r>
      <w:r>
        <w:rPr>
          <w:rFonts w:hint="eastAsia" w:ascii="Times New Roman" w:hAnsi="Times New Roman" w:cs="Times New Roman"/>
          <w:color w:val="000000" w:themeColor="text1"/>
          <w:sz w:val="24"/>
          <w:szCs w:val="24"/>
        </w:rPr>
        <w:t>相关</w:t>
      </w:r>
      <w:r>
        <w:rPr>
          <w:rFonts w:ascii="Times New Roman" w:hAnsi="Times New Roman" w:cs="Times New Roman"/>
          <w:color w:val="000000" w:themeColor="text1"/>
          <w:sz w:val="24"/>
          <w:szCs w:val="24"/>
        </w:rPr>
        <w:t>环保手续</w:t>
      </w:r>
      <w:r>
        <w:rPr>
          <w:rFonts w:hint="eastAsia" w:ascii="Times New Roman" w:hAnsi="Times New Roman" w:cs="Times New Roman"/>
          <w:color w:val="000000" w:themeColor="text1"/>
          <w:sz w:val="24"/>
          <w:szCs w:val="24"/>
        </w:rPr>
        <w:t>，根据环保法和环境影响评价法相关规定</w:t>
      </w:r>
      <w:r>
        <w:rPr>
          <w:rFonts w:ascii="Times New Roman" w:hAnsi="Times New Roman" w:cs="Times New Roman"/>
          <w:color w:val="000000" w:themeColor="text1"/>
          <w:sz w:val="24"/>
          <w:szCs w:val="24"/>
        </w:rPr>
        <w:t>，保定市第一中医院</w:t>
      </w:r>
      <w:r>
        <w:rPr>
          <w:rFonts w:hint="eastAsia" w:ascii="Times New Roman" w:hAnsi="Times New Roman" w:cs="Times New Roman"/>
          <w:color w:val="000000" w:themeColor="text1"/>
          <w:sz w:val="24"/>
          <w:szCs w:val="24"/>
        </w:rPr>
        <w:t>现有院区应及时办理环评及相关环保手续。</w:t>
      </w:r>
    </w:p>
    <w:p>
      <w:pPr>
        <w:pStyle w:val="3"/>
        <w:spacing w:before="0" w:after="0" w:line="360" w:lineRule="auto"/>
        <w:rPr>
          <w:rFonts w:ascii="Times New Roman" w:hAnsi="Times New Roman" w:cs="Times New Roman"/>
          <w:sz w:val="28"/>
          <w:szCs w:val="28"/>
        </w:rPr>
      </w:pPr>
      <w:bookmarkStart w:id="7" w:name="_Toc13725335"/>
      <w:r>
        <w:rPr>
          <w:rFonts w:ascii="Times New Roman" w:hAnsi="Times New Roman" w:cs="Times New Roman"/>
          <w:sz w:val="28"/>
          <w:szCs w:val="28"/>
        </w:rPr>
        <w:t>1.</w:t>
      </w:r>
      <w:r>
        <w:rPr>
          <w:rFonts w:hint="eastAsia" w:ascii="Times New Roman" w:hAnsi="Times New Roman" w:cs="Times New Roman"/>
          <w:sz w:val="28"/>
          <w:szCs w:val="28"/>
        </w:rPr>
        <w:t>7</w:t>
      </w:r>
      <w:r>
        <w:rPr>
          <w:rFonts w:ascii="Times New Roman" w:hAnsi="Times New Roman" w:cs="Times New Roman"/>
          <w:sz w:val="28"/>
          <w:szCs w:val="28"/>
        </w:rPr>
        <w:t>主要结论</w:t>
      </w:r>
      <w:bookmarkEnd w:id="7"/>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项目位于保定市莲池区华电路南侧，秀兰﹒文景苑小区东侧，符合国家产业政策及规划要求，项目占地符合当地土地利用规划。</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本项目为医院项目，项目本身是大气、声环境敏感点，本项目周围500m范围内无大型环境污染企业，四周均为居民区、学校，故对本项目没有直接影响。</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项目营运期采取有效、可行的污染防治措施，在落实本报告规定的各项环保措施，可确保各污染物能长期稳定达标排放，不会对周围环境产生明显污染影响。</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因此，评价认为，从环境保护的角度讲，本项目建设可行。</w:t>
      </w:r>
    </w:p>
    <w:p>
      <w:pPr>
        <w:pStyle w:val="3"/>
        <w:spacing w:before="0" w:after="0" w:line="360" w:lineRule="auto"/>
        <w:rPr>
          <w:rFonts w:ascii="Times New Roman" w:hAnsi="Times New Roman" w:cs="Times New Roman"/>
          <w:sz w:val="28"/>
          <w:szCs w:val="28"/>
        </w:rPr>
      </w:pPr>
      <w:bookmarkStart w:id="8" w:name="_Toc13725336"/>
      <w:r>
        <w:rPr>
          <w:rFonts w:hint="eastAsia" w:ascii="Times New Roman" w:hAnsi="Times New Roman" w:cs="Times New Roman"/>
          <w:sz w:val="28"/>
          <w:szCs w:val="28"/>
        </w:rPr>
        <w:t>1.7致谢</w:t>
      </w:r>
      <w:bookmarkEnd w:id="8"/>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在报告书的编制过程中，得到了</w:t>
      </w:r>
      <w:r>
        <w:rPr>
          <w:rFonts w:hint="eastAsia" w:ascii="Times New Roman" w:hAnsi="Times New Roman" w:cs="Times New Roman"/>
          <w:color w:val="000000" w:themeColor="text1"/>
          <w:sz w:val="24"/>
          <w:szCs w:val="24"/>
        </w:rPr>
        <w:t>保定市生态环境局莲池区分局和河</w:t>
      </w:r>
      <w:r>
        <w:rPr>
          <w:rFonts w:hint="eastAsia" w:ascii="Times New Roman" w:hAnsi="Times New Roman" w:cs="Times New Roman"/>
          <w:sz w:val="24"/>
          <w:szCs w:val="24"/>
        </w:rPr>
        <w:t>北谱尼测试科技有限公司的大力支持，以及建设单位的密切配合，评价单位在此表示衷心感谢！</w:t>
      </w:r>
    </w:p>
    <w:p>
      <w:pPr>
        <w:pStyle w:val="2"/>
        <w:spacing w:before="0" w:after="0" w:line="360" w:lineRule="auto"/>
        <w:rPr>
          <w:rFonts w:ascii="Times New Roman" w:hAnsi="Times New Roman" w:cs="Times New Roman"/>
          <w:sz w:val="30"/>
          <w:szCs w:val="30"/>
        </w:rPr>
        <w:sectPr>
          <w:headerReference r:id="rId7" w:type="default"/>
          <w:footerReference r:id="rId8" w:type="default"/>
          <w:pgSz w:w="11906" w:h="16838"/>
          <w:pgMar w:top="1440" w:right="1800" w:bottom="1440" w:left="1800" w:header="851" w:footer="992" w:gutter="0"/>
          <w:pgNumType w:start="1"/>
          <w:cols w:space="425" w:num="1"/>
          <w:docGrid w:type="lines" w:linePitch="312" w:charSpace="0"/>
        </w:sectPr>
      </w:pPr>
    </w:p>
    <w:p>
      <w:pPr>
        <w:pStyle w:val="2"/>
        <w:spacing w:before="0" w:after="0" w:line="360" w:lineRule="auto"/>
        <w:rPr>
          <w:rFonts w:ascii="Times New Roman" w:hAnsi="Times New Roman" w:cs="Times New Roman"/>
          <w:sz w:val="30"/>
          <w:szCs w:val="30"/>
        </w:rPr>
      </w:pPr>
      <w:bookmarkStart w:id="9" w:name="_Toc13725337"/>
      <w:r>
        <w:rPr>
          <w:rFonts w:ascii="Times New Roman" w:hAnsi="Times New Roman" w:cs="Times New Roman"/>
          <w:sz w:val="30"/>
          <w:szCs w:val="30"/>
        </w:rPr>
        <w:t>2.总则</w:t>
      </w:r>
      <w:bookmarkEnd w:id="9"/>
    </w:p>
    <w:p>
      <w:pPr>
        <w:pStyle w:val="3"/>
        <w:spacing w:before="0" w:after="0" w:line="360" w:lineRule="auto"/>
        <w:rPr>
          <w:rFonts w:ascii="Times New Roman" w:hAnsi="Times New Roman" w:cs="Times New Roman"/>
          <w:sz w:val="28"/>
          <w:szCs w:val="28"/>
        </w:rPr>
      </w:pPr>
      <w:bookmarkStart w:id="10" w:name="_Toc13725338"/>
      <w:r>
        <w:rPr>
          <w:rFonts w:ascii="Times New Roman" w:hAnsi="Times New Roman" w:cs="Times New Roman"/>
          <w:sz w:val="28"/>
          <w:szCs w:val="28"/>
        </w:rPr>
        <w:t>2.1编制依据</w:t>
      </w:r>
      <w:bookmarkEnd w:id="10"/>
    </w:p>
    <w:p>
      <w:pPr>
        <w:pStyle w:val="4"/>
        <w:spacing w:before="0" w:after="0" w:line="36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2.1.1环境保护法律</w:t>
      </w:r>
    </w:p>
    <w:p>
      <w:pPr>
        <w:pStyle w:val="50"/>
        <w:numPr>
          <w:ilvl w:val="0"/>
          <w:numId w:val="4"/>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《中华人民共和国环境保护法》（</w:t>
      </w:r>
      <w:r>
        <w:rPr>
          <w:rFonts w:ascii="Times New Roman" w:hAnsi="Times New Roman" w:cs="Times New Roman"/>
          <w:sz w:val="24"/>
          <w:szCs w:val="24"/>
        </w:rPr>
        <w:t>2015.1.1</w:t>
      </w:r>
      <w:r>
        <w:rPr>
          <w:rFonts w:hint="eastAsia" w:ascii="Times New Roman" w:hAnsi="Times New Roman" w:cs="Times New Roman"/>
          <w:sz w:val="24"/>
          <w:szCs w:val="24"/>
        </w:rPr>
        <w:t>）；</w:t>
      </w:r>
    </w:p>
    <w:p>
      <w:pPr>
        <w:pStyle w:val="50"/>
        <w:numPr>
          <w:ilvl w:val="0"/>
          <w:numId w:val="4"/>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《中华人民共和国环境影响评价法》（</w:t>
      </w:r>
      <w:r>
        <w:rPr>
          <w:rFonts w:ascii="Times New Roman" w:hAnsi="Times New Roman" w:cs="Times New Roman"/>
          <w:sz w:val="24"/>
          <w:szCs w:val="24"/>
        </w:rPr>
        <w:t>201</w:t>
      </w:r>
      <w:r>
        <w:rPr>
          <w:rFonts w:hint="eastAsia" w:ascii="Times New Roman" w:hAnsi="Times New Roman" w:cs="Times New Roman"/>
          <w:sz w:val="24"/>
          <w:szCs w:val="24"/>
        </w:rPr>
        <w:t>8</w:t>
      </w:r>
      <w:r>
        <w:rPr>
          <w:rFonts w:ascii="Times New Roman" w:hAnsi="Times New Roman" w:cs="Times New Roman"/>
          <w:sz w:val="24"/>
          <w:szCs w:val="24"/>
        </w:rPr>
        <w:t>.</w:t>
      </w:r>
      <w:r>
        <w:rPr>
          <w:rFonts w:hint="eastAsia" w:ascii="Times New Roman" w:hAnsi="Times New Roman" w:cs="Times New Roman"/>
          <w:sz w:val="24"/>
          <w:szCs w:val="24"/>
        </w:rPr>
        <w:t>12</w:t>
      </w:r>
      <w:r>
        <w:rPr>
          <w:rFonts w:ascii="Times New Roman" w:hAnsi="Times New Roman" w:cs="Times New Roman"/>
          <w:sz w:val="24"/>
          <w:szCs w:val="24"/>
        </w:rPr>
        <w:t>.</w:t>
      </w:r>
      <w:r>
        <w:rPr>
          <w:rFonts w:hint="eastAsia" w:ascii="Times New Roman" w:hAnsi="Times New Roman" w:cs="Times New Roman"/>
          <w:sz w:val="24"/>
          <w:szCs w:val="24"/>
        </w:rPr>
        <w:t>29）；</w:t>
      </w:r>
    </w:p>
    <w:p>
      <w:pPr>
        <w:pStyle w:val="50"/>
        <w:numPr>
          <w:ilvl w:val="0"/>
          <w:numId w:val="4"/>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《中华人民共和国大气污染防治法》（</w:t>
      </w:r>
      <w:r>
        <w:rPr>
          <w:rFonts w:ascii="Times New Roman" w:hAnsi="Times New Roman" w:cs="Times New Roman"/>
          <w:sz w:val="24"/>
          <w:szCs w:val="24"/>
        </w:rPr>
        <w:t>201</w:t>
      </w:r>
      <w:r>
        <w:rPr>
          <w:rFonts w:hint="eastAsia" w:ascii="Times New Roman" w:hAnsi="Times New Roman" w:cs="Times New Roman"/>
          <w:sz w:val="24"/>
          <w:szCs w:val="24"/>
        </w:rPr>
        <w:t>8.10.26）；</w:t>
      </w:r>
    </w:p>
    <w:p>
      <w:pPr>
        <w:pStyle w:val="50"/>
        <w:numPr>
          <w:ilvl w:val="0"/>
          <w:numId w:val="4"/>
        </w:numPr>
        <w:spacing w:line="360" w:lineRule="auto"/>
        <w:ind w:firstLineChars="0"/>
        <w:rPr>
          <w:rFonts w:hAnsi="宋体"/>
          <w:color w:val="000000" w:themeColor="text1"/>
          <w:sz w:val="24"/>
        </w:rPr>
      </w:pPr>
      <w:r>
        <w:rPr>
          <w:rFonts w:hint="eastAsia" w:hAnsi="宋体"/>
          <w:color w:val="000000" w:themeColor="text1"/>
          <w:sz w:val="24"/>
        </w:rPr>
        <w:t>《中华人民共和国水法》（2016年修订）；</w:t>
      </w:r>
    </w:p>
    <w:p>
      <w:pPr>
        <w:pStyle w:val="50"/>
        <w:numPr>
          <w:ilvl w:val="0"/>
          <w:numId w:val="4"/>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《中华人民共和国水污染防治法》（</w:t>
      </w:r>
      <w:r>
        <w:rPr>
          <w:rFonts w:ascii="Times New Roman" w:hAnsi="Times New Roman" w:cs="Times New Roman"/>
          <w:sz w:val="24"/>
          <w:szCs w:val="24"/>
        </w:rPr>
        <w:t>20</w:t>
      </w:r>
      <w:r>
        <w:rPr>
          <w:rFonts w:hint="eastAsia" w:ascii="Times New Roman" w:hAnsi="Times New Roman" w:cs="Times New Roman"/>
          <w:sz w:val="24"/>
          <w:szCs w:val="24"/>
        </w:rPr>
        <w:t>18.1.1）；</w:t>
      </w:r>
    </w:p>
    <w:p>
      <w:pPr>
        <w:pStyle w:val="50"/>
        <w:numPr>
          <w:ilvl w:val="0"/>
          <w:numId w:val="4"/>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《中华人民共和国环境噪声污染防治法》（2018</w:t>
      </w:r>
      <w:r>
        <w:rPr>
          <w:rFonts w:ascii="Times New Roman" w:hAnsi="Times New Roman" w:cs="Times New Roman"/>
          <w:sz w:val="24"/>
          <w:szCs w:val="24"/>
        </w:rPr>
        <w:t>.</w:t>
      </w:r>
      <w:r>
        <w:rPr>
          <w:rFonts w:hint="eastAsia" w:ascii="Times New Roman" w:hAnsi="Times New Roman" w:cs="Times New Roman"/>
          <w:sz w:val="24"/>
          <w:szCs w:val="24"/>
        </w:rPr>
        <w:t>12</w:t>
      </w:r>
      <w:r>
        <w:rPr>
          <w:rFonts w:ascii="Times New Roman" w:hAnsi="Times New Roman" w:cs="Times New Roman"/>
          <w:sz w:val="24"/>
          <w:szCs w:val="24"/>
        </w:rPr>
        <w:t>.</w:t>
      </w:r>
      <w:r>
        <w:rPr>
          <w:rFonts w:hint="eastAsia" w:ascii="Times New Roman" w:hAnsi="Times New Roman" w:cs="Times New Roman"/>
          <w:sz w:val="24"/>
          <w:szCs w:val="24"/>
        </w:rPr>
        <w:t>29）；</w:t>
      </w:r>
    </w:p>
    <w:p>
      <w:pPr>
        <w:pStyle w:val="50"/>
        <w:numPr>
          <w:ilvl w:val="0"/>
          <w:numId w:val="4"/>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《中华人民共和国固体废物污染环境防治法》（</w:t>
      </w:r>
      <w:r>
        <w:rPr>
          <w:rFonts w:ascii="Times New Roman" w:hAnsi="Times New Roman" w:cs="Times New Roman"/>
          <w:sz w:val="24"/>
          <w:szCs w:val="24"/>
        </w:rPr>
        <w:t>2016.11.7</w:t>
      </w:r>
      <w:r>
        <w:rPr>
          <w:rFonts w:hint="eastAsia" w:ascii="Times New Roman" w:hAnsi="Times New Roman" w:cs="Times New Roman"/>
          <w:sz w:val="24"/>
          <w:szCs w:val="24"/>
        </w:rPr>
        <w:t>）。</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2.1.2环境保护政策、法规及规章</w:t>
      </w:r>
    </w:p>
    <w:p>
      <w:pPr>
        <w:spacing w:line="360" w:lineRule="auto"/>
        <w:rPr>
          <w:rFonts w:ascii="Times New Roman" w:hAnsi="Times New Roman" w:cs="Times New Roman"/>
          <w:b/>
          <w:sz w:val="24"/>
          <w:szCs w:val="24"/>
        </w:rPr>
      </w:pPr>
      <w:r>
        <w:rPr>
          <w:rFonts w:ascii="Times New Roman" w:hAnsi="Times New Roman" w:cs="Times New Roman"/>
          <w:b/>
          <w:sz w:val="24"/>
          <w:szCs w:val="24"/>
        </w:rPr>
        <w:t>2.1.2.1</w:t>
      </w:r>
      <w:r>
        <w:rPr>
          <w:rFonts w:hint="eastAsia" w:ascii="Times New Roman" w:hAnsi="Times New Roman" w:cs="Times New Roman"/>
          <w:b/>
          <w:sz w:val="24"/>
          <w:szCs w:val="24"/>
        </w:rPr>
        <w:t>国家法规、规章</w:t>
      </w:r>
    </w:p>
    <w:p>
      <w:pPr>
        <w:pStyle w:val="50"/>
        <w:numPr>
          <w:ilvl w:val="0"/>
          <w:numId w:val="5"/>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《国务院关于修改〈建设项目环境保护管理条例〉的决定》（国令第682号）；</w:t>
      </w:r>
    </w:p>
    <w:p>
      <w:pPr>
        <w:pStyle w:val="50"/>
        <w:numPr>
          <w:ilvl w:val="0"/>
          <w:numId w:val="5"/>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《建设项目环境影响评价分类管理名录》（环境保护部令第44</w:t>
      </w:r>
      <w:r>
        <w:rPr>
          <w:rFonts w:ascii="Times New Roman" w:hAnsi="Times New Roman" w:cs="Times New Roman"/>
          <w:sz w:val="24"/>
          <w:szCs w:val="24"/>
        </w:rPr>
        <w:t xml:space="preserve"> </w:t>
      </w:r>
      <w:r>
        <w:rPr>
          <w:rFonts w:hint="eastAsia" w:ascii="Times New Roman" w:hAnsi="Times New Roman" w:cs="Times New Roman"/>
          <w:sz w:val="24"/>
          <w:szCs w:val="24"/>
        </w:rPr>
        <w:t>号）；</w:t>
      </w:r>
    </w:p>
    <w:p>
      <w:pPr>
        <w:pStyle w:val="50"/>
        <w:numPr>
          <w:ilvl w:val="0"/>
          <w:numId w:val="5"/>
        </w:numPr>
        <w:spacing w:line="360" w:lineRule="auto"/>
        <w:ind w:firstLineChars="0"/>
        <w:rPr>
          <w:rFonts w:ascii="Times New Roman" w:hAnsi="Times New Roman" w:cs="Times New Roman"/>
          <w:sz w:val="24"/>
          <w:szCs w:val="24"/>
        </w:rPr>
      </w:pPr>
      <w:r>
        <w:rPr>
          <w:rFonts w:hint="eastAsia"/>
          <w:color w:val="000000"/>
          <w:sz w:val="24"/>
          <w:szCs w:val="24"/>
        </w:rPr>
        <w:t>《关于修改《建设项目环境影响评价分类管理名录》部分内容的决定》（生态环境部第</w:t>
      </w:r>
      <w:r>
        <w:rPr>
          <w:rFonts w:ascii="Times New Roman" w:hAnsi="Times New Roman" w:cs="Times New Roman"/>
          <w:color w:val="000000"/>
          <w:sz w:val="24"/>
          <w:szCs w:val="24"/>
        </w:rPr>
        <w:t>1号</w:t>
      </w:r>
      <w:r>
        <w:rPr>
          <w:rFonts w:hint="eastAsia"/>
          <w:color w:val="000000"/>
          <w:sz w:val="24"/>
          <w:szCs w:val="24"/>
        </w:rPr>
        <w:t>令）；</w:t>
      </w:r>
    </w:p>
    <w:p>
      <w:pPr>
        <w:pStyle w:val="50"/>
        <w:numPr>
          <w:ilvl w:val="0"/>
          <w:numId w:val="5"/>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《国务院关于加强环境保护重点工作的意见》（国发[</w:t>
      </w:r>
      <w:r>
        <w:rPr>
          <w:rFonts w:ascii="Times New Roman" w:hAnsi="Times New Roman" w:cs="Times New Roman"/>
          <w:sz w:val="24"/>
          <w:szCs w:val="24"/>
        </w:rPr>
        <w:t>2011</w:t>
      </w:r>
      <w:r>
        <w:rPr>
          <w:rFonts w:hint="eastAsia" w:ascii="Times New Roman" w:hAnsi="Times New Roman" w:cs="Times New Roman"/>
          <w:sz w:val="24"/>
          <w:szCs w:val="24"/>
        </w:rPr>
        <w:t>]</w:t>
      </w:r>
      <w:r>
        <w:rPr>
          <w:rFonts w:ascii="Times New Roman" w:hAnsi="Times New Roman" w:cs="Times New Roman"/>
          <w:sz w:val="24"/>
          <w:szCs w:val="24"/>
        </w:rPr>
        <w:t xml:space="preserve">35 </w:t>
      </w:r>
      <w:r>
        <w:rPr>
          <w:rFonts w:hint="eastAsia" w:ascii="Times New Roman" w:hAnsi="Times New Roman" w:cs="Times New Roman"/>
          <w:sz w:val="24"/>
          <w:szCs w:val="24"/>
        </w:rPr>
        <w:t>号文）；</w:t>
      </w:r>
    </w:p>
    <w:p>
      <w:pPr>
        <w:pStyle w:val="50"/>
        <w:numPr>
          <w:ilvl w:val="0"/>
          <w:numId w:val="5"/>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《国务院关于印发“十三五”节能减排综合性工作方案的通知》（国发[2016]74 号）；</w:t>
      </w:r>
    </w:p>
    <w:p>
      <w:pPr>
        <w:pStyle w:val="50"/>
        <w:numPr>
          <w:ilvl w:val="0"/>
          <w:numId w:val="5"/>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《国务院关于落实科学发展观加强环境保护的决定》（国发</w:t>
      </w:r>
      <w:r>
        <w:rPr>
          <w:rFonts w:ascii="Times New Roman" w:hAnsi="Times New Roman" w:cs="Times New Roman"/>
          <w:sz w:val="24"/>
          <w:szCs w:val="24"/>
        </w:rPr>
        <w:t xml:space="preserve">[2005]39 </w:t>
      </w:r>
      <w:r>
        <w:rPr>
          <w:rFonts w:hint="eastAsia" w:ascii="Times New Roman" w:hAnsi="Times New Roman" w:cs="Times New Roman"/>
          <w:sz w:val="24"/>
          <w:szCs w:val="24"/>
        </w:rPr>
        <w:t>号）；</w:t>
      </w:r>
    </w:p>
    <w:p>
      <w:pPr>
        <w:pStyle w:val="50"/>
        <w:numPr>
          <w:ilvl w:val="0"/>
          <w:numId w:val="5"/>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《国务院关于印发&lt;大气污染防治行动计划&gt;的通知》（国发[</w:t>
      </w:r>
      <w:r>
        <w:rPr>
          <w:rFonts w:ascii="Times New Roman" w:hAnsi="Times New Roman" w:cs="Times New Roman"/>
          <w:sz w:val="24"/>
          <w:szCs w:val="24"/>
        </w:rPr>
        <w:t>2013</w:t>
      </w:r>
      <w:r>
        <w:rPr>
          <w:rFonts w:hint="eastAsia" w:ascii="Times New Roman" w:hAnsi="Times New Roman" w:cs="Times New Roman"/>
          <w:sz w:val="24"/>
          <w:szCs w:val="24"/>
        </w:rPr>
        <w:t>]</w:t>
      </w:r>
      <w:r>
        <w:rPr>
          <w:rFonts w:ascii="Times New Roman" w:hAnsi="Times New Roman" w:cs="Times New Roman"/>
          <w:sz w:val="24"/>
          <w:szCs w:val="24"/>
        </w:rPr>
        <w:t xml:space="preserve">37 </w:t>
      </w:r>
      <w:r>
        <w:rPr>
          <w:rFonts w:hint="eastAsia" w:ascii="Times New Roman" w:hAnsi="Times New Roman" w:cs="Times New Roman"/>
          <w:sz w:val="24"/>
          <w:szCs w:val="24"/>
        </w:rPr>
        <w:t>号）</w:t>
      </w:r>
    </w:p>
    <w:p>
      <w:pPr>
        <w:pStyle w:val="50"/>
        <w:numPr>
          <w:ilvl w:val="0"/>
          <w:numId w:val="5"/>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《国务院关于印发&lt;水污染防治行动计划&gt;的通知》（国发[</w:t>
      </w:r>
      <w:r>
        <w:rPr>
          <w:rFonts w:ascii="Times New Roman" w:hAnsi="Times New Roman" w:cs="Times New Roman"/>
          <w:sz w:val="24"/>
          <w:szCs w:val="24"/>
        </w:rPr>
        <w:t>2015</w:t>
      </w:r>
      <w:r>
        <w:rPr>
          <w:rFonts w:hint="eastAsia" w:ascii="Times New Roman" w:hAnsi="Times New Roman" w:cs="Times New Roman"/>
          <w:sz w:val="24"/>
          <w:szCs w:val="24"/>
        </w:rPr>
        <w:t>]</w:t>
      </w:r>
      <w:r>
        <w:rPr>
          <w:rFonts w:ascii="Times New Roman" w:hAnsi="Times New Roman" w:cs="Times New Roman"/>
          <w:sz w:val="24"/>
          <w:szCs w:val="24"/>
        </w:rPr>
        <w:t>17</w:t>
      </w:r>
      <w:r>
        <w:rPr>
          <w:rFonts w:hint="eastAsia" w:ascii="Times New Roman" w:hAnsi="Times New Roman" w:cs="Times New Roman"/>
          <w:sz w:val="24"/>
          <w:szCs w:val="24"/>
        </w:rPr>
        <w:t>号）；</w:t>
      </w:r>
    </w:p>
    <w:p>
      <w:pPr>
        <w:pStyle w:val="50"/>
        <w:numPr>
          <w:ilvl w:val="0"/>
          <w:numId w:val="5"/>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《关于印发</w:t>
      </w:r>
      <w:r>
        <w:rPr>
          <w:rFonts w:ascii="Times New Roman" w:hAnsi="Times New Roman" w:cs="Times New Roman"/>
          <w:sz w:val="24"/>
          <w:szCs w:val="24"/>
        </w:rPr>
        <w:t>&lt;</w:t>
      </w:r>
      <w:r>
        <w:rPr>
          <w:rFonts w:hint="eastAsia" w:ascii="Times New Roman" w:hAnsi="Times New Roman" w:cs="Times New Roman"/>
          <w:sz w:val="24"/>
          <w:szCs w:val="24"/>
        </w:rPr>
        <w:t>京津冀及周边地区落实大气污染防治行动计划实施细则</w:t>
      </w:r>
      <w:r>
        <w:rPr>
          <w:rFonts w:ascii="Times New Roman" w:hAnsi="Times New Roman" w:cs="Times New Roman"/>
          <w:sz w:val="24"/>
          <w:szCs w:val="24"/>
        </w:rPr>
        <w:t>&gt;</w:t>
      </w:r>
      <w:r>
        <w:rPr>
          <w:rFonts w:hint="eastAsia" w:ascii="Times New Roman" w:hAnsi="Times New Roman" w:cs="Times New Roman"/>
          <w:sz w:val="24"/>
          <w:szCs w:val="24"/>
        </w:rPr>
        <w:t>的通知》环发</w:t>
      </w:r>
      <w:r>
        <w:rPr>
          <w:rFonts w:ascii="Times New Roman" w:hAnsi="Times New Roman" w:cs="Times New Roman"/>
          <w:sz w:val="24"/>
          <w:szCs w:val="24"/>
        </w:rPr>
        <w:t xml:space="preserve">[2013]104 </w:t>
      </w:r>
      <w:r>
        <w:rPr>
          <w:rFonts w:hint="eastAsia" w:ascii="Times New Roman" w:hAnsi="Times New Roman" w:cs="Times New Roman"/>
          <w:sz w:val="24"/>
          <w:szCs w:val="24"/>
        </w:rPr>
        <w:t>号；</w:t>
      </w:r>
    </w:p>
    <w:p>
      <w:pPr>
        <w:pStyle w:val="50"/>
        <w:numPr>
          <w:ilvl w:val="0"/>
          <w:numId w:val="5"/>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《环境空气细颗粒物污染综合防治技术政策》（国家环保部公告</w:t>
      </w:r>
      <w:r>
        <w:rPr>
          <w:rFonts w:ascii="Times New Roman" w:hAnsi="Times New Roman" w:cs="Times New Roman"/>
          <w:sz w:val="24"/>
          <w:szCs w:val="24"/>
        </w:rPr>
        <w:t xml:space="preserve">2013 </w:t>
      </w:r>
      <w:r>
        <w:rPr>
          <w:rFonts w:hint="eastAsia" w:ascii="Times New Roman" w:hAnsi="Times New Roman" w:cs="Times New Roman"/>
          <w:sz w:val="24"/>
          <w:szCs w:val="24"/>
        </w:rPr>
        <w:t>年第</w:t>
      </w:r>
      <w:r>
        <w:rPr>
          <w:rFonts w:ascii="Times New Roman" w:hAnsi="Times New Roman" w:cs="Times New Roman"/>
          <w:sz w:val="24"/>
          <w:szCs w:val="24"/>
        </w:rPr>
        <w:t xml:space="preserve">59 </w:t>
      </w:r>
      <w:r>
        <w:rPr>
          <w:rFonts w:hint="eastAsia" w:ascii="Times New Roman" w:hAnsi="Times New Roman" w:cs="Times New Roman"/>
          <w:sz w:val="24"/>
          <w:szCs w:val="24"/>
        </w:rPr>
        <w:t>号）；</w:t>
      </w:r>
    </w:p>
    <w:p>
      <w:pPr>
        <w:pStyle w:val="50"/>
        <w:numPr>
          <w:ilvl w:val="0"/>
          <w:numId w:val="5"/>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《产业结构调整指导目录（</w:t>
      </w:r>
      <w:r>
        <w:rPr>
          <w:rFonts w:ascii="Times New Roman" w:hAnsi="Times New Roman" w:cs="Times New Roman"/>
          <w:sz w:val="24"/>
          <w:szCs w:val="24"/>
        </w:rPr>
        <w:t xml:space="preserve">2011 </w:t>
      </w:r>
      <w:r>
        <w:rPr>
          <w:rFonts w:hint="eastAsia" w:ascii="Times New Roman" w:hAnsi="Times New Roman" w:cs="Times New Roman"/>
          <w:sz w:val="24"/>
          <w:szCs w:val="24"/>
        </w:rPr>
        <w:t>本）》</w:t>
      </w:r>
      <w:r>
        <w:rPr>
          <w:rFonts w:ascii="Times New Roman" w:hAnsi="Times New Roman" w:cs="Times New Roman"/>
          <w:sz w:val="24"/>
          <w:szCs w:val="24"/>
        </w:rPr>
        <w:t xml:space="preserve">2013 </w:t>
      </w:r>
      <w:r>
        <w:rPr>
          <w:rFonts w:hint="eastAsia" w:ascii="Times New Roman" w:hAnsi="Times New Roman" w:cs="Times New Roman"/>
          <w:sz w:val="24"/>
          <w:szCs w:val="24"/>
        </w:rPr>
        <w:t>修正版，国家发改委</w:t>
      </w:r>
      <w:r>
        <w:rPr>
          <w:rFonts w:ascii="Times New Roman" w:hAnsi="Times New Roman" w:cs="Times New Roman"/>
          <w:sz w:val="24"/>
          <w:szCs w:val="24"/>
        </w:rPr>
        <w:t>[2013]</w:t>
      </w:r>
      <w:r>
        <w:rPr>
          <w:rFonts w:hint="eastAsia" w:ascii="Times New Roman" w:hAnsi="Times New Roman" w:cs="Times New Roman"/>
          <w:sz w:val="24"/>
          <w:szCs w:val="24"/>
        </w:rPr>
        <w:t>第</w:t>
      </w:r>
      <w:r>
        <w:rPr>
          <w:rFonts w:ascii="Times New Roman" w:hAnsi="Times New Roman" w:cs="Times New Roman"/>
          <w:sz w:val="24"/>
          <w:szCs w:val="24"/>
        </w:rPr>
        <w:t xml:space="preserve">21 </w:t>
      </w:r>
      <w:r>
        <w:rPr>
          <w:rFonts w:hint="eastAsia" w:ascii="Times New Roman" w:hAnsi="Times New Roman" w:cs="Times New Roman"/>
          <w:sz w:val="24"/>
          <w:szCs w:val="24"/>
        </w:rPr>
        <w:t>号令；</w:t>
      </w:r>
    </w:p>
    <w:p>
      <w:pPr>
        <w:pStyle w:val="50"/>
        <w:numPr>
          <w:ilvl w:val="0"/>
          <w:numId w:val="5"/>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《国务院关于进一步加强淘汰落后产能工作的通知》（国发</w:t>
      </w:r>
      <w:r>
        <w:rPr>
          <w:rFonts w:ascii="Times New Roman" w:hAnsi="Times New Roman" w:cs="Times New Roman"/>
          <w:sz w:val="24"/>
          <w:szCs w:val="24"/>
        </w:rPr>
        <w:t xml:space="preserve">[2010]7 </w:t>
      </w:r>
      <w:r>
        <w:rPr>
          <w:rFonts w:hint="eastAsia" w:ascii="Times New Roman" w:hAnsi="Times New Roman" w:cs="Times New Roman"/>
          <w:sz w:val="24"/>
          <w:szCs w:val="24"/>
        </w:rPr>
        <w:t>号文）；</w:t>
      </w:r>
    </w:p>
    <w:p>
      <w:pPr>
        <w:pStyle w:val="50"/>
        <w:numPr>
          <w:ilvl w:val="0"/>
          <w:numId w:val="5"/>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《关于进一步加强环境影响评价管理防范环境污染的通知》（环发</w:t>
      </w:r>
      <w:r>
        <w:rPr>
          <w:rFonts w:ascii="Times New Roman" w:hAnsi="Times New Roman" w:cs="Times New Roman"/>
          <w:sz w:val="24"/>
          <w:szCs w:val="24"/>
        </w:rPr>
        <w:t xml:space="preserve">[2012]27 </w:t>
      </w:r>
      <w:r>
        <w:rPr>
          <w:rFonts w:hint="eastAsia" w:ascii="Times New Roman" w:hAnsi="Times New Roman" w:cs="Times New Roman"/>
          <w:sz w:val="24"/>
          <w:szCs w:val="24"/>
        </w:rPr>
        <w:t>号）；</w:t>
      </w:r>
    </w:p>
    <w:p>
      <w:pPr>
        <w:pStyle w:val="50"/>
        <w:numPr>
          <w:ilvl w:val="0"/>
          <w:numId w:val="5"/>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《关于进一步加强环境影响评价全过程管理的意见》（冀环办发</w:t>
      </w:r>
      <w:r>
        <w:rPr>
          <w:rFonts w:ascii="Times New Roman" w:hAnsi="Times New Roman" w:cs="Times New Roman"/>
          <w:sz w:val="24"/>
          <w:szCs w:val="24"/>
        </w:rPr>
        <w:t xml:space="preserve">[2014]165 </w:t>
      </w:r>
      <w:r>
        <w:rPr>
          <w:rFonts w:hint="eastAsia" w:ascii="Times New Roman" w:hAnsi="Times New Roman" w:cs="Times New Roman"/>
          <w:sz w:val="24"/>
          <w:szCs w:val="24"/>
        </w:rPr>
        <w:t>号）；</w:t>
      </w:r>
    </w:p>
    <w:p>
      <w:pPr>
        <w:pStyle w:val="50"/>
        <w:numPr>
          <w:ilvl w:val="0"/>
          <w:numId w:val="5"/>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《京津冀及周边地区2018-2019年大气污染综合治理攻坚行动方案》；</w:t>
      </w:r>
    </w:p>
    <w:p>
      <w:pPr>
        <w:pStyle w:val="50"/>
        <w:spacing w:line="360" w:lineRule="auto"/>
        <w:ind w:firstLine="480"/>
        <w:rPr>
          <w:rFonts w:ascii="Times New Roman" w:cs="Times New Roman"/>
          <w:color w:val="000000" w:themeColor="text1"/>
          <w:sz w:val="24"/>
        </w:rPr>
      </w:pPr>
      <w:r>
        <w:rPr>
          <w:rFonts w:ascii="Times New Roman" w:cs="Times New Roman"/>
          <w:color w:val="000000" w:themeColor="text1"/>
          <w:sz w:val="24"/>
        </w:rPr>
        <w:t>（</w:t>
      </w:r>
      <w:r>
        <w:rPr>
          <w:rFonts w:hint="eastAsia" w:ascii="Times New Roman" w:hAnsi="Times New Roman" w:cs="Times New Roman"/>
          <w:color w:val="000000" w:themeColor="text1"/>
          <w:sz w:val="24"/>
        </w:rPr>
        <w:t>16</w:t>
      </w:r>
      <w:r>
        <w:rPr>
          <w:rFonts w:ascii="Times New Roman" w:cs="Times New Roman"/>
          <w:color w:val="000000" w:themeColor="text1"/>
          <w:sz w:val="24"/>
        </w:rPr>
        <w:t>）《关于落实大气污染防治行动计划严格环境影响评价准入的通知》</w:t>
      </w:r>
      <w:r>
        <w:rPr>
          <w:rFonts w:ascii="Times New Roman" w:hAnsi="Times New Roman" w:cs="Times New Roman"/>
          <w:color w:val="000000" w:themeColor="text1"/>
          <w:sz w:val="24"/>
        </w:rPr>
        <w:t>(</w:t>
      </w:r>
      <w:r>
        <w:rPr>
          <w:rFonts w:ascii="Times New Roman" w:cs="Times New Roman"/>
          <w:color w:val="000000" w:themeColor="text1"/>
          <w:sz w:val="24"/>
        </w:rPr>
        <w:t>环办</w:t>
      </w:r>
      <w:r>
        <w:rPr>
          <w:rFonts w:ascii="Times New Roman" w:hAnsi="Times New Roman" w:cs="Times New Roman"/>
          <w:color w:val="000000" w:themeColor="text1"/>
          <w:sz w:val="24"/>
        </w:rPr>
        <w:t>[2014]30</w:t>
      </w:r>
      <w:r>
        <w:rPr>
          <w:rFonts w:ascii="Times New Roman" w:cs="Times New Roman"/>
          <w:color w:val="000000" w:themeColor="text1"/>
          <w:sz w:val="24"/>
        </w:rPr>
        <w:t>号</w:t>
      </w:r>
      <w:r>
        <w:rPr>
          <w:rFonts w:ascii="Times New Roman" w:hAnsi="Times New Roman" w:cs="Times New Roman"/>
          <w:color w:val="000000" w:themeColor="text1"/>
          <w:sz w:val="24"/>
        </w:rPr>
        <w:t>)</w:t>
      </w:r>
      <w:r>
        <w:rPr>
          <w:rFonts w:hint="eastAsia" w:ascii="Times New Roman" w:cs="Times New Roman"/>
          <w:color w:val="000000" w:themeColor="text1"/>
          <w:sz w:val="24"/>
        </w:rPr>
        <w:t>；</w:t>
      </w:r>
    </w:p>
    <w:p>
      <w:pPr>
        <w:pStyle w:val="50"/>
        <w:spacing w:line="360" w:lineRule="auto"/>
        <w:ind w:firstLine="480"/>
        <w:rPr>
          <w:rFonts w:ascii="Times New Roman" w:cs="Times New Roman"/>
          <w:color w:val="000000" w:themeColor="text1"/>
          <w:sz w:val="24"/>
        </w:rPr>
      </w:pPr>
      <w:r>
        <w:rPr>
          <w:rFonts w:hint="eastAsia" w:ascii="Times New Roman" w:cs="Times New Roman"/>
          <w:color w:val="000000" w:themeColor="text1"/>
          <w:sz w:val="24"/>
        </w:rPr>
        <w:t>（17）《固定污染源排污许可证分类管理名录》（环保部令第45号，2017年6月19日实施）；</w:t>
      </w:r>
    </w:p>
    <w:p>
      <w:pPr>
        <w:pStyle w:val="50"/>
        <w:spacing w:line="360" w:lineRule="auto"/>
        <w:ind w:firstLine="48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18</w:t>
      </w:r>
      <w:r>
        <w:rPr>
          <w:rFonts w:ascii="Times New Roman" w:hAnsi="Times New Roman" w:cs="Times New Roman"/>
          <w:color w:val="000000" w:themeColor="text1"/>
          <w:sz w:val="24"/>
        </w:rPr>
        <w:t>）《关于做好环境影响评价制度与排污许可制度衔接相关工作的通知》（环办环评[2017]84</w:t>
      </w:r>
      <w:r>
        <w:rPr>
          <w:rFonts w:ascii="Times New Roman" w:cs="Times New Roman" w:hAnsiTheme="minorEastAsia"/>
          <w:color w:val="000000" w:themeColor="text1"/>
          <w:sz w:val="24"/>
        </w:rPr>
        <w:t>号，</w:t>
      </w:r>
      <w:r>
        <w:rPr>
          <w:rFonts w:ascii="Times New Roman" w:hAnsi="Times New Roman" w:cs="Times New Roman"/>
          <w:color w:val="000000" w:themeColor="text1"/>
          <w:sz w:val="24"/>
        </w:rPr>
        <w:t>2017</w:t>
      </w:r>
      <w:r>
        <w:rPr>
          <w:rFonts w:ascii="Times New Roman" w:cs="Times New Roman" w:hAnsiTheme="minorEastAsia"/>
          <w:color w:val="000000" w:themeColor="text1"/>
          <w:sz w:val="24"/>
        </w:rPr>
        <w:t>年</w:t>
      </w:r>
      <w:r>
        <w:rPr>
          <w:rFonts w:ascii="Times New Roman" w:hAnsi="Times New Roman" w:cs="Times New Roman"/>
          <w:color w:val="000000" w:themeColor="text1"/>
          <w:sz w:val="24"/>
        </w:rPr>
        <w:t>11</w:t>
      </w:r>
      <w:r>
        <w:rPr>
          <w:rFonts w:ascii="Times New Roman" w:cs="Times New Roman" w:hAnsiTheme="minorEastAsia"/>
          <w:color w:val="000000" w:themeColor="text1"/>
          <w:sz w:val="24"/>
        </w:rPr>
        <w:t>月</w:t>
      </w:r>
      <w:r>
        <w:rPr>
          <w:rFonts w:ascii="Times New Roman" w:hAnsi="Times New Roman" w:cs="Times New Roman"/>
          <w:color w:val="000000" w:themeColor="text1"/>
          <w:sz w:val="24"/>
        </w:rPr>
        <w:t>14</w:t>
      </w:r>
      <w:r>
        <w:rPr>
          <w:rFonts w:ascii="Times New Roman" w:cs="Times New Roman" w:hAnsiTheme="minorEastAsia"/>
          <w:color w:val="000000" w:themeColor="text1"/>
          <w:sz w:val="24"/>
        </w:rPr>
        <w:t>日</w:t>
      </w:r>
      <w:r>
        <w:rPr>
          <w:rFonts w:ascii="Times New Roman" w:hAnsi="Times New Roman" w:cs="Times New Roman"/>
          <w:color w:val="000000" w:themeColor="text1"/>
          <w:sz w:val="24"/>
        </w:rPr>
        <w:t>）；</w:t>
      </w:r>
    </w:p>
    <w:p>
      <w:pPr>
        <w:pStyle w:val="50"/>
        <w:spacing w:line="360" w:lineRule="auto"/>
        <w:ind w:firstLine="48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（19）《环境影响评价公众参与办法》（部令</w:t>
      </w:r>
      <w:r>
        <w:rPr>
          <w:rFonts w:ascii="Times New Roman" w:hAnsi="Times New Roman" w:cs="Times New Roman"/>
          <w:color w:val="000000" w:themeColor="text1"/>
          <w:sz w:val="24"/>
        </w:rPr>
        <w:t xml:space="preserve"> </w:t>
      </w:r>
      <w:r>
        <w:rPr>
          <w:rFonts w:hint="eastAsia" w:ascii="Times New Roman" w:hAnsi="Times New Roman" w:cs="Times New Roman"/>
          <w:color w:val="000000" w:themeColor="text1"/>
          <w:sz w:val="24"/>
        </w:rPr>
        <w:t>第四号，</w:t>
      </w:r>
      <w:r>
        <w:rPr>
          <w:rFonts w:ascii="Times New Roman" w:hAnsi="Times New Roman" w:cs="Times New Roman"/>
          <w:color w:val="000000" w:themeColor="text1"/>
          <w:sz w:val="24"/>
        </w:rPr>
        <w:t>2019.1.1</w:t>
      </w:r>
      <w:r>
        <w:rPr>
          <w:rFonts w:hint="eastAsia" w:ascii="Times New Roman" w:hAnsi="Times New Roman" w:cs="Times New Roman"/>
          <w:color w:val="000000" w:themeColor="text1"/>
          <w:sz w:val="24"/>
        </w:rPr>
        <w:t>实施）；</w:t>
      </w:r>
    </w:p>
    <w:p>
      <w:pPr>
        <w:pStyle w:val="50"/>
        <w:spacing w:line="360" w:lineRule="auto"/>
        <w:ind w:firstLine="48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（20）《国家危险废物名录》（部令 第39号，2016年6月14日）；</w:t>
      </w:r>
    </w:p>
    <w:p>
      <w:pPr>
        <w:pStyle w:val="50"/>
        <w:spacing w:line="360" w:lineRule="auto"/>
        <w:ind w:firstLine="48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（21）《医疗废物管理条例》（国务院令第380号，2003年6月16日）。</w:t>
      </w:r>
    </w:p>
    <w:p>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2.1.2.</w:t>
      </w:r>
      <w:r>
        <w:rPr>
          <w:rFonts w:hint="eastAsia" w:ascii="Times New Roman" w:hAnsi="Times New Roman" w:cs="Times New Roman"/>
          <w:b/>
          <w:color w:val="000000" w:themeColor="text1"/>
          <w:sz w:val="24"/>
          <w:szCs w:val="24"/>
        </w:rPr>
        <w:t>2省、市法规及规章</w:t>
      </w:r>
    </w:p>
    <w:p>
      <w:pPr>
        <w:pStyle w:val="50"/>
        <w:numPr>
          <w:ilvl w:val="0"/>
          <w:numId w:val="6"/>
        </w:numPr>
        <w:spacing w:line="360" w:lineRule="auto"/>
        <w:ind w:firstLineChars="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《河北省环境保护条例》，河北省第十届人民代表大会常务委员会公告（</w:t>
      </w:r>
      <w:r>
        <w:rPr>
          <w:rFonts w:ascii="Times New Roman" w:hAnsi="Times New Roman" w:cs="Times New Roman"/>
          <w:color w:val="000000" w:themeColor="text1"/>
          <w:sz w:val="24"/>
          <w:szCs w:val="24"/>
        </w:rPr>
        <w:t xml:space="preserve">39 </w:t>
      </w:r>
      <w:r>
        <w:rPr>
          <w:rFonts w:hint="eastAsia" w:ascii="Times New Roman" w:hAnsi="Times New Roman" w:cs="Times New Roman"/>
          <w:color w:val="000000" w:themeColor="text1"/>
          <w:sz w:val="24"/>
          <w:szCs w:val="24"/>
        </w:rPr>
        <w:t>号）（</w:t>
      </w:r>
      <w:r>
        <w:rPr>
          <w:rFonts w:ascii="Times New Roman" w:hAnsi="Times New Roman" w:cs="Times New Roman"/>
          <w:color w:val="000000" w:themeColor="text1"/>
          <w:sz w:val="24"/>
          <w:szCs w:val="24"/>
        </w:rPr>
        <w:t xml:space="preserve">2005 </w:t>
      </w:r>
      <w:r>
        <w:rPr>
          <w:rFonts w:hint="eastAsia" w:ascii="Times New Roman" w:hAnsi="Times New Roman" w:cs="Times New Roman"/>
          <w:color w:val="000000" w:themeColor="text1"/>
          <w:sz w:val="24"/>
          <w:szCs w:val="24"/>
        </w:rPr>
        <w:t>年</w:t>
      </w:r>
      <w:r>
        <w:rPr>
          <w:rFonts w:ascii="Times New Roman" w:hAnsi="Times New Roman" w:cs="Times New Roman"/>
          <w:color w:val="000000" w:themeColor="text1"/>
          <w:sz w:val="24"/>
          <w:szCs w:val="24"/>
        </w:rPr>
        <w:t xml:space="preserve">3 </w:t>
      </w:r>
      <w:r>
        <w:rPr>
          <w:rFonts w:hint="eastAsia" w:ascii="Times New Roman" w:hAnsi="Times New Roman" w:cs="Times New Roman"/>
          <w:color w:val="000000" w:themeColor="text1"/>
          <w:sz w:val="24"/>
          <w:szCs w:val="24"/>
        </w:rPr>
        <w:t>月</w:t>
      </w:r>
      <w:r>
        <w:rPr>
          <w:rFonts w:ascii="Times New Roman" w:hAnsi="Times New Roman" w:cs="Times New Roman"/>
          <w:color w:val="000000" w:themeColor="text1"/>
          <w:sz w:val="24"/>
          <w:szCs w:val="24"/>
        </w:rPr>
        <w:t xml:space="preserve">25 </w:t>
      </w:r>
      <w:r>
        <w:rPr>
          <w:rFonts w:hint="eastAsia" w:ascii="Times New Roman" w:hAnsi="Times New Roman" w:cs="Times New Roman"/>
          <w:color w:val="000000" w:themeColor="text1"/>
          <w:sz w:val="24"/>
          <w:szCs w:val="24"/>
        </w:rPr>
        <w:t>日）；</w:t>
      </w:r>
    </w:p>
    <w:p>
      <w:pPr>
        <w:pStyle w:val="50"/>
        <w:numPr>
          <w:ilvl w:val="0"/>
          <w:numId w:val="6"/>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河北省人民政府关于贯彻《国务院关于落实科学发展观加强环境保护的决定》的实施意见，冀政</w:t>
      </w:r>
      <w:r>
        <w:rPr>
          <w:rFonts w:ascii="Times New Roman" w:hAnsi="Times New Roman" w:cs="Times New Roman"/>
          <w:sz w:val="24"/>
          <w:szCs w:val="24"/>
        </w:rPr>
        <w:t xml:space="preserve">[2006]65 </w:t>
      </w:r>
      <w:r>
        <w:rPr>
          <w:rFonts w:hint="eastAsia" w:ascii="Times New Roman" w:hAnsi="Times New Roman" w:cs="Times New Roman"/>
          <w:sz w:val="24"/>
          <w:szCs w:val="24"/>
        </w:rPr>
        <w:t>号；</w:t>
      </w:r>
    </w:p>
    <w:p>
      <w:pPr>
        <w:pStyle w:val="50"/>
        <w:numPr>
          <w:ilvl w:val="0"/>
          <w:numId w:val="6"/>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《河北省环境保护局关于印发</w:t>
      </w:r>
      <w:r>
        <w:rPr>
          <w:rFonts w:ascii="Times New Roman" w:hAnsi="Times New Roman" w:cs="Times New Roman"/>
          <w:sz w:val="24"/>
          <w:szCs w:val="24"/>
        </w:rPr>
        <w:t>&lt;</w:t>
      </w:r>
      <w:r>
        <w:rPr>
          <w:rFonts w:hint="eastAsia" w:ascii="Times New Roman" w:hAnsi="Times New Roman" w:cs="Times New Roman"/>
          <w:sz w:val="24"/>
          <w:szCs w:val="24"/>
        </w:rPr>
        <w:t>建设项目环境保护管理若干问题的暂行规定</w:t>
      </w:r>
      <w:r>
        <w:rPr>
          <w:rFonts w:ascii="Times New Roman" w:hAnsi="Times New Roman" w:cs="Times New Roman"/>
          <w:sz w:val="24"/>
          <w:szCs w:val="24"/>
        </w:rPr>
        <w:t>&gt;</w:t>
      </w:r>
      <w:r>
        <w:rPr>
          <w:rFonts w:hint="eastAsia" w:ascii="Times New Roman" w:hAnsi="Times New Roman" w:cs="Times New Roman"/>
          <w:sz w:val="24"/>
          <w:szCs w:val="24"/>
        </w:rPr>
        <w:t>的规定》，冀环办发</w:t>
      </w:r>
      <w:r>
        <w:rPr>
          <w:rFonts w:ascii="Times New Roman" w:hAnsi="Times New Roman" w:cs="Times New Roman"/>
          <w:sz w:val="24"/>
          <w:szCs w:val="24"/>
        </w:rPr>
        <w:t xml:space="preserve">[2007]65 </w:t>
      </w:r>
      <w:r>
        <w:rPr>
          <w:rFonts w:hint="eastAsia" w:ascii="Times New Roman" w:hAnsi="Times New Roman" w:cs="Times New Roman"/>
          <w:sz w:val="24"/>
          <w:szCs w:val="24"/>
        </w:rPr>
        <w:t>号，</w:t>
      </w:r>
      <w:r>
        <w:rPr>
          <w:rFonts w:ascii="Times New Roman" w:hAnsi="Times New Roman" w:cs="Times New Roman"/>
          <w:sz w:val="24"/>
          <w:szCs w:val="24"/>
        </w:rPr>
        <w:t>2007.5.14</w:t>
      </w:r>
      <w:r>
        <w:rPr>
          <w:rFonts w:hint="eastAsia" w:ascii="Times New Roman" w:hAnsi="Times New Roman" w:cs="Times New Roman"/>
          <w:sz w:val="24"/>
          <w:szCs w:val="24"/>
        </w:rPr>
        <w:t>；</w:t>
      </w:r>
    </w:p>
    <w:p>
      <w:pPr>
        <w:pStyle w:val="50"/>
        <w:numPr>
          <w:ilvl w:val="0"/>
          <w:numId w:val="6"/>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河北省环境保护厅办公室关于印发《建设项目环境影响评价技术审核报告编制要点》的通知（冀环办发</w:t>
      </w:r>
      <w:r>
        <w:rPr>
          <w:rFonts w:ascii="Times New Roman" w:hAnsi="Times New Roman" w:cs="Times New Roman"/>
          <w:sz w:val="24"/>
          <w:szCs w:val="24"/>
        </w:rPr>
        <w:t xml:space="preserve">[2010]250 </w:t>
      </w:r>
      <w:r>
        <w:rPr>
          <w:rFonts w:hint="eastAsia" w:ascii="Times New Roman" w:hAnsi="Times New Roman" w:cs="Times New Roman"/>
          <w:sz w:val="24"/>
          <w:szCs w:val="24"/>
        </w:rPr>
        <w:t>号）；</w:t>
      </w:r>
    </w:p>
    <w:p>
      <w:pPr>
        <w:pStyle w:val="50"/>
        <w:numPr>
          <w:ilvl w:val="0"/>
          <w:numId w:val="6"/>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《河北省环境污染防治监督管理办法》，河北省人民政府令</w:t>
      </w:r>
      <w:r>
        <w:rPr>
          <w:rFonts w:ascii="Times New Roman" w:hAnsi="Times New Roman" w:cs="Times New Roman"/>
          <w:sz w:val="24"/>
          <w:szCs w:val="24"/>
        </w:rPr>
        <w:t>[2008]</w:t>
      </w:r>
      <w:r>
        <w:rPr>
          <w:rFonts w:hint="eastAsia" w:ascii="Times New Roman" w:hAnsi="Times New Roman" w:cs="Times New Roman"/>
          <w:sz w:val="24"/>
          <w:szCs w:val="24"/>
        </w:rPr>
        <w:t>第</w:t>
      </w:r>
      <w:r>
        <w:rPr>
          <w:rFonts w:ascii="Times New Roman" w:hAnsi="Times New Roman" w:cs="Times New Roman"/>
          <w:sz w:val="24"/>
          <w:szCs w:val="24"/>
        </w:rPr>
        <w:t xml:space="preserve">2 </w:t>
      </w:r>
      <w:r>
        <w:rPr>
          <w:rFonts w:hint="eastAsia" w:ascii="Times New Roman" w:hAnsi="Times New Roman" w:cs="Times New Roman"/>
          <w:sz w:val="24"/>
          <w:szCs w:val="24"/>
        </w:rPr>
        <w:t>号，</w:t>
      </w:r>
      <w:r>
        <w:rPr>
          <w:rFonts w:ascii="Times New Roman" w:hAnsi="Times New Roman" w:cs="Times New Roman"/>
          <w:sz w:val="24"/>
          <w:szCs w:val="24"/>
        </w:rPr>
        <w:t>2008.2.14</w:t>
      </w:r>
      <w:r>
        <w:rPr>
          <w:rFonts w:hint="eastAsia" w:ascii="Times New Roman" w:hAnsi="Times New Roman" w:cs="Times New Roman"/>
          <w:sz w:val="24"/>
          <w:szCs w:val="24"/>
        </w:rPr>
        <w:t>；</w:t>
      </w:r>
    </w:p>
    <w:p>
      <w:pPr>
        <w:pStyle w:val="50"/>
        <w:numPr>
          <w:ilvl w:val="0"/>
          <w:numId w:val="6"/>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《河北省建设项目环境保护管理条例》，河北省第八届人民代表大会常务委员会公告第</w:t>
      </w:r>
      <w:r>
        <w:rPr>
          <w:rFonts w:ascii="Times New Roman" w:hAnsi="Times New Roman" w:cs="Times New Roman"/>
          <w:sz w:val="24"/>
          <w:szCs w:val="24"/>
        </w:rPr>
        <w:t xml:space="preserve">80 </w:t>
      </w:r>
      <w:r>
        <w:rPr>
          <w:rFonts w:hint="eastAsia" w:ascii="Times New Roman" w:hAnsi="Times New Roman" w:cs="Times New Roman"/>
          <w:sz w:val="24"/>
          <w:szCs w:val="24"/>
        </w:rPr>
        <w:t>号，</w:t>
      </w:r>
      <w:r>
        <w:rPr>
          <w:rFonts w:ascii="Times New Roman" w:hAnsi="Times New Roman" w:cs="Times New Roman"/>
          <w:sz w:val="24"/>
          <w:szCs w:val="24"/>
        </w:rPr>
        <w:t>1996.12.17</w:t>
      </w:r>
      <w:r>
        <w:rPr>
          <w:rFonts w:hint="eastAsia" w:ascii="Times New Roman" w:hAnsi="Times New Roman" w:cs="Times New Roman"/>
          <w:sz w:val="24"/>
          <w:szCs w:val="24"/>
        </w:rPr>
        <w:t>；</w:t>
      </w:r>
    </w:p>
    <w:p>
      <w:pPr>
        <w:pStyle w:val="50"/>
        <w:numPr>
          <w:ilvl w:val="0"/>
          <w:numId w:val="6"/>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《河北省减少污染物排放条例》，河北省人民代表大会常务委员会，</w:t>
      </w:r>
      <w:r>
        <w:rPr>
          <w:rFonts w:ascii="Times New Roman" w:hAnsi="Times New Roman" w:cs="Times New Roman"/>
          <w:sz w:val="24"/>
          <w:szCs w:val="24"/>
        </w:rPr>
        <w:t>2009.7.1</w:t>
      </w:r>
      <w:r>
        <w:rPr>
          <w:rFonts w:hint="eastAsia" w:ascii="Times New Roman" w:hAnsi="Times New Roman" w:cs="Times New Roman"/>
          <w:sz w:val="24"/>
          <w:szCs w:val="24"/>
        </w:rPr>
        <w:t>；</w:t>
      </w:r>
    </w:p>
    <w:p>
      <w:pPr>
        <w:pStyle w:val="50"/>
        <w:numPr>
          <w:ilvl w:val="0"/>
          <w:numId w:val="6"/>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《河北省人民政府关于着力解决民生问题的若干意见》，冀政</w:t>
      </w:r>
      <w:r>
        <w:rPr>
          <w:rFonts w:ascii="Times New Roman" w:hAnsi="Times New Roman" w:cs="Times New Roman"/>
          <w:sz w:val="24"/>
          <w:szCs w:val="24"/>
        </w:rPr>
        <w:t xml:space="preserve">[2008]10 </w:t>
      </w:r>
      <w:r>
        <w:rPr>
          <w:rFonts w:hint="eastAsia" w:ascii="Times New Roman" w:hAnsi="Times New Roman" w:cs="Times New Roman"/>
          <w:sz w:val="24"/>
          <w:szCs w:val="24"/>
        </w:rPr>
        <w:t>号，</w:t>
      </w:r>
      <w:r>
        <w:rPr>
          <w:rFonts w:ascii="Times New Roman" w:hAnsi="Times New Roman" w:cs="Times New Roman"/>
          <w:sz w:val="24"/>
          <w:szCs w:val="24"/>
        </w:rPr>
        <w:t>2008.1.18</w:t>
      </w:r>
      <w:r>
        <w:rPr>
          <w:rFonts w:hint="eastAsia" w:ascii="Times New Roman" w:hAnsi="Times New Roman" w:cs="Times New Roman"/>
          <w:sz w:val="24"/>
          <w:szCs w:val="24"/>
        </w:rPr>
        <w:t>；</w:t>
      </w:r>
    </w:p>
    <w:p>
      <w:pPr>
        <w:pStyle w:val="50"/>
        <w:numPr>
          <w:ilvl w:val="0"/>
          <w:numId w:val="6"/>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《河北省人民政府关于贯彻</w:t>
      </w:r>
      <w:r>
        <w:rPr>
          <w:rFonts w:ascii="Times New Roman" w:hAnsi="Times New Roman" w:cs="Times New Roman"/>
          <w:sz w:val="24"/>
          <w:szCs w:val="24"/>
        </w:rPr>
        <w:t>&lt;</w:t>
      </w:r>
      <w:r>
        <w:rPr>
          <w:rFonts w:hint="eastAsia" w:ascii="Times New Roman" w:hAnsi="Times New Roman" w:cs="Times New Roman"/>
          <w:sz w:val="24"/>
          <w:szCs w:val="24"/>
        </w:rPr>
        <w:t>国务院关于落实科学发展观加强环境保护的决定</w:t>
      </w:r>
      <w:r>
        <w:rPr>
          <w:rFonts w:ascii="Times New Roman" w:hAnsi="Times New Roman" w:cs="Times New Roman"/>
          <w:sz w:val="24"/>
          <w:szCs w:val="24"/>
        </w:rPr>
        <w:t>&gt;</w:t>
      </w:r>
      <w:r>
        <w:rPr>
          <w:rFonts w:hint="eastAsia" w:ascii="Times New Roman" w:hAnsi="Times New Roman" w:cs="Times New Roman"/>
          <w:sz w:val="24"/>
          <w:szCs w:val="24"/>
        </w:rPr>
        <w:t>的实施意见》（冀政</w:t>
      </w:r>
      <w:r>
        <w:rPr>
          <w:rFonts w:ascii="Times New Roman" w:hAnsi="Times New Roman" w:cs="Times New Roman"/>
          <w:sz w:val="24"/>
          <w:szCs w:val="24"/>
        </w:rPr>
        <w:t xml:space="preserve">[2006]65 </w:t>
      </w:r>
      <w:r>
        <w:rPr>
          <w:rFonts w:hint="eastAsia" w:ascii="Times New Roman" w:hAnsi="Times New Roman" w:cs="Times New Roman"/>
          <w:sz w:val="24"/>
          <w:szCs w:val="24"/>
        </w:rPr>
        <w:t>号，</w:t>
      </w:r>
      <w:r>
        <w:rPr>
          <w:rFonts w:ascii="Times New Roman" w:hAnsi="Times New Roman" w:cs="Times New Roman"/>
          <w:sz w:val="24"/>
          <w:szCs w:val="24"/>
        </w:rPr>
        <w:t>2006.8.28</w:t>
      </w:r>
      <w:r>
        <w:rPr>
          <w:rFonts w:hint="eastAsia" w:ascii="Times New Roman" w:hAnsi="Times New Roman" w:cs="Times New Roman"/>
          <w:sz w:val="24"/>
          <w:szCs w:val="24"/>
        </w:rPr>
        <w:t>）；</w:t>
      </w:r>
    </w:p>
    <w:p>
      <w:pPr>
        <w:pStyle w:val="50"/>
        <w:numPr>
          <w:ilvl w:val="0"/>
          <w:numId w:val="6"/>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《河北省人民政府关于推进节能减排工作的意见》（冀政</w:t>
      </w:r>
      <w:r>
        <w:rPr>
          <w:rFonts w:ascii="Times New Roman" w:hAnsi="Times New Roman" w:cs="Times New Roman"/>
          <w:sz w:val="24"/>
          <w:szCs w:val="24"/>
        </w:rPr>
        <w:t>[2008]1</w:t>
      </w:r>
      <w:r>
        <w:rPr>
          <w:rFonts w:hint="eastAsia" w:ascii="Times New Roman" w:hAnsi="Times New Roman" w:cs="Times New Roman"/>
          <w:sz w:val="24"/>
          <w:szCs w:val="24"/>
        </w:rPr>
        <w:t>1号，</w:t>
      </w:r>
      <w:r>
        <w:rPr>
          <w:rFonts w:ascii="Times New Roman" w:hAnsi="Times New Roman" w:cs="Times New Roman"/>
          <w:sz w:val="24"/>
          <w:szCs w:val="24"/>
        </w:rPr>
        <w:t>2008.1.25</w:t>
      </w:r>
      <w:r>
        <w:rPr>
          <w:rFonts w:hint="eastAsia" w:ascii="Times New Roman" w:hAnsi="Times New Roman" w:cs="Times New Roman"/>
          <w:sz w:val="24"/>
          <w:szCs w:val="24"/>
        </w:rPr>
        <w:t>）；</w:t>
      </w:r>
    </w:p>
    <w:p>
      <w:pPr>
        <w:pStyle w:val="50"/>
        <w:numPr>
          <w:ilvl w:val="0"/>
          <w:numId w:val="6"/>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《河北省大气污染防治行动计划实施方案》（</w:t>
      </w:r>
      <w:r>
        <w:rPr>
          <w:rFonts w:ascii="Times New Roman" w:hAnsi="Times New Roman" w:cs="Times New Roman"/>
          <w:sz w:val="24"/>
          <w:szCs w:val="24"/>
        </w:rPr>
        <w:t xml:space="preserve">2013 </w:t>
      </w:r>
      <w:r>
        <w:rPr>
          <w:rFonts w:hint="eastAsia" w:ascii="Times New Roman" w:hAnsi="Times New Roman" w:cs="Times New Roman"/>
          <w:sz w:val="24"/>
          <w:szCs w:val="24"/>
        </w:rPr>
        <w:t>年</w:t>
      </w:r>
      <w:r>
        <w:rPr>
          <w:rFonts w:ascii="Times New Roman" w:hAnsi="Times New Roman" w:cs="Times New Roman"/>
          <w:sz w:val="24"/>
          <w:szCs w:val="24"/>
        </w:rPr>
        <w:t xml:space="preserve">9 </w:t>
      </w:r>
      <w:r>
        <w:rPr>
          <w:rFonts w:hint="eastAsia" w:ascii="Times New Roman" w:hAnsi="Times New Roman" w:cs="Times New Roman"/>
          <w:sz w:val="24"/>
          <w:szCs w:val="24"/>
        </w:rPr>
        <w:t>月</w:t>
      </w:r>
      <w:r>
        <w:rPr>
          <w:rFonts w:ascii="Times New Roman" w:hAnsi="Times New Roman" w:cs="Times New Roman"/>
          <w:sz w:val="24"/>
          <w:szCs w:val="24"/>
        </w:rPr>
        <w:t xml:space="preserve">6 </w:t>
      </w:r>
      <w:r>
        <w:rPr>
          <w:rFonts w:hint="eastAsia" w:ascii="Times New Roman" w:hAnsi="Times New Roman" w:cs="Times New Roman"/>
          <w:sz w:val="24"/>
          <w:szCs w:val="24"/>
        </w:rPr>
        <w:t>日）；</w:t>
      </w:r>
    </w:p>
    <w:p>
      <w:pPr>
        <w:pStyle w:val="50"/>
        <w:numPr>
          <w:ilvl w:val="0"/>
          <w:numId w:val="6"/>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《河北省大气污染防治条例》（</w:t>
      </w:r>
      <w:r>
        <w:rPr>
          <w:rFonts w:ascii="Times New Roman" w:hAnsi="Times New Roman" w:cs="Times New Roman"/>
          <w:sz w:val="24"/>
          <w:szCs w:val="24"/>
        </w:rPr>
        <w:t xml:space="preserve">2016 </w:t>
      </w:r>
      <w:r>
        <w:rPr>
          <w:rFonts w:hint="eastAsia" w:ascii="Times New Roman" w:hAnsi="Times New Roman" w:cs="Times New Roman"/>
          <w:sz w:val="24"/>
          <w:szCs w:val="24"/>
        </w:rPr>
        <w:t>年</w:t>
      </w:r>
      <w:r>
        <w:rPr>
          <w:rFonts w:ascii="Times New Roman" w:hAnsi="Times New Roman" w:cs="Times New Roman"/>
          <w:sz w:val="24"/>
          <w:szCs w:val="24"/>
        </w:rPr>
        <w:t xml:space="preserve">3 </w:t>
      </w:r>
      <w:r>
        <w:rPr>
          <w:rFonts w:hint="eastAsia" w:ascii="Times New Roman" w:hAnsi="Times New Roman" w:cs="Times New Roman"/>
          <w:sz w:val="24"/>
          <w:szCs w:val="24"/>
        </w:rPr>
        <w:t>月</w:t>
      </w:r>
      <w:r>
        <w:rPr>
          <w:rFonts w:ascii="Times New Roman" w:hAnsi="Times New Roman" w:cs="Times New Roman"/>
          <w:sz w:val="24"/>
          <w:szCs w:val="24"/>
        </w:rPr>
        <w:t xml:space="preserve">1 </w:t>
      </w:r>
      <w:r>
        <w:rPr>
          <w:rFonts w:hint="eastAsia" w:ascii="Times New Roman" w:hAnsi="Times New Roman" w:cs="Times New Roman"/>
          <w:sz w:val="24"/>
          <w:szCs w:val="24"/>
        </w:rPr>
        <w:t>日）；</w:t>
      </w:r>
    </w:p>
    <w:p>
      <w:pPr>
        <w:pStyle w:val="50"/>
        <w:numPr>
          <w:ilvl w:val="0"/>
          <w:numId w:val="6"/>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《河北省水污染防治工作方案》（</w:t>
      </w:r>
      <w:r>
        <w:rPr>
          <w:rFonts w:ascii="Times New Roman" w:hAnsi="Times New Roman" w:cs="Times New Roman"/>
          <w:sz w:val="24"/>
          <w:szCs w:val="24"/>
        </w:rPr>
        <w:t xml:space="preserve">2015 </w:t>
      </w:r>
      <w:r>
        <w:rPr>
          <w:rFonts w:hint="eastAsia" w:ascii="Times New Roman" w:hAnsi="Times New Roman" w:cs="Times New Roman"/>
          <w:sz w:val="24"/>
          <w:szCs w:val="24"/>
        </w:rPr>
        <w:t>年</w:t>
      </w:r>
      <w:r>
        <w:rPr>
          <w:rFonts w:ascii="Times New Roman" w:hAnsi="Times New Roman" w:cs="Times New Roman"/>
          <w:sz w:val="24"/>
          <w:szCs w:val="24"/>
        </w:rPr>
        <w:t xml:space="preserve">12 </w:t>
      </w:r>
      <w:r>
        <w:rPr>
          <w:rFonts w:hint="eastAsia" w:ascii="Times New Roman" w:hAnsi="Times New Roman" w:cs="Times New Roman"/>
          <w:sz w:val="24"/>
          <w:szCs w:val="24"/>
        </w:rPr>
        <w:t>月</w:t>
      </w:r>
      <w:r>
        <w:rPr>
          <w:rFonts w:ascii="Times New Roman" w:hAnsi="Times New Roman" w:cs="Times New Roman"/>
          <w:sz w:val="24"/>
          <w:szCs w:val="24"/>
        </w:rPr>
        <w:t xml:space="preserve">31 </w:t>
      </w:r>
      <w:r>
        <w:rPr>
          <w:rFonts w:hint="eastAsia" w:ascii="Times New Roman" w:hAnsi="Times New Roman" w:cs="Times New Roman"/>
          <w:sz w:val="24"/>
          <w:szCs w:val="24"/>
        </w:rPr>
        <w:t>日）</w:t>
      </w:r>
    </w:p>
    <w:p>
      <w:pPr>
        <w:pStyle w:val="50"/>
        <w:numPr>
          <w:ilvl w:val="0"/>
          <w:numId w:val="6"/>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《关于对〈河北省环境敏感区支持、限制、禁止建设项目名录〉限制建设项目执行中有关问题的解释》冀环评函［</w:t>
      </w:r>
      <w:r>
        <w:rPr>
          <w:rFonts w:ascii="Times New Roman" w:hAnsi="Times New Roman" w:cs="Times New Roman"/>
          <w:sz w:val="24"/>
          <w:szCs w:val="24"/>
        </w:rPr>
        <w:t>2008</w:t>
      </w:r>
      <w:r>
        <w:rPr>
          <w:rFonts w:hint="eastAsia" w:ascii="Times New Roman" w:hAnsi="Times New Roman" w:cs="Times New Roman"/>
          <w:sz w:val="24"/>
          <w:szCs w:val="24"/>
        </w:rPr>
        <w:t>］</w:t>
      </w:r>
      <w:r>
        <w:rPr>
          <w:rFonts w:ascii="Times New Roman" w:hAnsi="Times New Roman" w:cs="Times New Roman"/>
          <w:sz w:val="24"/>
          <w:szCs w:val="24"/>
        </w:rPr>
        <w:t xml:space="preserve">21 </w:t>
      </w:r>
      <w:r>
        <w:rPr>
          <w:rFonts w:hint="eastAsia" w:ascii="Times New Roman" w:hAnsi="Times New Roman" w:cs="Times New Roman"/>
          <w:sz w:val="24"/>
          <w:szCs w:val="24"/>
        </w:rPr>
        <w:t>号；</w:t>
      </w:r>
    </w:p>
    <w:p>
      <w:pPr>
        <w:pStyle w:val="50"/>
        <w:numPr>
          <w:ilvl w:val="0"/>
          <w:numId w:val="6"/>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《河北省人民政府办公厅关于印发河北省新增限制和淘汰类产业目录（</w:t>
      </w:r>
      <w:r>
        <w:rPr>
          <w:rFonts w:ascii="Times New Roman" w:hAnsi="Times New Roman" w:cs="Times New Roman"/>
          <w:sz w:val="24"/>
          <w:szCs w:val="24"/>
        </w:rPr>
        <w:t xml:space="preserve">2015 </w:t>
      </w:r>
      <w:r>
        <w:rPr>
          <w:rFonts w:hint="eastAsia" w:ascii="Times New Roman" w:hAnsi="Times New Roman" w:cs="Times New Roman"/>
          <w:sz w:val="24"/>
          <w:szCs w:val="24"/>
        </w:rPr>
        <w:t>年版）的通知》（冀政办发（</w:t>
      </w:r>
      <w:r>
        <w:rPr>
          <w:rFonts w:ascii="Times New Roman" w:hAnsi="Times New Roman" w:cs="Times New Roman"/>
          <w:sz w:val="24"/>
          <w:szCs w:val="24"/>
        </w:rPr>
        <w:t>2015</w:t>
      </w:r>
      <w:r>
        <w:rPr>
          <w:rFonts w:hint="eastAsia" w:ascii="Times New Roman" w:hAnsi="Times New Roman" w:cs="Times New Roman"/>
          <w:sz w:val="24"/>
          <w:szCs w:val="24"/>
        </w:rPr>
        <w:t>）</w:t>
      </w:r>
      <w:r>
        <w:rPr>
          <w:rFonts w:ascii="Times New Roman" w:hAnsi="Times New Roman" w:cs="Times New Roman"/>
          <w:sz w:val="24"/>
          <w:szCs w:val="24"/>
        </w:rPr>
        <w:t xml:space="preserve">7 </w:t>
      </w:r>
      <w:r>
        <w:rPr>
          <w:rFonts w:hint="eastAsia" w:ascii="Times New Roman" w:hAnsi="Times New Roman" w:cs="Times New Roman"/>
          <w:sz w:val="24"/>
          <w:szCs w:val="24"/>
        </w:rPr>
        <w:t>号）；</w:t>
      </w:r>
    </w:p>
    <w:p>
      <w:pPr>
        <w:pStyle w:val="50"/>
        <w:numPr>
          <w:ilvl w:val="0"/>
          <w:numId w:val="6"/>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《河北省环境保护厅关于进一步加强建设项目环保管理的通知》（冀环评</w:t>
      </w:r>
      <w:r>
        <w:rPr>
          <w:rFonts w:ascii="Times New Roman" w:hAnsi="Times New Roman" w:cs="Times New Roman"/>
          <w:sz w:val="24"/>
          <w:szCs w:val="24"/>
        </w:rPr>
        <w:t xml:space="preserve">[2013]232 </w:t>
      </w:r>
      <w:r>
        <w:rPr>
          <w:rFonts w:hint="eastAsia" w:ascii="Times New Roman" w:hAnsi="Times New Roman" w:cs="Times New Roman"/>
          <w:sz w:val="24"/>
          <w:szCs w:val="24"/>
        </w:rPr>
        <w:t>号）；</w:t>
      </w:r>
    </w:p>
    <w:p>
      <w:pPr>
        <w:pStyle w:val="50"/>
        <w:numPr>
          <w:ilvl w:val="0"/>
          <w:numId w:val="6"/>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《河北省环境保护厅关于贯彻落实环保部对河北省主要污染物减排工作推进意见的情况报告》（冀环总</w:t>
      </w:r>
      <w:r>
        <w:rPr>
          <w:rFonts w:ascii="Times New Roman" w:hAnsi="Times New Roman" w:cs="Times New Roman"/>
          <w:sz w:val="24"/>
          <w:szCs w:val="24"/>
        </w:rPr>
        <w:t xml:space="preserve">[2013]257 </w:t>
      </w:r>
      <w:r>
        <w:rPr>
          <w:rFonts w:hint="eastAsia" w:ascii="Times New Roman" w:hAnsi="Times New Roman" w:cs="Times New Roman"/>
          <w:sz w:val="24"/>
          <w:szCs w:val="24"/>
        </w:rPr>
        <w:t>号）；</w:t>
      </w:r>
    </w:p>
    <w:p>
      <w:pPr>
        <w:pStyle w:val="50"/>
        <w:numPr>
          <w:ilvl w:val="0"/>
          <w:numId w:val="6"/>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《河北省建筑施工扬尘强化措施18条》；</w:t>
      </w:r>
    </w:p>
    <w:p>
      <w:pPr>
        <w:pStyle w:val="50"/>
        <w:numPr>
          <w:ilvl w:val="0"/>
          <w:numId w:val="6"/>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《关于进一步加强环境保护工作的决定》，冀政</w:t>
      </w:r>
      <w:r>
        <w:rPr>
          <w:rFonts w:ascii="Times New Roman" w:hAnsi="Times New Roman" w:cs="Times New Roman"/>
          <w:sz w:val="24"/>
          <w:szCs w:val="24"/>
        </w:rPr>
        <w:t xml:space="preserve">[2012]24 </w:t>
      </w:r>
      <w:r>
        <w:rPr>
          <w:rFonts w:hint="eastAsia" w:ascii="Times New Roman" w:hAnsi="Times New Roman" w:cs="Times New Roman"/>
          <w:sz w:val="24"/>
          <w:szCs w:val="24"/>
        </w:rPr>
        <w:t>号，</w:t>
      </w:r>
      <w:r>
        <w:rPr>
          <w:rFonts w:ascii="Times New Roman" w:hAnsi="Times New Roman" w:cs="Times New Roman"/>
          <w:sz w:val="24"/>
          <w:szCs w:val="24"/>
        </w:rPr>
        <w:t>2012.4.11</w:t>
      </w:r>
      <w:r>
        <w:rPr>
          <w:rFonts w:hint="eastAsia" w:ascii="Times New Roman" w:hAnsi="Times New Roman" w:cs="Times New Roman"/>
          <w:sz w:val="24"/>
          <w:szCs w:val="24"/>
        </w:rPr>
        <w:t>；</w:t>
      </w:r>
    </w:p>
    <w:p>
      <w:pPr>
        <w:pStyle w:val="50"/>
        <w:numPr>
          <w:ilvl w:val="0"/>
          <w:numId w:val="6"/>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《关于加强环境影响评价文件编制工作管理的有关规定》，冀环办发</w:t>
      </w:r>
      <w:r>
        <w:rPr>
          <w:rFonts w:ascii="Times New Roman" w:hAnsi="Times New Roman" w:cs="Times New Roman"/>
          <w:sz w:val="24"/>
          <w:szCs w:val="24"/>
        </w:rPr>
        <w:t xml:space="preserve">[2007]163 </w:t>
      </w:r>
      <w:r>
        <w:rPr>
          <w:rFonts w:hint="eastAsia" w:ascii="Times New Roman" w:hAnsi="Times New Roman" w:cs="Times New Roman"/>
          <w:sz w:val="24"/>
          <w:szCs w:val="24"/>
        </w:rPr>
        <w:t>号，</w:t>
      </w:r>
      <w:r>
        <w:rPr>
          <w:rFonts w:ascii="Times New Roman" w:hAnsi="Times New Roman" w:cs="Times New Roman"/>
          <w:sz w:val="24"/>
          <w:szCs w:val="24"/>
        </w:rPr>
        <w:t>2008.1.1</w:t>
      </w:r>
      <w:r>
        <w:rPr>
          <w:rFonts w:hint="eastAsia" w:ascii="Times New Roman" w:hAnsi="Times New Roman" w:cs="Times New Roman"/>
          <w:sz w:val="24"/>
          <w:szCs w:val="24"/>
        </w:rPr>
        <w:t>；</w:t>
      </w:r>
    </w:p>
    <w:p>
      <w:pPr>
        <w:pStyle w:val="50"/>
        <w:numPr>
          <w:ilvl w:val="0"/>
          <w:numId w:val="6"/>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《关于印发</w:t>
      </w:r>
      <w:r>
        <w:rPr>
          <w:rFonts w:ascii="Times New Roman" w:hAnsi="Times New Roman" w:cs="Times New Roman"/>
          <w:sz w:val="24"/>
          <w:szCs w:val="24"/>
        </w:rPr>
        <w:t>&lt;</w:t>
      </w:r>
      <w:r>
        <w:rPr>
          <w:rFonts w:hint="eastAsia" w:ascii="Times New Roman" w:hAnsi="Times New Roman" w:cs="Times New Roman"/>
          <w:sz w:val="24"/>
          <w:szCs w:val="24"/>
        </w:rPr>
        <w:t>建设项目环境影响评价政府信息公开指南（试行）</w:t>
      </w:r>
      <w:r>
        <w:rPr>
          <w:rFonts w:ascii="Times New Roman" w:hAnsi="Times New Roman" w:cs="Times New Roman"/>
          <w:sz w:val="24"/>
          <w:szCs w:val="24"/>
        </w:rPr>
        <w:t>&gt;</w:t>
      </w:r>
      <w:r>
        <w:rPr>
          <w:rFonts w:hint="eastAsia" w:ascii="Times New Roman" w:hAnsi="Times New Roman" w:cs="Times New Roman"/>
          <w:sz w:val="24"/>
          <w:szCs w:val="24"/>
        </w:rPr>
        <w:t>的通知》，</w:t>
      </w:r>
      <w:r>
        <w:rPr>
          <w:rFonts w:ascii="Times New Roman" w:hAnsi="Times New Roman" w:cs="Times New Roman"/>
          <w:sz w:val="24"/>
          <w:szCs w:val="24"/>
        </w:rPr>
        <w:t>2013.11.14</w:t>
      </w:r>
      <w:r>
        <w:rPr>
          <w:rFonts w:hint="eastAsia" w:ascii="Times New Roman" w:hAnsi="Times New Roman" w:cs="Times New Roman"/>
          <w:sz w:val="24"/>
          <w:szCs w:val="24"/>
        </w:rPr>
        <w:t>；</w:t>
      </w:r>
    </w:p>
    <w:p>
      <w:pPr>
        <w:pStyle w:val="50"/>
        <w:numPr>
          <w:ilvl w:val="0"/>
          <w:numId w:val="6"/>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河北省环保局冀环办发</w:t>
      </w:r>
      <w:r>
        <w:rPr>
          <w:rFonts w:ascii="Times New Roman" w:hAnsi="Times New Roman" w:cs="Times New Roman"/>
          <w:sz w:val="24"/>
          <w:szCs w:val="24"/>
        </w:rPr>
        <w:t xml:space="preserve">[2012]195 </w:t>
      </w:r>
      <w:r>
        <w:rPr>
          <w:rFonts w:hint="eastAsia" w:ascii="Times New Roman" w:hAnsi="Times New Roman" w:cs="Times New Roman"/>
          <w:sz w:val="24"/>
          <w:szCs w:val="24"/>
        </w:rPr>
        <w:t>号文《关于进一步加强信息公开工作规范环评文件编制的通知》；</w:t>
      </w:r>
    </w:p>
    <w:p>
      <w:pPr>
        <w:pStyle w:val="50"/>
        <w:numPr>
          <w:ilvl w:val="0"/>
          <w:numId w:val="6"/>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河北省环保厅冀环评</w:t>
      </w:r>
      <w:r>
        <w:rPr>
          <w:rFonts w:ascii="Times New Roman" w:hAnsi="Times New Roman" w:cs="Times New Roman"/>
          <w:sz w:val="24"/>
          <w:szCs w:val="24"/>
        </w:rPr>
        <w:t xml:space="preserve">[2012]275 </w:t>
      </w:r>
      <w:r>
        <w:rPr>
          <w:rFonts w:hint="eastAsia" w:ascii="Times New Roman" w:hAnsi="Times New Roman" w:cs="Times New Roman"/>
          <w:sz w:val="24"/>
          <w:szCs w:val="24"/>
        </w:rPr>
        <w:t>号《关于进一步优化发展环境加快建设项目环评审批工作的通知》；</w:t>
      </w:r>
    </w:p>
    <w:p>
      <w:pPr>
        <w:pStyle w:val="50"/>
        <w:numPr>
          <w:ilvl w:val="0"/>
          <w:numId w:val="6"/>
        </w:numPr>
        <w:spacing w:line="360" w:lineRule="auto"/>
        <w:ind w:firstLineChars="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hint="eastAsia" w:ascii="Times New Roman" w:hAnsi="Times New Roman" w:cs="Times New Roman"/>
          <w:color w:val="000000" w:themeColor="text1"/>
          <w:sz w:val="24"/>
          <w:szCs w:val="24"/>
        </w:rPr>
        <w:t>环境影响评价公众参与办法</w:t>
      </w:r>
      <w:r>
        <w:rPr>
          <w:rFonts w:ascii="Times New Roman" w:hAnsi="Times New Roman" w:cs="Times New Roman"/>
          <w:color w:val="000000" w:themeColor="text1"/>
          <w:sz w:val="24"/>
          <w:szCs w:val="24"/>
        </w:rPr>
        <w:t>》(冀环办发［201</w:t>
      </w:r>
      <w:r>
        <w:rPr>
          <w:rFonts w:hint="eastAsia" w:ascii="Times New Roman" w:hAnsi="Times New Roman" w:cs="Times New Roman"/>
          <w:color w:val="000000" w:themeColor="text1"/>
          <w:sz w:val="24"/>
          <w:szCs w:val="24"/>
        </w:rPr>
        <w:t>8</w:t>
      </w:r>
      <w:r>
        <w:rPr>
          <w:rFonts w:ascii="Times New Roman" w:hAnsi="Times New Roman" w:cs="Times New Roman"/>
          <w:color w:val="000000" w:themeColor="text1"/>
          <w:sz w:val="24"/>
          <w:szCs w:val="24"/>
        </w:rPr>
        <w:t>］23号)；</w:t>
      </w:r>
    </w:p>
    <w:p>
      <w:pPr>
        <w:pStyle w:val="50"/>
        <w:numPr>
          <w:ilvl w:val="0"/>
          <w:numId w:val="6"/>
        </w:numPr>
        <w:ind w:firstLineChars="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《关于开展恶臭气体异味气体专项整治的通知》（冀环办字函[2018]310号）；</w:t>
      </w:r>
    </w:p>
    <w:p>
      <w:pPr>
        <w:pStyle w:val="50"/>
        <w:numPr>
          <w:ilvl w:val="0"/>
          <w:numId w:val="6"/>
        </w:numPr>
        <w:spacing w:line="360" w:lineRule="auto"/>
        <w:ind w:firstLineChars="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保定市人民政府《关于实施环境综合整治改善大气环境质量》的实施意见；</w:t>
      </w:r>
    </w:p>
    <w:p>
      <w:pPr>
        <w:pStyle w:val="50"/>
        <w:numPr>
          <w:ilvl w:val="0"/>
          <w:numId w:val="6"/>
        </w:numPr>
        <w:spacing w:line="360" w:lineRule="auto"/>
        <w:ind w:firstLineChars="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保定市人民政府关于印发《保定市大气污染防治三年攻坚行动及2015年重点工作实施方案》的通知（保政函[2015]32 号）；</w:t>
      </w:r>
    </w:p>
    <w:p>
      <w:pPr>
        <w:pStyle w:val="50"/>
        <w:numPr>
          <w:ilvl w:val="0"/>
          <w:numId w:val="6"/>
        </w:numPr>
        <w:spacing w:line="360" w:lineRule="auto"/>
        <w:ind w:firstLineChars="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《保定市大气污染防治总体工作方案》，</w:t>
      </w:r>
      <w:r>
        <w:rPr>
          <w:rFonts w:ascii="Times New Roman" w:hAnsi="Times New Roman" w:cs="Times New Roman"/>
          <w:color w:val="000000" w:themeColor="text1"/>
          <w:sz w:val="24"/>
          <w:szCs w:val="24"/>
        </w:rPr>
        <w:t xml:space="preserve">2013 </w:t>
      </w:r>
      <w:r>
        <w:rPr>
          <w:rFonts w:hint="eastAsia" w:ascii="Times New Roman" w:hAnsi="Times New Roman" w:cs="Times New Roman"/>
          <w:color w:val="000000" w:themeColor="text1"/>
          <w:sz w:val="24"/>
          <w:szCs w:val="24"/>
        </w:rPr>
        <w:t>年</w:t>
      </w:r>
      <w:r>
        <w:rPr>
          <w:rFonts w:ascii="Times New Roman" w:hAnsi="Times New Roman" w:cs="Times New Roman"/>
          <w:color w:val="000000" w:themeColor="text1"/>
          <w:sz w:val="24"/>
          <w:szCs w:val="24"/>
        </w:rPr>
        <w:t xml:space="preserve">9 </w:t>
      </w:r>
      <w:r>
        <w:rPr>
          <w:rFonts w:hint="eastAsia" w:ascii="Times New Roman" w:hAnsi="Times New Roman" w:cs="Times New Roman"/>
          <w:color w:val="000000" w:themeColor="text1"/>
          <w:sz w:val="24"/>
          <w:szCs w:val="24"/>
        </w:rPr>
        <w:t>月</w:t>
      </w:r>
      <w:r>
        <w:rPr>
          <w:rFonts w:ascii="Times New Roman" w:hAnsi="Times New Roman" w:cs="Times New Roman"/>
          <w:color w:val="000000" w:themeColor="text1"/>
          <w:sz w:val="24"/>
          <w:szCs w:val="24"/>
        </w:rPr>
        <w:t xml:space="preserve">14 </w:t>
      </w:r>
      <w:r>
        <w:rPr>
          <w:rFonts w:hint="eastAsia" w:ascii="Times New Roman" w:hAnsi="Times New Roman" w:cs="Times New Roman"/>
          <w:color w:val="000000" w:themeColor="text1"/>
          <w:sz w:val="24"/>
          <w:szCs w:val="24"/>
        </w:rPr>
        <w:t>日；</w:t>
      </w:r>
    </w:p>
    <w:p>
      <w:pPr>
        <w:pStyle w:val="50"/>
        <w:numPr>
          <w:ilvl w:val="0"/>
          <w:numId w:val="6"/>
        </w:numPr>
        <w:spacing w:line="360" w:lineRule="auto"/>
        <w:ind w:firstLineChars="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《保定市大气污染治理十项攻坚措施》，</w:t>
      </w:r>
      <w:r>
        <w:rPr>
          <w:rFonts w:ascii="Times New Roman" w:hAnsi="Times New Roman" w:cs="Times New Roman"/>
          <w:color w:val="000000" w:themeColor="text1"/>
          <w:sz w:val="24"/>
          <w:szCs w:val="24"/>
        </w:rPr>
        <w:t xml:space="preserve">2013 </w:t>
      </w:r>
      <w:r>
        <w:rPr>
          <w:rFonts w:hint="eastAsia" w:ascii="Times New Roman" w:hAnsi="Times New Roman" w:cs="Times New Roman"/>
          <w:color w:val="000000" w:themeColor="text1"/>
          <w:sz w:val="24"/>
          <w:szCs w:val="24"/>
        </w:rPr>
        <w:t>年</w:t>
      </w:r>
      <w:r>
        <w:rPr>
          <w:rFonts w:ascii="Times New Roman" w:hAnsi="Times New Roman" w:cs="Times New Roman"/>
          <w:color w:val="000000" w:themeColor="text1"/>
          <w:sz w:val="24"/>
          <w:szCs w:val="24"/>
        </w:rPr>
        <w:t xml:space="preserve">9 </w:t>
      </w:r>
      <w:r>
        <w:rPr>
          <w:rFonts w:hint="eastAsia" w:ascii="Times New Roman" w:hAnsi="Times New Roman" w:cs="Times New Roman"/>
          <w:color w:val="000000" w:themeColor="text1"/>
          <w:sz w:val="24"/>
          <w:szCs w:val="24"/>
        </w:rPr>
        <w:t>月</w:t>
      </w:r>
      <w:r>
        <w:rPr>
          <w:rFonts w:ascii="Times New Roman" w:hAnsi="Times New Roman" w:cs="Times New Roman"/>
          <w:color w:val="000000" w:themeColor="text1"/>
          <w:sz w:val="24"/>
          <w:szCs w:val="24"/>
        </w:rPr>
        <w:t xml:space="preserve">14 </w:t>
      </w:r>
      <w:r>
        <w:rPr>
          <w:rFonts w:hint="eastAsia" w:ascii="Times New Roman" w:hAnsi="Times New Roman" w:cs="Times New Roman"/>
          <w:color w:val="000000" w:themeColor="text1"/>
          <w:sz w:val="24"/>
          <w:szCs w:val="24"/>
        </w:rPr>
        <w:t>日；</w:t>
      </w:r>
    </w:p>
    <w:p>
      <w:pPr>
        <w:pStyle w:val="50"/>
        <w:numPr>
          <w:ilvl w:val="0"/>
          <w:numId w:val="6"/>
        </w:numPr>
        <w:spacing w:line="360" w:lineRule="auto"/>
        <w:ind w:firstLineChars="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《保定市水污染防治工作实施方案》（保发〔</w:t>
      </w:r>
      <w:r>
        <w:rPr>
          <w:rFonts w:ascii="Times New Roman" w:hAnsi="Times New Roman" w:cs="Times New Roman"/>
          <w:color w:val="000000" w:themeColor="text1"/>
          <w:sz w:val="24"/>
          <w:szCs w:val="24"/>
        </w:rPr>
        <w:t>2016</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18 </w:t>
      </w:r>
      <w:r>
        <w:rPr>
          <w:rFonts w:hint="eastAsia" w:ascii="Times New Roman" w:hAnsi="Times New Roman" w:cs="Times New Roman"/>
          <w:color w:val="000000" w:themeColor="text1"/>
          <w:sz w:val="24"/>
          <w:szCs w:val="24"/>
        </w:rPr>
        <w:t>号）；</w:t>
      </w:r>
    </w:p>
    <w:p>
      <w:pPr>
        <w:pStyle w:val="50"/>
        <w:numPr>
          <w:ilvl w:val="0"/>
          <w:numId w:val="6"/>
        </w:numPr>
        <w:spacing w:line="360" w:lineRule="auto"/>
        <w:ind w:firstLineChars="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hint="eastAsia" w:ascii="Times New Roman" w:hAnsi="Times New Roman" w:cs="Times New Roman"/>
          <w:color w:val="000000" w:themeColor="text1"/>
          <w:sz w:val="24"/>
          <w:szCs w:val="24"/>
        </w:rPr>
        <w:t>保定市医疗废弃物管理办法（试行）</w:t>
      </w:r>
      <w:r>
        <w:rPr>
          <w:rFonts w:ascii="Times New Roman" w:hAnsi="Times New Roman" w:cs="Times New Roman"/>
          <w:color w:val="000000" w:themeColor="text1"/>
          <w:sz w:val="24"/>
          <w:szCs w:val="24"/>
        </w:rPr>
        <w:t>》</w:t>
      </w:r>
      <w:r>
        <w:rPr>
          <w:rFonts w:hint="eastAsia" w:ascii="Times New Roman" w:hAnsi="Times New Roman" w:cs="Times New Roman"/>
          <w:color w:val="000000" w:themeColor="text1"/>
          <w:sz w:val="24"/>
          <w:szCs w:val="24"/>
        </w:rPr>
        <w:t>。</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2.1.3技术导则、规范</w:t>
      </w:r>
    </w:p>
    <w:p>
      <w:pPr>
        <w:pStyle w:val="50"/>
        <w:numPr>
          <w:ilvl w:val="0"/>
          <w:numId w:val="7"/>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《建设项目环境影响评价技术导则  总纲》（</w:t>
      </w:r>
      <w:r>
        <w:rPr>
          <w:rFonts w:ascii="Times New Roman" w:hAnsi="Times New Roman" w:cs="Times New Roman"/>
          <w:sz w:val="24"/>
          <w:szCs w:val="24"/>
        </w:rPr>
        <w:t>HJ2.2-2016</w:t>
      </w:r>
      <w:r>
        <w:rPr>
          <w:rFonts w:hint="eastAsia" w:ascii="Times New Roman" w:hAnsi="Times New Roman" w:cs="Times New Roman"/>
          <w:sz w:val="24"/>
          <w:szCs w:val="24"/>
        </w:rPr>
        <w:t>）；</w:t>
      </w:r>
    </w:p>
    <w:p>
      <w:pPr>
        <w:pStyle w:val="50"/>
        <w:numPr>
          <w:ilvl w:val="0"/>
          <w:numId w:val="7"/>
        </w:numPr>
        <w:spacing w:line="360" w:lineRule="auto"/>
        <w:ind w:firstLineChars="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《环境影响评价技术导则  大气环境》（</w:t>
      </w:r>
      <w:r>
        <w:rPr>
          <w:rFonts w:ascii="Times New Roman" w:hAnsi="Times New Roman" w:cs="Times New Roman"/>
          <w:color w:val="000000" w:themeColor="text1"/>
          <w:sz w:val="24"/>
          <w:szCs w:val="24"/>
        </w:rPr>
        <w:t>HJ2.2-20</w:t>
      </w:r>
      <w:r>
        <w:rPr>
          <w:rFonts w:hint="eastAsia"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8</w:t>
      </w:r>
      <w:r>
        <w:rPr>
          <w:rFonts w:hint="eastAsia" w:ascii="Times New Roman" w:hAnsi="Times New Roman" w:cs="Times New Roman"/>
          <w:color w:val="000000" w:themeColor="text1"/>
          <w:sz w:val="24"/>
          <w:szCs w:val="24"/>
        </w:rPr>
        <w:t>）；</w:t>
      </w:r>
    </w:p>
    <w:p>
      <w:pPr>
        <w:pStyle w:val="50"/>
        <w:numPr>
          <w:ilvl w:val="0"/>
          <w:numId w:val="7"/>
        </w:numPr>
        <w:spacing w:line="360" w:lineRule="auto"/>
        <w:ind w:firstLineChars="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《环境影响评价技术导则  地表水环境》（</w:t>
      </w:r>
      <w:r>
        <w:rPr>
          <w:rFonts w:ascii="Times New Roman" w:hAnsi="Times New Roman" w:cs="Times New Roman"/>
          <w:color w:val="000000" w:themeColor="text1"/>
          <w:sz w:val="24"/>
          <w:szCs w:val="24"/>
        </w:rPr>
        <w:t>HJ2.</w:t>
      </w:r>
      <w:r>
        <w:rPr>
          <w:rFonts w:hint="eastAsia"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w:t>
      </w:r>
      <w:r>
        <w:rPr>
          <w:rFonts w:hint="eastAsia" w:ascii="Times New Roman" w:hAnsi="Times New Roman" w:cs="Times New Roman"/>
          <w:color w:val="000000" w:themeColor="text1"/>
          <w:sz w:val="24"/>
          <w:szCs w:val="24"/>
        </w:rPr>
        <w:t>2018）；</w:t>
      </w:r>
    </w:p>
    <w:p>
      <w:pPr>
        <w:pStyle w:val="50"/>
        <w:numPr>
          <w:ilvl w:val="0"/>
          <w:numId w:val="7"/>
        </w:numPr>
        <w:spacing w:line="360" w:lineRule="auto"/>
        <w:ind w:firstLineChars="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《环境影响评价技术导则  地下水环境》（</w:t>
      </w:r>
      <w:r>
        <w:rPr>
          <w:rFonts w:ascii="Times New Roman" w:hAnsi="Times New Roman" w:cs="Times New Roman"/>
          <w:color w:val="000000" w:themeColor="text1"/>
          <w:sz w:val="24"/>
          <w:szCs w:val="24"/>
        </w:rPr>
        <w:t>HJ610-2016</w:t>
      </w:r>
      <w:r>
        <w:rPr>
          <w:rFonts w:hint="eastAsia" w:ascii="Times New Roman" w:hAnsi="Times New Roman" w:cs="Times New Roman"/>
          <w:color w:val="000000" w:themeColor="text1"/>
          <w:sz w:val="24"/>
          <w:szCs w:val="24"/>
        </w:rPr>
        <w:t>）；</w:t>
      </w:r>
    </w:p>
    <w:p>
      <w:pPr>
        <w:pStyle w:val="50"/>
        <w:numPr>
          <w:ilvl w:val="0"/>
          <w:numId w:val="7"/>
        </w:numPr>
        <w:spacing w:line="360" w:lineRule="auto"/>
        <w:ind w:firstLineChars="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《环境影响评价技术导则  声环境》（</w:t>
      </w:r>
      <w:r>
        <w:rPr>
          <w:rFonts w:ascii="Times New Roman" w:hAnsi="Times New Roman" w:cs="Times New Roman"/>
          <w:color w:val="000000" w:themeColor="text1"/>
          <w:sz w:val="24"/>
          <w:szCs w:val="24"/>
        </w:rPr>
        <w:t>HJ2.4-2009</w:t>
      </w:r>
      <w:r>
        <w:rPr>
          <w:rFonts w:hint="eastAsia" w:ascii="Times New Roman" w:hAnsi="Times New Roman" w:cs="Times New Roman"/>
          <w:color w:val="000000" w:themeColor="text1"/>
          <w:sz w:val="24"/>
          <w:szCs w:val="24"/>
        </w:rPr>
        <w:t>）；</w:t>
      </w:r>
    </w:p>
    <w:p>
      <w:pPr>
        <w:pStyle w:val="50"/>
        <w:numPr>
          <w:ilvl w:val="0"/>
          <w:numId w:val="7"/>
        </w:numPr>
        <w:spacing w:line="360" w:lineRule="auto"/>
        <w:ind w:firstLineChars="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《建设项目环境风险评价技术导则》（HJ169-2018）；</w:t>
      </w:r>
    </w:p>
    <w:p>
      <w:pPr>
        <w:pStyle w:val="50"/>
        <w:numPr>
          <w:ilvl w:val="0"/>
          <w:numId w:val="7"/>
        </w:numPr>
        <w:spacing w:line="360" w:lineRule="auto"/>
        <w:ind w:firstLineChars="0"/>
        <w:rPr>
          <w:rFonts w:ascii="Times New Roman" w:hAnsi="Times New Roman" w:cs="Times New Roman"/>
          <w:color w:val="000000" w:themeColor="text1"/>
          <w:sz w:val="24"/>
          <w:szCs w:val="24"/>
        </w:rPr>
      </w:pPr>
      <w:r>
        <w:rPr>
          <w:rFonts w:hint="eastAsia"/>
          <w:color w:val="000000" w:themeColor="text1"/>
          <w:sz w:val="24"/>
        </w:rPr>
        <w:t>《固体废物鉴别标准  通则》</w:t>
      </w:r>
      <w:r>
        <w:rPr>
          <w:rFonts w:ascii="Times New Roman" w:cs="Times New Roman"/>
          <w:color w:val="000000" w:themeColor="text1"/>
          <w:sz w:val="24"/>
        </w:rPr>
        <w:t>（</w:t>
      </w:r>
      <w:r>
        <w:rPr>
          <w:rFonts w:ascii="Times New Roman" w:hAnsi="Times New Roman" w:cs="Times New Roman"/>
          <w:color w:val="000000" w:themeColor="text1"/>
          <w:sz w:val="24"/>
        </w:rPr>
        <w:t>GB34330-2017</w:t>
      </w:r>
      <w:r>
        <w:rPr>
          <w:rFonts w:ascii="Times New Roman" w:cs="Times New Roman"/>
          <w:color w:val="000000" w:themeColor="text1"/>
          <w:sz w:val="24"/>
        </w:rPr>
        <w:t>）；</w:t>
      </w:r>
    </w:p>
    <w:p>
      <w:pPr>
        <w:pStyle w:val="50"/>
        <w:numPr>
          <w:ilvl w:val="0"/>
          <w:numId w:val="7"/>
        </w:numPr>
        <w:spacing w:line="360" w:lineRule="auto"/>
        <w:ind w:firstLineChars="0"/>
        <w:rPr>
          <w:rFonts w:ascii="Times New Roman" w:hAnsi="Times New Roman" w:cs="Times New Roman"/>
          <w:color w:val="000000" w:themeColor="text1"/>
          <w:sz w:val="24"/>
          <w:szCs w:val="24"/>
        </w:rPr>
      </w:pPr>
      <w:r>
        <w:rPr>
          <w:color w:val="000000" w:themeColor="text1"/>
          <w:sz w:val="24"/>
        </w:rPr>
        <w:t>《危险废物鉴别技术规范》</w:t>
      </w:r>
      <w:r>
        <w:rPr>
          <w:rFonts w:ascii="Times New Roman" w:cs="Times New Roman"/>
          <w:color w:val="000000" w:themeColor="text1"/>
          <w:sz w:val="24"/>
        </w:rPr>
        <w:t>（</w:t>
      </w:r>
      <w:r>
        <w:rPr>
          <w:rFonts w:ascii="Times New Roman" w:hAnsi="Times New Roman" w:cs="Times New Roman"/>
          <w:color w:val="000000" w:themeColor="text1"/>
          <w:sz w:val="24"/>
        </w:rPr>
        <w:t>HJ/T298-2007</w:t>
      </w:r>
      <w:r>
        <w:rPr>
          <w:rFonts w:ascii="Times New Roman" w:cs="Times New Roman"/>
          <w:color w:val="000000" w:themeColor="text1"/>
          <w:sz w:val="24"/>
        </w:rPr>
        <w:t>）</w:t>
      </w:r>
      <w:r>
        <w:rPr>
          <w:rFonts w:hint="eastAsia" w:ascii="Times New Roman" w:cs="Times New Roman"/>
          <w:color w:val="000000" w:themeColor="text1"/>
          <w:sz w:val="24"/>
        </w:rPr>
        <w:t>；</w:t>
      </w:r>
    </w:p>
    <w:p>
      <w:pPr>
        <w:pStyle w:val="50"/>
        <w:numPr>
          <w:ilvl w:val="0"/>
          <w:numId w:val="7"/>
        </w:numPr>
        <w:spacing w:line="360" w:lineRule="auto"/>
        <w:ind w:firstLineChars="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《排污单位环境管理台账及排污许可执行报告技术规范 总则》（HJ944-2018）；</w:t>
      </w:r>
    </w:p>
    <w:p>
      <w:pPr>
        <w:pStyle w:val="50"/>
        <w:numPr>
          <w:ilvl w:val="0"/>
          <w:numId w:val="7"/>
        </w:numPr>
        <w:spacing w:line="360" w:lineRule="auto"/>
        <w:ind w:firstLineChars="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《排污单位自行监测技术指南  总则》（HJ819-2017）；</w:t>
      </w:r>
    </w:p>
    <w:p>
      <w:pPr>
        <w:pStyle w:val="50"/>
        <w:numPr>
          <w:ilvl w:val="0"/>
          <w:numId w:val="7"/>
        </w:numPr>
        <w:spacing w:line="360" w:lineRule="auto"/>
        <w:ind w:firstLineChars="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《环境保护图形标志－排放口（源）》（</w:t>
      </w:r>
      <w:r>
        <w:rPr>
          <w:rFonts w:ascii="Times New Roman" w:hAnsi="Times New Roman" w:cs="Times New Roman"/>
          <w:bCs/>
          <w:color w:val="000000" w:themeColor="text1"/>
          <w:sz w:val="24"/>
          <w:szCs w:val="24"/>
        </w:rPr>
        <w:t>GB15562.1-1995</w:t>
      </w:r>
      <w:r>
        <w:rPr>
          <w:rFonts w:ascii="Times New Roman" w:hAnsi="Times New Roman" w:cs="Times New Roman"/>
          <w:color w:val="000000" w:themeColor="text1"/>
          <w:sz w:val="24"/>
          <w:szCs w:val="24"/>
        </w:rPr>
        <w:t>）；</w:t>
      </w:r>
    </w:p>
    <w:p>
      <w:pPr>
        <w:pStyle w:val="50"/>
        <w:numPr>
          <w:ilvl w:val="0"/>
          <w:numId w:val="7"/>
        </w:numPr>
        <w:spacing w:line="360" w:lineRule="auto"/>
        <w:ind w:firstLineChars="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fldChar w:fldCharType="begin"/>
      </w:r>
      <w:r>
        <w:instrText xml:space="preserve"> HYPERLINK "http://www.cn-hw.net/html/8/200706/2697_2.html" \t "_blank" </w:instrText>
      </w:r>
      <w:r>
        <w:fldChar w:fldCharType="separate"/>
      </w:r>
      <w:r>
        <w:rPr>
          <w:rStyle w:val="30"/>
          <w:rFonts w:ascii="Times New Roman" w:hAnsi="Times New Roman" w:cs="Times New Roman"/>
          <w:color w:val="000000" w:themeColor="text1"/>
          <w:sz w:val="24"/>
          <w:szCs w:val="24"/>
          <w:u w:val="none"/>
        </w:rPr>
        <w:t>环境保护图形标志--固体废物贮存（处置）场》（GB 15562.2-1995）；</w:t>
      </w:r>
      <w:r>
        <w:rPr>
          <w:rStyle w:val="30"/>
          <w:rFonts w:ascii="Times New Roman" w:hAnsi="Times New Roman" w:cs="Times New Roman"/>
          <w:color w:val="000000" w:themeColor="text1"/>
          <w:sz w:val="24"/>
          <w:szCs w:val="24"/>
          <w:u w:val="none"/>
        </w:rPr>
        <w:fldChar w:fldCharType="end"/>
      </w:r>
    </w:p>
    <w:p>
      <w:pPr>
        <w:pStyle w:val="50"/>
        <w:numPr>
          <w:ilvl w:val="0"/>
          <w:numId w:val="7"/>
        </w:numPr>
        <w:spacing w:line="360" w:lineRule="auto"/>
        <w:ind w:firstLineChars="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《排污口规范化整治要求（试行）》（国家环保局 环监[1996]470号）；</w:t>
      </w:r>
    </w:p>
    <w:p>
      <w:pPr>
        <w:pStyle w:val="50"/>
        <w:numPr>
          <w:ilvl w:val="0"/>
          <w:numId w:val="7"/>
        </w:numPr>
        <w:spacing w:line="360" w:lineRule="auto"/>
        <w:ind w:firstLineChars="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《医疗废物集中处置技术规范（试行）》，环发［2003］206号文；</w:t>
      </w:r>
    </w:p>
    <w:p>
      <w:pPr>
        <w:pStyle w:val="50"/>
        <w:numPr>
          <w:ilvl w:val="0"/>
          <w:numId w:val="7"/>
        </w:numPr>
        <w:spacing w:line="360" w:lineRule="auto"/>
        <w:ind w:firstLineChars="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《医院污水处理工程技术规范》（HJ2029-2013）；</w:t>
      </w:r>
    </w:p>
    <w:p>
      <w:pPr>
        <w:pStyle w:val="50"/>
        <w:numPr>
          <w:ilvl w:val="0"/>
          <w:numId w:val="7"/>
        </w:numPr>
        <w:spacing w:line="360" w:lineRule="auto"/>
        <w:ind w:firstLineChars="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《医院污水处理技术指南》，环发［2003］197号；</w:t>
      </w:r>
    </w:p>
    <w:p>
      <w:pPr>
        <w:pStyle w:val="50"/>
        <w:numPr>
          <w:ilvl w:val="0"/>
          <w:numId w:val="7"/>
        </w:numPr>
        <w:spacing w:line="360" w:lineRule="auto"/>
        <w:ind w:firstLineChars="0"/>
        <w:rPr>
          <w:rFonts w:ascii="Times New Roman" w:hAnsi="Times New Roman" w:cs="Times New Roman"/>
          <w:color w:val="000000" w:themeColor="text1"/>
          <w:sz w:val="24"/>
          <w:szCs w:val="24"/>
        </w:rPr>
      </w:pPr>
      <w:r>
        <w:rPr>
          <w:rFonts w:ascii="Times New Roman" w:cs="Times New Roman"/>
          <w:color w:val="000000" w:themeColor="text1"/>
          <w:sz w:val="24"/>
        </w:rPr>
        <w:t>《建设项目危险废物环境影响评价指南》（环境保护部办公厅</w:t>
      </w:r>
      <w:r>
        <w:rPr>
          <w:rFonts w:ascii="Times New Roman" w:hAnsi="Times New Roman" w:cs="Times New Roman"/>
          <w:color w:val="000000" w:themeColor="text1"/>
          <w:sz w:val="24"/>
        </w:rPr>
        <w:t>2017</w:t>
      </w:r>
      <w:r>
        <w:rPr>
          <w:rFonts w:ascii="Times New Roman" w:cs="Times New Roman"/>
          <w:color w:val="000000" w:themeColor="text1"/>
          <w:sz w:val="24"/>
        </w:rPr>
        <w:t>年</w:t>
      </w:r>
      <w:r>
        <w:rPr>
          <w:rFonts w:ascii="Times New Roman" w:hAnsi="Times New Roman" w:cs="Times New Roman"/>
          <w:color w:val="000000" w:themeColor="text1"/>
          <w:sz w:val="24"/>
        </w:rPr>
        <w:t>9</w:t>
      </w:r>
      <w:r>
        <w:rPr>
          <w:rFonts w:ascii="Times New Roman" w:cs="Times New Roman"/>
          <w:color w:val="000000" w:themeColor="text1"/>
          <w:sz w:val="24"/>
        </w:rPr>
        <w:t>月</w:t>
      </w:r>
      <w:r>
        <w:rPr>
          <w:rFonts w:ascii="Times New Roman" w:hAnsi="Times New Roman" w:cs="Times New Roman"/>
          <w:color w:val="000000" w:themeColor="text1"/>
          <w:sz w:val="24"/>
        </w:rPr>
        <w:t>1</w:t>
      </w:r>
      <w:r>
        <w:rPr>
          <w:rFonts w:ascii="Times New Roman" w:cs="Times New Roman"/>
          <w:color w:val="000000" w:themeColor="text1"/>
          <w:sz w:val="24"/>
        </w:rPr>
        <w:t>日印发，</w:t>
      </w:r>
      <w:r>
        <w:rPr>
          <w:rFonts w:ascii="Times New Roman" w:hAnsi="Times New Roman" w:cs="Times New Roman"/>
          <w:color w:val="000000" w:themeColor="text1"/>
          <w:sz w:val="24"/>
        </w:rPr>
        <w:t>2017</w:t>
      </w:r>
      <w:r>
        <w:rPr>
          <w:rFonts w:ascii="Times New Roman" w:cs="Times New Roman"/>
          <w:color w:val="000000" w:themeColor="text1"/>
          <w:sz w:val="24"/>
        </w:rPr>
        <w:t>年</w:t>
      </w:r>
      <w:r>
        <w:rPr>
          <w:rFonts w:ascii="Times New Roman" w:hAnsi="Times New Roman" w:cs="Times New Roman"/>
          <w:color w:val="000000" w:themeColor="text1"/>
          <w:sz w:val="24"/>
        </w:rPr>
        <w:t>10</w:t>
      </w:r>
      <w:r>
        <w:rPr>
          <w:rFonts w:ascii="Times New Roman" w:cs="Times New Roman"/>
          <w:color w:val="000000" w:themeColor="text1"/>
          <w:sz w:val="24"/>
        </w:rPr>
        <w:t>月</w:t>
      </w:r>
      <w:r>
        <w:rPr>
          <w:rFonts w:ascii="Times New Roman" w:hAnsi="Times New Roman" w:cs="Times New Roman"/>
          <w:color w:val="000000" w:themeColor="text1"/>
          <w:sz w:val="24"/>
        </w:rPr>
        <w:t>1</w:t>
      </w:r>
      <w:r>
        <w:rPr>
          <w:rFonts w:ascii="Times New Roman" w:cs="Times New Roman"/>
          <w:color w:val="000000" w:themeColor="text1"/>
          <w:sz w:val="24"/>
        </w:rPr>
        <w:t>日执行）</w:t>
      </w:r>
      <w:r>
        <w:rPr>
          <w:rFonts w:hint="eastAsia" w:ascii="Times New Roman" w:cs="Times New Roman"/>
          <w:color w:val="000000" w:themeColor="text1"/>
          <w:sz w:val="24"/>
        </w:rPr>
        <w:t>。</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2.1.4其它资料</w:t>
      </w:r>
    </w:p>
    <w:p>
      <w:pPr>
        <w:pStyle w:val="50"/>
        <w:numPr>
          <w:ilvl w:val="0"/>
          <w:numId w:val="8"/>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保定市发展和改革委员会出具关于本项目建</w:t>
      </w:r>
      <w:r>
        <w:rPr>
          <w:rFonts w:hint="eastAsia" w:ascii="Times New Roman" w:hAnsi="Times New Roman" w:cs="Times New Roman"/>
          <w:sz w:val="24"/>
          <w:szCs w:val="24"/>
        </w:rPr>
        <w:t>议</w:t>
      </w:r>
      <w:r>
        <w:rPr>
          <w:rFonts w:ascii="Times New Roman" w:hAnsi="Times New Roman" w:cs="Times New Roman"/>
          <w:sz w:val="24"/>
          <w:szCs w:val="24"/>
        </w:rPr>
        <w:t>书的批复（保发改社会[2018]714号）；</w:t>
      </w:r>
    </w:p>
    <w:p>
      <w:pPr>
        <w:pStyle w:val="50"/>
        <w:numPr>
          <w:ilvl w:val="0"/>
          <w:numId w:val="8"/>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固定资产联合审批办公室出具保定市固定资产项目建设条件联合审查意见书（编号：2019004）；</w:t>
      </w:r>
    </w:p>
    <w:p>
      <w:pPr>
        <w:pStyle w:val="50"/>
        <w:numPr>
          <w:ilvl w:val="0"/>
          <w:numId w:val="8"/>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保定市自然资源和规划局出具建设项目选址意见书（选字第130600201900011号）；</w:t>
      </w:r>
    </w:p>
    <w:p>
      <w:pPr>
        <w:pStyle w:val="50"/>
        <w:numPr>
          <w:ilvl w:val="0"/>
          <w:numId w:val="8"/>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保定市第一中医院医疗机构执业许可证；</w:t>
      </w:r>
    </w:p>
    <w:p>
      <w:pPr>
        <w:pStyle w:val="50"/>
        <w:numPr>
          <w:ilvl w:val="0"/>
          <w:numId w:val="8"/>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项目环境空气、地下水、噪声检测报告；</w:t>
      </w:r>
    </w:p>
    <w:p>
      <w:pPr>
        <w:pStyle w:val="50"/>
        <w:numPr>
          <w:ilvl w:val="0"/>
          <w:numId w:val="8"/>
        </w:numPr>
        <w:spacing w:line="360" w:lineRule="auto"/>
        <w:ind w:firstLineChars="0"/>
        <w:rPr>
          <w:rFonts w:ascii="Times New Roman" w:hAnsi="Times New Roman" w:cs="Times New Roman"/>
          <w:sz w:val="24"/>
          <w:szCs w:val="24"/>
        </w:rPr>
      </w:pPr>
      <w:r>
        <w:rPr>
          <w:rFonts w:hint="eastAsia" w:ascii="宋体" w:eastAsia="宋体" w:cs="宋体"/>
          <w:kern w:val="0"/>
          <w:sz w:val="24"/>
          <w:szCs w:val="24"/>
        </w:rPr>
        <w:t>与本项目相关的其他技术资料。</w:t>
      </w:r>
    </w:p>
    <w:p>
      <w:pPr>
        <w:pStyle w:val="3"/>
        <w:spacing w:before="0" w:after="0" w:line="360" w:lineRule="auto"/>
        <w:rPr>
          <w:rFonts w:ascii="Times New Roman" w:hAnsi="Times New Roman" w:cs="Times New Roman"/>
          <w:sz w:val="28"/>
          <w:szCs w:val="28"/>
        </w:rPr>
      </w:pPr>
      <w:bookmarkStart w:id="11" w:name="_Toc13725339"/>
      <w:r>
        <w:rPr>
          <w:rFonts w:ascii="Times New Roman" w:hAnsi="Times New Roman" w:cs="Times New Roman"/>
          <w:sz w:val="28"/>
          <w:szCs w:val="28"/>
        </w:rPr>
        <w:t>2.2评价目的</w:t>
      </w:r>
      <w:bookmarkEnd w:id="11"/>
    </w:p>
    <w:p>
      <w:pPr>
        <w:pStyle w:val="50"/>
        <w:numPr>
          <w:ilvl w:val="0"/>
          <w:numId w:val="9"/>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通过对厂址周围自然环境、社会经济状况和环境质量现状的调查，分析区域存在的主要环境问题，为项目环评工作提供基础资料。</w:t>
      </w:r>
    </w:p>
    <w:p>
      <w:pPr>
        <w:pStyle w:val="50"/>
        <w:numPr>
          <w:ilvl w:val="0"/>
          <w:numId w:val="9"/>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通过对项目的主要原辅材料消耗、生产工艺、排污节点等分析，查清项目污染源和主要污染物的种类、数量及排放规律。</w:t>
      </w:r>
    </w:p>
    <w:p>
      <w:pPr>
        <w:pStyle w:val="50"/>
        <w:numPr>
          <w:ilvl w:val="0"/>
          <w:numId w:val="9"/>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通过计算和分析，预测项目主要污染物排放对水、气和声环境的影响程度，分析是否满足排放标准、环境质量标准。</w:t>
      </w:r>
    </w:p>
    <w:p>
      <w:pPr>
        <w:pStyle w:val="50"/>
        <w:numPr>
          <w:ilvl w:val="0"/>
          <w:numId w:val="9"/>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论证项目废水、废气、噪声等污染治理措施和固体废物处置措施的技术经济可行性。</w:t>
      </w:r>
    </w:p>
    <w:p>
      <w:pPr>
        <w:pStyle w:val="50"/>
        <w:numPr>
          <w:ilvl w:val="0"/>
          <w:numId w:val="9"/>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根据项目的清洁生产水平和环境功能要求，提出主要污染物排放总量控制的建议指标。</w:t>
      </w:r>
    </w:p>
    <w:p>
      <w:pPr>
        <w:pStyle w:val="50"/>
        <w:numPr>
          <w:ilvl w:val="0"/>
          <w:numId w:val="9"/>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依据环保法规、产业政策，从环境保护角度对厂址选择的可行性和项目建设的可行性做出明确结论，并提出相应的对策和建议，为环境保护主管部门决策，优化环保设计和企业环境管理提供科学依据。</w:t>
      </w:r>
    </w:p>
    <w:p>
      <w:pPr>
        <w:pStyle w:val="3"/>
        <w:spacing w:before="0" w:after="0" w:line="360" w:lineRule="auto"/>
        <w:rPr>
          <w:rFonts w:ascii="Times New Roman" w:hAnsi="Times New Roman" w:cs="Times New Roman"/>
          <w:sz w:val="28"/>
          <w:szCs w:val="28"/>
        </w:rPr>
      </w:pPr>
      <w:bookmarkStart w:id="12" w:name="_Toc13725340"/>
      <w:r>
        <w:rPr>
          <w:rFonts w:ascii="Times New Roman" w:hAnsi="Times New Roman" w:cs="Times New Roman"/>
          <w:sz w:val="28"/>
          <w:szCs w:val="28"/>
        </w:rPr>
        <w:t>2.3评价原则</w:t>
      </w:r>
      <w:bookmarkEnd w:id="12"/>
    </w:p>
    <w:p>
      <w:pPr>
        <w:pStyle w:val="50"/>
        <w:numPr>
          <w:ilvl w:val="0"/>
          <w:numId w:val="10"/>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坚持环境影响评价为项目建设服务，为环境管理服务的方针，注重环境影响评价的实用性和可操作性，为环境管理决策提供科学依据。</w:t>
      </w:r>
    </w:p>
    <w:p>
      <w:pPr>
        <w:pStyle w:val="50"/>
        <w:numPr>
          <w:ilvl w:val="0"/>
          <w:numId w:val="10"/>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以国家产业政策及环境保护政策、法规为依据，贯彻执行“清洁生产”、“达标排放”、“总量控制”等环保政策法规。</w:t>
      </w:r>
    </w:p>
    <w:p>
      <w:pPr>
        <w:pStyle w:val="50"/>
        <w:numPr>
          <w:ilvl w:val="0"/>
          <w:numId w:val="10"/>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充分利用现有资料，以科学、公正、客观的态度开展环评工作，确保环评工作的质量。</w:t>
      </w:r>
    </w:p>
    <w:p>
      <w:pPr>
        <w:pStyle w:val="50"/>
        <w:numPr>
          <w:ilvl w:val="0"/>
          <w:numId w:val="10"/>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评价内容力求主次分明，重点突出，数据准确可靠，污染防治措施可行，结论明确可信。</w:t>
      </w:r>
    </w:p>
    <w:p>
      <w:pPr>
        <w:pStyle w:val="3"/>
        <w:spacing w:before="0" w:after="0" w:line="360" w:lineRule="auto"/>
        <w:rPr>
          <w:rFonts w:ascii="Times New Roman" w:hAnsi="Times New Roman" w:cs="Times New Roman"/>
          <w:sz w:val="28"/>
          <w:szCs w:val="28"/>
        </w:rPr>
      </w:pPr>
      <w:bookmarkStart w:id="13" w:name="_Toc13725341"/>
      <w:r>
        <w:rPr>
          <w:rFonts w:ascii="Times New Roman" w:hAnsi="Times New Roman" w:cs="Times New Roman"/>
          <w:sz w:val="28"/>
          <w:szCs w:val="28"/>
        </w:rPr>
        <w:t>2.4环境影响</w:t>
      </w:r>
      <w:r>
        <w:rPr>
          <w:rFonts w:hint="eastAsia" w:ascii="Times New Roman" w:hAnsi="Times New Roman" w:cs="Times New Roman"/>
          <w:sz w:val="28"/>
          <w:szCs w:val="28"/>
        </w:rPr>
        <w:t>要素</w:t>
      </w:r>
      <w:r>
        <w:rPr>
          <w:rFonts w:ascii="Times New Roman" w:hAnsi="Times New Roman" w:cs="Times New Roman"/>
          <w:sz w:val="28"/>
          <w:szCs w:val="28"/>
        </w:rPr>
        <w:t>识别与评价因子筛选</w:t>
      </w:r>
      <w:bookmarkEnd w:id="13"/>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2.4.1环境影响因素识别</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环境影响要素识别和评价因子筛选的目的是将项目对区域环境可能产生较大影响的因素识别出来。</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根据工程采用的工艺和排污特征以及建设地点所在区域环境质量状况，采用矩阵法对受本工程影响的环境要素与污染因子进行识别。</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识别结果详见表</w:t>
      </w:r>
      <w:r>
        <w:rPr>
          <w:rFonts w:hint="eastAsia" w:ascii="Times New Roman" w:hAnsi="Times New Roman" w:cs="Times New Roman"/>
          <w:sz w:val="24"/>
          <w:szCs w:val="24"/>
        </w:rPr>
        <w:t>2</w:t>
      </w:r>
      <w:r>
        <w:rPr>
          <w:rFonts w:ascii="Times New Roman" w:hAnsi="Times New Roman" w:cs="Times New Roman"/>
          <w:sz w:val="24"/>
          <w:szCs w:val="24"/>
        </w:rPr>
        <w:t>-1。</w:t>
      </w:r>
    </w:p>
    <w:p>
      <w:pPr>
        <w:spacing w:line="360" w:lineRule="auto"/>
        <w:ind w:firstLine="120" w:firstLineChars="50"/>
        <w:jc w:val="center"/>
        <w:rPr>
          <w:rFonts w:ascii="Times New Roman" w:hAnsi="Times New Roman" w:cs="Times New Roman"/>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rPr>
        <w:t>2</w:t>
      </w:r>
      <w:r>
        <w:rPr>
          <w:rFonts w:ascii="Times New Roman" w:hAnsi="Times New Roman" w:cs="Times New Roman"/>
          <w:b/>
          <w:sz w:val="24"/>
          <w:szCs w:val="24"/>
        </w:rPr>
        <w:t>-1  环境影响要素识别表</w:t>
      </w:r>
    </w:p>
    <w:tbl>
      <w:tblPr>
        <w:tblStyle w:val="27"/>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5"/>
        <w:gridCol w:w="1266"/>
        <w:gridCol w:w="1265"/>
        <w:gridCol w:w="1265"/>
        <w:gridCol w:w="1265"/>
        <w:gridCol w:w="1265"/>
        <w:gridCol w:w="12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925" w:type="dxa"/>
            <w:vMerge w:val="restar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时段</w:t>
            </w:r>
          </w:p>
        </w:tc>
        <w:tc>
          <w:tcPr>
            <w:tcW w:w="1266" w:type="dxa"/>
            <w:vMerge w:val="restar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影响活动类型</w:t>
            </w:r>
          </w:p>
        </w:tc>
        <w:tc>
          <w:tcPr>
            <w:tcW w:w="6331" w:type="dxa"/>
            <w:gridSpan w:val="5"/>
            <w:tcBorders>
              <w:right w:val="single" w:color="auto" w:sz="4"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环境要素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925" w:type="dxa"/>
            <w:vMerge w:val="continue"/>
            <w:shd w:val="clear" w:color="auto" w:fill="auto"/>
            <w:vAlign w:val="center"/>
          </w:tcPr>
          <w:p>
            <w:pPr>
              <w:ind w:firstLine="105" w:firstLineChars="50"/>
              <w:jc w:val="center"/>
              <w:rPr>
                <w:rFonts w:ascii="Times New Roman" w:hAnsi="Times New Roman" w:cs="Times New Roman"/>
                <w:szCs w:val="21"/>
              </w:rPr>
            </w:pPr>
          </w:p>
        </w:tc>
        <w:tc>
          <w:tcPr>
            <w:tcW w:w="1266" w:type="dxa"/>
            <w:vMerge w:val="continue"/>
            <w:shd w:val="clear" w:color="auto" w:fill="auto"/>
            <w:vAlign w:val="center"/>
          </w:tcPr>
          <w:p>
            <w:pPr>
              <w:jc w:val="center"/>
              <w:rPr>
                <w:rFonts w:ascii="Times New Roman" w:hAnsi="Times New Roman" w:cs="Times New Roman"/>
                <w:szCs w:val="21"/>
              </w:rPr>
            </w:pPr>
          </w:p>
        </w:tc>
        <w:tc>
          <w:tcPr>
            <w:tcW w:w="1265"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环境空气</w:t>
            </w:r>
          </w:p>
        </w:tc>
        <w:tc>
          <w:tcPr>
            <w:tcW w:w="1265" w:type="dxa"/>
            <w:shd w:val="clear" w:color="auto" w:fill="auto"/>
            <w:vAlign w:val="center"/>
          </w:tcPr>
          <w:p>
            <w:pPr>
              <w:jc w:val="center"/>
              <w:rPr>
                <w:rFonts w:ascii="Times New Roman" w:hAnsi="Times New Roman" w:cs="Times New Roman"/>
                <w:szCs w:val="21"/>
              </w:rPr>
            </w:pPr>
            <w:r>
              <w:rPr>
                <w:rFonts w:hint="eastAsia" w:ascii="Times New Roman" w:hAnsi="Times New Roman" w:cs="Times New Roman"/>
                <w:szCs w:val="21"/>
              </w:rPr>
              <w:t>地下水</w:t>
            </w:r>
          </w:p>
        </w:tc>
        <w:tc>
          <w:tcPr>
            <w:tcW w:w="1265" w:type="dxa"/>
            <w:vAlign w:val="center"/>
          </w:tcPr>
          <w:p>
            <w:pPr>
              <w:jc w:val="center"/>
              <w:rPr>
                <w:rFonts w:ascii="Times New Roman" w:hAnsi="Times New Roman" w:cs="Times New Roman"/>
                <w:szCs w:val="21"/>
              </w:rPr>
            </w:pPr>
            <w:r>
              <w:rPr>
                <w:rFonts w:hint="eastAsia" w:ascii="Times New Roman" w:hAnsi="Times New Roman" w:cs="Times New Roman"/>
                <w:szCs w:val="21"/>
              </w:rPr>
              <w:t>地表水</w:t>
            </w:r>
          </w:p>
        </w:tc>
        <w:tc>
          <w:tcPr>
            <w:tcW w:w="1265"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声环境</w:t>
            </w:r>
          </w:p>
        </w:tc>
        <w:tc>
          <w:tcPr>
            <w:tcW w:w="1271" w:type="dxa"/>
            <w:tcBorders>
              <w:right w:val="single" w:color="auto" w:sz="4" w:space="0"/>
            </w:tcBorders>
            <w:shd w:val="clear" w:color="auto" w:fill="auto"/>
            <w:vAlign w:val="center"/>
          </w:tcPr>
          <w:p>
            <w:pPr>
              <w:jc w:val="center"/>
              <w:rPr>
                <w:rFonts w:ascii="Times New Roman" w:hAnsi="Times New Roman" w:cs="Times New Roman"/>
                <w:szCs w:val="21"/>
              </w:rPr>
            </w:pPr>
            <w:r>
              <w:rPr>
                <w:rFonts w:hint="eastAsia" w:ascii="Times New Roman" w:hAnsi="Times New Roman" w:cs="Times New Roman"/>
                <w:szCs w:val="21"/>
              </w:rPr>
              <w:t>生态环境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925" w:type="dxa"/>
            <w:vMerge w:val="restart"/>
            <w:shd w:val="clear" w:color="auto" w:fill="auto"/>
            <w:vAlign w:val="center"/>
          </w:tcPr>
          <w:p>
            <w:pPr>
              <w:jc w:val="center"/>
              <w:rPr>
                <w:rFonts w:ascii="Times New Roman" w:hAnsi="Times New Roman" w:cs="Times New Roman"/>
                <w:szCs w:val="21"/>
              </w:rPr>
            </w:pPr>
            <w:r>
              <w:rPr>
                <w:rFonts w:hint="eastAsia" w:ascii="Times New Roman" w:hAnsi="Times New Roman" w:cs="Times New Roman"/>
                <w:szCs w:val="21"/>
              </w:rPr>
              <w:t>施工期</w:t>
            </w:r>
          </w:p>
        </w:tc>
        <w:tc>
          <w:tcPr>
            <w:tcW w:w="1266" w:type="dxa"/>
            <w:shd w:val="clear" w:color="auto" w:fill="auto"/>
            <w:vAlign w:val="center"/>
          </w:tcPr>
          <w:p>
            <w:pPr>
              <w:jc w:val="center"/>
              <w:rPr>
                <w:rFonts w:ascii="Times New Roman" w:hAnsi="Times New Roman" w:cs="Times New Roman"/>
                <w:szCs w:val="21"/>
              </w:rPr>
            </w:pPr>
            <w:r>
              <w:rPr>
                <w:rFonts w:hint="eastAsia" w:ascii="Times New Roman" w:hAnsi="Times New Roman" w:cs="Times New Roman"/>
                <w:szCs w:val="21"/>
              </w:rPr>
              <w:t>场地平整</w:t>
            </w:r>
          </w:p>
        </w:tc>
        <w:tc>
          <w:tcPr>
            <w:tcW w:w="1265"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-2S</w:t>
            </w:r>
          </w:p>
        </w:tc>
        <w:tc>
          <w:tcPr>
            <w:tcW w:w="1265" w:type="dxa"/>
            <w:shd w:val="clear" w:color="auto" w:fill="auto"/>
            <w:vAlign w:val="center"/>
          </w:tcPr>
          <w:p>
            <w:pPr>
              <w:jc w:val="center"/>
              <w:rPr>
                <w:rFonts w:ascii="Times New Roman" w:hAnsi="Times New Roman" w:cs="Times New Roman"/>
                <w:szCs w:val="21"/>
              </w:rPr>
            </w:pPr>
          </w:p>
        </w:tc>
        <w:tc>
          <w:tcPr>
            <w:tcW w:w="1265" w:type="dxa"/>
            <w:vAlign w:val="center"/>
          </w:tcPr>
          <w:p>
            <w:pPr>
              <w:jc w:val="center"/>
              <w:rPr>
                <w:rFonts w:ascii="Times New Roman" w:hAnsi="Times New Roman" w:cs="Times New Roman"/>
              </w:rPr>
            </w:pPr>
          </w:p>
        </w:tc>
        <w:tc>
          <w:tcPr>
            <w:tcW w:w="1265" w:type="dxa"/>
            <w:shd w:val="clear" w:color="auto" w:fill="auto"/>
            <w:vAlign w:val="center"/>
          </w:tcPr>
          <w:p>
            <w:pPr>
              <w:jc w:val="center"/>
              <w:rPr>
                <w:rFonts w:ascii="Times New Roman" w:hAnsi="Times New Roman" w:cs="Times New Roman"/>
              </w:rPr>
            </w:pPr>
            <w:r>
              <w:rPr>
                <w:rFonts w:ascii="Times New Roman" w:hAnsi="Times New Roman" w:cs="Times New Roman"/>
              </w:rPr>
              <w:t>-1S</w:t>
            </w:r>
          </w:p>
        </w:tc>
        <w:tc>
          <w:tcPr>
            <w:tcW w:w="1271" w:type="dxa"/>
            <w:shd w:val="clear" w:color="auto" w:fill="auto"/>
            <w:vAlign w:val="center"/>
          </w:tcPr>
          <w:p>
            <w:pPr>
              <w:jc w:val="center"/>
              <w:rPr>
                <w:rFonts w:ascii="Times New Roman" w:hAnsi="Times New Roman" w:cs="Times New Roman"/>
              </w:rPr>
            </w:pPr>
            <w:r>
              <w:rPr>
                <w:rFonts w:ascii="Times New Roman" w:hAnsi="Times New Roman" w:cs="Times New Roman"/>
              </w:rPr>
              <w:t>-1L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925" w:type="dxa"/>
            <w:vMerge w:val="continue"/>
            <w:shd w:val="clear" w:color="auto" w:fill="auto"/>
            <w:vAlign w:val="center"/>
          </w:tcPr>
          <w:p>
            <w:pPr>
              <w:jc w:val="center"/>
              <w:rPr>
                <w:rFonts w:ascii="Times New Roman" w:hAnsi="Times New Roman" w:cs="Times New Roman"/>
                <w:szCs w:val="21"/>
              </w:rPr>
            </w:pPr>
          </w:p>
        </w:tc>
        <w:tc>
          <w:tcPr>
            <w:tcW w:w="1266" w:type="dxa"/>
            <w:shd w:val="clear" w:color="auto" w:fill="auto"/>
            <w:vAlign w:val="center"/>
          </w:tcPr>
          <w:p>
            <w:pPr>
              <w:jc w:val="center"/>
              <w:rPr>
                <w:rFonts w:ascii="Times New Roman" w:hAnsi="Times New Roman" w:cs="Times New Roman"/>
                <w:szCs w:val="21"/>
              </w:rPr>
            </w:pPr>
            <w:r>
              <w:rPr>
                <w:rFonts w:hint="eastAsia" w:ascii="Times New Roman" w:hAnsi="Times New Roman" w:cs="Times New Roman"/>
                <w:szCs w:val="21"/>
              </w:rPr>
              <w:t>厂房建设</w:t>
            </w:r>
          </w:p>
        </w:tc>
        <w:tc>
          <w:tcPr>
            <w:tcW w:w="1265"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-1S</w:t>
            </w:r>
          </w:p>
        </w:tc>
        <w:tc>
          <w:tcPr>
            <w:tcW w:w="1265"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-1S</w:t>
            </w:r>
          </w:p>
        </w:tc>
        <w:tc>
          <w:tcPr>
            <w:tcW w:w="1265" w:type="dxa"/>
            <w:vAlign w:val="center"/>
          </w:tcPr>
          <w:p>
            <w:pPr>
              <w:jc w:val="center"/>
              <w:rPr>
                <w:rFonts w:ascii="Times New Roman" w:hAnsi="Times New Roman" w:cs="Times New Roman"/>
              </w:rPr>
            </w:pPr>
            <w:r>
              <w:rPr>
                <w:rFonts w:ascii="Times New Roman" w:hAnsi="Times New Roman" w:cs="Times New Roman"/>
                <w:szCs w:val="21"/>
              </w:rPr>
              <w:t>-1S</w:t>
            </w:r>
          </w:p>
        </w:tc>
        <w:tc>
          <w:tcPr>
            <w:tcW w:w="1265" w:type="dxa"/>
            <w:shd w:val="clear" w:color="auto" w:fill="auto"/>
            <w:vAlign w:val="center"/>
          </w:tcPr>
          <w:p>
            <w:pPr>
              <w:jc w:val="center"/>
              <w:rPr>
                <w:rFonts w:ascii="Times New Roman" w:hAnsi="Times New Roman" w:cs="Times New Roman"/>
              </w:rPr>
            </w:pPr>
            <w:r>
              <w:rPr>
                <w:rFonts w:ascii="Times New Roman" w:hAnsi="Times New Roman" w:cs="Times New Roman"/>
              </w:rPr>
              <w:t>-2S</w:t>
            </w:r>
          </w:p>
        </w:tc>
        <w:tc>
          <w:tcPr>
            <w:tcW w:w="1271" w:type="dxa"/>
            <w:shd w:val="clear" w:color="auto" w:fill="auto"/>
            <w:vAlign w:val="center"/>
          </w:tcPr>
          <w:p>
            <w:pPr>
              <w:jc w:val="center"/>
              <w:rPr>
                <w:rFonts w:ascii="Times New Roman" w:hAnsi="Times New Roman" w:cs="Times New Roman"/>
              </w:rPr>
            </w:pPr>
            <w:r>
              <w:rPr>
                <w:rFonts w:ascii="Times New Roman" w:hAnsi="Times New Roman" w:cs="Times New Roman"/>
              </w:rPr>
              <w:t>-1L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925" w:type="dxa"/>
            <w:vMerge w:val="continue"/>
            <w:shd w:val="clear" w:color="auto" w:fill="auto"/>
            <w:vAlign w:val="center"/>
          </w:tcPr>
          <w:p>
            <w:pPr>
              <w:jc w:val="center"/>
              <w:rPr>
                <w:rFonts w:ascii="Times New Roman" w:hAnsi="Times New Roman" w:cs="Times New Roman"/>
                <w:szCs w:val="21"/>
              </w:rPr>
            </w:pPr>
          </w:p>
        </w:tc>
        <w:tc>
          <w:tcPr>
            <w:tcW w:w="1266" w:type="dxa"/>
            <w:shd w:val="clear" w:color="auto" w:fill="auto"/>
            <w:vAlign w:val="center"/>
          </w:tcPr>
          <w:p>
            <w:pPr>
              <w:jc w:val="center"/>
              <w:rPr>
                <w:rFonts w:ascii="Times New Roman" w:hAnsi="Times New Roman" w:cs="Times New Roman"/>
                <w:szCs w:val="21"/>
              </w:rPr>
            </w:pPr>
            <w:r>
              <w:rPr>
                <w:rFonts w:hint="eastAsia" w:ascii="Times New Roman" w:hAnsi="Times New Roman" w:cs="Times New Roman"/>
                <w:szCs w:val="21"/>
              </w:rPr>
              <w:t>设备安装调试</w:t>
            </w:r>
          </w:p>
        </w:tc>
        <w:tc>
          <w:tcPr>
            <w:tcW w:w="1265" w:type="dxa"/>
            <w:shd w:val="clear" w:color="auto" w:fill="auto"/>
            <w:vAlign w:val="center"/>
          </w:tcPr>
          <w:p>
            <w:pPr>
              <w:jc w:val="center"/>
              <w:rPr>
                <w:rFonts w:ascii="Times New Roman" w:hAnsi="Times New Roman" w:cs="Times New Roman"/>
                <w:szCs w:val="21"/>
              </w:rPr>
            </w:pPr>
          </w:p>
        </w:tc>
        <w:tc>
          <w:tcPr>
            <w:tcW w:w="1265" w:type="dxa"/>
            <w:shd w:val="clear" w:color="auto" w:fill="auto"/>
            <w:vAlign w:val="center"/>
          </w:tcPr>
          <w:p>
            <w:pPr>
              <w:jc w:val="center"/>
              <w:rPr>
                <w:rFonts w:ascii="Times New Roman" w:hAnsi="Times New Roman" w:cs="Times New Roman"/>
                <w:szCs w:val="21"/>
              </w:rPr>
            </w:pPr>
          </w:p>
        </w:tc>
        <w:tc>
          <w:tcPr>
            <w:tcW w:w="1265" w:type="dxa"/>
            <w:vAlign w:val="center"/>
          </w:tcPr>
          <w:p>
            <w:pPr>
              <w:jc w:val="center"/>
              <w:rPr>
                <w:rFonts w:ascii="Times New Roman" w:hAnsi="Times New Roman" w:cs="Times New Roman"/>
              </w:rPr>
            </w:pPr>
          </w:p>
        </w:tc>
        <w:tc>
          <w:tcPr>
            <w:tcW w:w="1265" w:type="dxa"/>
            <w:shd w:val="clear" w:color="auto" w:fill="auto"/>
            <w:vAlign w:val="center"/>
          </w:tcPr>
          <w:p>
            <w:pPr>
              <w:jc w:val="center"/>
              <w:rPr>
                <w:rFonts w:ascii="Times New Roman" w:hAnsi="Times New Roman" w:cs="Times New Roman"/>
              </w:rPr>
            </w:pPr>
            <w:r>
              <w:rPr>
                <w:rFonts w:ascii="Times New Roman" w:hAnsi="Times New Roman" w:cs="Times New Roman"/>
              </w:rPr>
              <w:t>-1S</w:t>
            </w:r>
          </w:p>
        </w:tc>
        <w:tc>
          <w:tcPr>
            <w:tcW w:w="1271" w:type="dxa"/>
            <w:shd w:val="clear" w:color="auto" w:fill="auto"/>
            <w:vAlign w:val="center"/>
          </w:tcPr>
          <w:p>
            <w:pPr>
              <w:jc w:val="center"/>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925" w:type="dxa"/>
            <w:vMerge w:val="restart"/>
            <w:shd w:val="clear" w:color="auto" w:fill="auto"/>
            <w:vAlign w:val="center"/>
          </w:tcPr>
          <w:p>
            <w:pPr>
              <w:jc w:val="center"/>
              <w:rPr>
                <w:rFonts w:ascii="Times New Roman" w:hAnsi="Times New Roman" w:cs="Times New Roman"/>
                <w:szCs w:val="21"/>
              </w:rPr>
            </w:pPr>
            <w:r>
              <w:rPr>
                <w:rFonts w:hint="eastAsia" w:ascii="Times New Roman" w:hAnsi="Times New Roman" w:cs="Times New Roman"/>
                <w:szCs w:val="21"/>
              </w:rPr>
              <w:t>营运期</w:t>
            </w:r>
          </w:p>
        </w:tc>
        <w:tc>
          <w:tcPr>
            <w:tcW w:w="1266"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废气</w:t>
            </w:r>
          </w:p>
        </w:tc>
        <w:tc>
          <w:tcPr>
            <w:tcW w:w="1265"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w:t>
            </w:r>
            <w:r>
              <w:rPr>
                <w:rFonts w:hint="eastAsia" w:ascii="Times New Roman" w:hAnsi="Times New Roman" w:cs="Times New Roman"/>
                <w:szCs w:val="21"/>
              </w:rPr>
              <w:t>1</w:t>
            </w:r>
            <w:r>
              <w:rPr>
                <w:rFonts w:ascii="Times New Roman" w:hAnsi="Times New Roman" w:cs="Times New Roman"/>
                <w:szCs w:val="21"/>
              </w:rPr>
              <w:t>L</w:t>
            </w:r>
          </w:p>
        </w:tc>
        <w:tc>
          <w:tcPr>
            <w:tcW w:w="1265" w:type="dxa"/>
            <w:shd w:val="clear" w:color="auto" w:fill="auto"/>
            <w:vAlign w:val="center"/>
          </w:tcPr>
          <w:p>
            <w:pPr>
              <w:jc w:val="center"/>
              <w:rPr>
                <w:rFonts w:ascii="Times New Roman" w:hAnsi="Times New Roman" w:cs="Times New Roman"/>
                <w:szCs w:val="21"/>
              </w:rPr>
            </w:pPr>
          </w:p>
        </w:tc>
        <w:tc>
          <w:tcPr>
            <w:tcW w:w="1265" w:type="dxa"/>
            <w:vAlign w:val="center"/>
          </w:tcPr>
          <w:p>
            <w:pPr>
              <w:jc w:val="center"/>
              <w:rPr>
                <w:rFonts w:ascii="Times New Roman" w:hAnsi="Times New Roman" w:cs="Times New Roman"/>
              </w:rPr>
            </w:pPr>
          </w:p>
        </w:tc>
        <w:tc>
          <w:tcPr>
            <w:tcW w:w="1265" w:type="dxa"/>
            <w:shd w:val="clear" w:color="auto" w:fill="auto"/>
            <w:vAlign w:val="center"/>
          </w:tcPr>
          <w:p>
            <w:pPr>
              <w:jc w:val="center"/>
              <w:rPr>
                <w:rFonts w:ascii="Times New Roman" w:hAnsi="Times New Roman" w:cs="Times New Roman"/>
                <w:szCs w:val="21"/>
              </w:rPr>
            </w:pPr>
          </w:p>
        </w:tc>
        <w:tc>
          <w:tcPr>
            <w:tcW w:w="1271" w:type="dxa"/>
            <w:shd w:val="clear" w:color="auto" w:fill="auto"/>
            <w:vAlign w:val="center"/>
          </w:tcPr>
          <w:p>
            <w:pPr>
              <w:jc w:val="center"/>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925" w:type="dxa"/>
            <w:vMerge w:val="continue"/>
            <w:shd w:val="clear" w:color="auto" w:fill="auto"/>
            <w:vAlign w:val="center"/>
          </w:tcPr>
          <w:p>
            <w:pPr>
              <w:ind w:firstLine="105" w:firstLineChars="50"/>
              <w:jc w:val="center"/>
              <w:rPr>
                <w:rFonts w:ascii="Times New Roman" w:hAnsi="Times New Roman" w:cs="Times New Roman"/>
                <w:szCs w:val="21"/>
              </w:rPr>
            </w:pPr>
          </w:p>
        </w:tc>
        <w:tc>
          <w:tcPr>
            <w:tcW w:w="1266"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废水</w:t>
            </w:r>
          </w:p>
        </w:tc>
        <w:tc>
          <w:tcPr>
            <w:tcW w:w="1265" w:type="dxa"/>
            <w:shd w:val="clear" w:color="auto" w:fill="auto"/>
            <w:vAlign w:val="center"/>
          </w:tcPr>
          <w:p>
            <w:pPr>
              <w:jc w:val="center"/>
              <w:rPr>
                <w:rFonts w:ascii="Times New Roman" w:hAnsi="Times New Roman" w:cs="Times New Roman"/>
                <w:szCs w:val="21"/>
              </w:rPr>
            </w:pPr>
          </w:p>
        </w:tc>
        <w:tc>
          <w:tcPr>
            <w:tcW w:w="1265"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w:t>
            </w:r>
            <w:r>
              <w:rPr>
                <w:rFonts w:hint="eastAsia" w:ascii="Times New Roman" w:hAnsi="Times New Roman" w:cs="Times New Roman"/>
                <w:szCs w:val="21"/>
              </w:rPr>
              <w:t>2</w:t>
            </w:r>
            <w:r>
              <w:rPr>
                <w:rFonts w:ascii="Times New Roman" w:hAnsi="Times New Roman" w:cs="Times New Roman"/>
                <w:szCs w:val="21"/>
              </w:rPr>
              <w:t>L</w:t>
            </w:r>
          </w:p>
        </w:tc>
        <w:tc>
          <w:tcPr>
            <w:tcW w:w="1265" w:type="dxa"/>
            <w:vAlign w:val="center"/>
          </w:tcPr>
          <w:p>
            <w:pPr>
              <w:jc w:val="center"/>
              <w:rPr>
                <w:rFonts w:ascii="Times New Roman" w:hAnsi="Times New Roman" w:cs="Times New Roman"/>
              </w:rPr>
            </w:pPr>
            <w:r>
              <w:rPr>
                <w:rFonts w:hint="eastAsia" w:ascii="Times New Roman" w:hAnsi="Times New Roman" w:cs="Times New Roman"/>
              </w:rPr>
              <w:t>-1L</w:t>
            </w:r>
          </w:p>
        </w:tc>
        <w:tc>
          <w:tcPr>
            <w:tcW w:w="1265" w:type="dxa"/>
            <w:shd w:val="clear" w:color="auto" w:fill="auto"/>
            <w:vAlign w:val="center"/>
          </w:tcPr>
          <w:p>
            <w:pPr>
              <w:jc w:val="center"/>
              <w:rPr>
                <w:rFonts w:ascii="Times New Roman" w:hAnsi="Times New Roman" w:cs="Times New Roman"/>
                <w:szCs w:val="21"/>
              </w:rPr>
            </w:pPr>
          </w:p>
        </w:tc>
        <w:tc>
          <w:tcPr>
            <w:tcW w:w="1271" w:type="dxa"/>
            <w:shd w:val="clear" w:color="auto" w:fill="auto"/>
            <w:vAlign w:val="center"/>
          </w:tcPr>
          <w:p>
            <w:pPr>
              <w:jc w:val="center"/>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925" w:type="dxa"/>
            <w:vMerge w:val="continue"/>
            <w:shd w:val="clear" w:color="auto" w:fill="auto"/>
            <w:vAlign w:val="center"/>
          </w:tcPr>
          <w:p>
            <w:pPr>
              <w:ind w:firstLine="105" w:firstLineChars="50"/>
              <w:jc w:val="center"/>
              <w:rPr>
                <w:rFonts w:ascii="Times New Roman" w:hAnsi="Times New Roman" w:cs="Times New Roman"/>
                <w:szCs w:val="21"/>
              </w:rPr>
            </w:pPr>
          </w:p>
        </w:tc>
        <w:tc>
          <w:tcPr>
            <w:tcW w:w="1266"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固废</w:t>
            </w:r>
          </w:p>
        </w:tc>
        <w:tc>
          <w:tcPr>
            <w:tcW w:w="1265" w:type="dxa"/>
            <w:shd w:val="clear" w:color="auto" w:fill="auto"/>
            <w:vAlign w:val="center"/>
          </w:tcPr>
          <w:p>
            <w:pPr>
              <w:jc w:val="center"/>
              <w:rPr>
                <w:rFonts w:ascii="Times New Roman" w:hAnsi="Times New Roman" w:cs="Times New Roman"/>
                <w:szCs w:val="21"/>
              </w:rPr>
            </w:pPr>
          </w:p>
        </w:tc>
        <w:tc>
          <w:tcPr>
            <w:tcW w:w="1265" w:type="dxa"/>
            <w:shd w:val="clear" w:color="auto" w:fill="auto"/>
            <w:vAlign w:val="center"/>
          </w:tcPr>
          <w:p>
            <w:pPr>
              <w:jc w:val="center"/>
              <w:rPr>
                <w:rFonts w:ascii="Times New Roman" w:hAnsi="Times New Roman" w:cs="Times New Roman"/>
                <w:szCs w:val="21"/>
              </w:rPr>
            </w:pPr>
          </w:p>
        </w:tc>
        <w:tc>
          <w:tcPr>
            <w:tcW w:w="1265" w:type="dxa"/>
            <w:vAlign w:val="center"/>
          </w:tcPr>
          <w:p>
            <w:pPr>
              <w:jc w:val="center"/>
              <w:rPr>
                <w:rFonts w:ascii="Times New Roman" w:hAnsi="Times New Roman" w:cs="Times New Roman"/>
              </w:rPr>
            </w:pPr>
          </w:p>
        </w:tc>
        <w:tc>
          <w:tcPr>
            <w:tcW w:w="1265" w:type="dxa"/>
            <w:shd w:val="clear" w:color="auto" w:fill="auto"/>
            <w:vAlign w:val="center"/>
          </w:tcPr>
          <w:p>
            <w:pPr>
              <w:jc w:val="center"/>
              <w:rPr>
                <w:rFonts w:ascii="Times New Roman" w:hAnsi="Times New Roman" w:cs="Times New Roman"/>
                <w:szCs w:val="21"/>
              </w:rPr>
            </w:pPr>
          </w:p>
        </w:tc>
        <w:tc>
          <w:tcPr>
            <w:tcW w:w="1271" w:type="dxa"/>
            <w:shd w:val="clear" w:color="auto" w:fill="auto"/>
            <w:vAlign w:val="center"/>
          </w:tcPr>
          <w:p>
            <w:pPr>
              <w:jc w:val="center"/>
              <w:rPr>
                <w:rFonts w:ascii="Times New Roman" w:hAnsi="Times New Roman" w:cs="Times New Roman"/>
              </w:rPr>
            </w:pPr>
            <w:r>
              <w:rPr>
                <w:rFonts w:ascii="Times New Roman" w:hAnsi="Times New Roman" w:cs="Times New Roman"/>
              </w:rPr>
              <w:t>-1L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925" w:type="dxa"/>
            <w:vMerge w:val="continue"/>
            <w:shd w:val="clear" w:color="auto" w:fill="auto"/>
            <w:vAlign w:val="center"/>
          </w:tcPr>
          <w:p>
            <w:pPr>
              <w:ind w:firstLine="105" w:firstLineChars="50"/>
              <w:jc w:val="center"/>
              <w:rPr>
                <w:rFonts w:ascii="Times New Roman" w:hAnsi="Times New Roman" w:cs="Times New Roman"/>
                <w:szCs w:val="21"/>
              </w:rPr>
            </w:pPr>
          </w:p>
        </w:tc>
        <w:tc>
          <w:tcPr>
            <w:tcW w:w="1266"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噪声</w:t>
            </w:r>
          </w:p>
        </w:tc>
        <w:tc>
          <w:tcPr>
            <w:tcW w:w="1265" w:type="dxa"/>
            <w:shd w:val="clear" w:color="auto" w:fill="auto"/>
            <w:vAlign w:val="center"/>
          </w:tcPr>
          <w:p>
            <w:pPr>
              <w:jc w:val="center"/>
              <w:rPr>
                <w:rFonts w:ascii="Times New Roman" w:hAnsi="Times New Roman" w:cs="Times New Roman"/>
                <w:szCs w:val="21"/>
              </w:rPr>
            </w:pPr>
          </w:p>
        </w:tc>
        <w:tc>
          <w:tcPr>
            <w:tcW w:w="1265" w:type="dxa"/>
            <w:shd w:val="clear" w:color="auto" w:fill="auto"/>
            <w:vAlign w:val="center"/>
          </w:tcPr>
          <w:p>
            <w:pPr>
              <w:jc w:val="center"/>
              <w:rPr>
                <w:rFonts w:ascii="Times New Roman" w:hAnsi="Times New Roman" w:cs="Times New Roman"/>
                <w:szCs w:val="21"/>
              </w:rPr>
            </w:pPr>
          </w:p>
        </w:tc>
        <w:tc>
          <w:tcPr>
            <w:tcW w:w="1265" w:type="dxa"/>
            <w:vAlign w:val="center"/>
          </w:tcPr>
          <w:p>
            <w:pPr>
              <w:jc w:val="center"/>
              <w:rPr>
                <w:rFonts w:ascii="Times New Roman" w:hAnsi="Times New Roman" w:cs="Times New Roman"/>
              </w:rPr>
            </w:pPr>
          </w:p>
        </w:tc>
        <w:tc>
          <w:tcPr>
            <w:tcW w:w="1265"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-2L</w:t>
            </w:r>
          </w:p>
        </w:tc>
        <w:tc>
          <w:tcPr>
            <w:tcW w:w="1271" w:type="dxa"/>
            <w:shd w:val="clear" w:color="auto" w:fill="auto"/>
            <w:vAlign w:val="center"/>
          </w:tcPr>
          <w:p>
            <w:pPr>
              <w:jc w:val="center"/>
              <w:rPr>
                <w:rFonts w:ascii="Times New Roman" w:hAnsi="Times New Roman" w:cs="Times New Roman"/>
              </w:rPr>
            </w:pPr>
          </w:p>
        </w:tc>
      </w:tr>
    </w:tbl>
    <w:p>
      <w:pPr>
        <w:ind w:firstLine="420" w:firstLineChars="200"/>
        <w:rPr>
          <w:rFonts w:ascii="Times New Roman" w:hAnsi="Times New Roman" w:eastAsia="仿宋" w:cs="Times New Roman"/>
          <w:szCs w:val="21"/>
        </w:rPr>
      </w:pPr>
      <w:r>
        <w:rPr>
          <w:rFonts w:ascii="Times New Roman" w:hAnsi="Times New Roman" w:eastAsia="仿宋" w:cs="Times New Roman"/>
          <w:szCs w:val="21"/>
        </w:rPr>
        <w:t>注：</w:t>
      </w:r>
      <w:r>
        <w:rPr>
          <w:rFonts w:hint="eastAsia" w:ascii="宋体" w:hAnsi="宋体" w:eastAsia="宋体" w:cs="宋体"/>
          <w:szCs w:val="21"/>
        </w:rPr>
        <w:t>①</w:t>
      </w:r>
      <w:r>
        <w:rPr>
          <w:rFonts w:ascii="Times New Roman" w:hAnsi="Times New Roman" w:eastAsia="仿宋" w:cs="Times New Roman"/>
          <w:szCs w:val="21"/>
        </w:rPr>
        <w:t>+、-分别表示有利和不利影响</w:t>
      </w:r>
      <w:r>
        <w:rPr>
          <w:rFonts w:hint="eastAsia" w:ascii="宋体" w:hAnsi="宋体" w:eastAsia="宋体" w:cs="宋体"/>
          <w:szCs w:val="21"/>
        </w:rPr>
        <w:t>②</w:t>
      </w:r>
      <w:r>
        <w:rPr>
          <w:rFonts w:ascii="Times New Roman" w:hAnsi="Times New Roman" w:eastAsia="仿宋" w:cs="Times New Roman"/>
          <w:szCs w:val="21"/>
        </w:rPr>
        <w:t>S、L分别表示短期和长期影响</w:t>
      </w:r>
      <w:r>
        <w:rPr>
          <w:rFonts w:hint="eastAsia" w:ascii="宋体" w:hAnsi="宋体" w:eastAsia="宋体" w:cs="宋体"/>
          <w:szCs w:val="21"/>
        </w:rPr>
        <w:t>③</w:t>
      </w:r>
      <w:r>
        <w:rPr>
          <w:rFonts w:ascii="Times New Roman" w:hAnsi="Times New Roman" w:eastAsia="仿宋" w:cs="Times New Roman"/>
          <w:szCs w:val="21"/>
        </w:rPr>
        <w:t>1、2、3分别表示影响程度轻微、中等、较大。</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由表2-1可知，</w:t>
      </w:r>
      <w:r>
        <w:rPr>
          <w:rFonts w:hint="eastAsia" w:ascii="Times New Roman" w:hAnsi="Times New Roman" w:cs="Times New Roman"/>
          <w:sz w:val="24"/>
          <w:szCs w:val="24"/>
        </w:rPr>
        <w:t>项目施工期主要</w:t>
      </w:r>
      <w:r>
        <w:rPr>
          <w:rFonts w:hint="eastAsia" w:ascii="Times New Roman" w:hAnsi="Times New Roman" w:cs="Times New Roman"/>
          <w:color w:val="000000" w:themeColor="text1"/>
          <w:sz w:val="24"/>
          <w:szCs w:val="24"/>
        </w:rPr>
        <w:t>是综合楼、门诊部、住院部、医疗废物暂存间、污水处理站建设及设备安装调试过程中，所产生的施工扬尘和施工机械噪声对大气环境、声环境的影响，但其影响是</w:t>
      </w:r>
      <w:r>
        <w:rPr>
          <w:rFonts w:hint="eastAsia" w:ascii="Times New Roman" w:hAnsi="Times New Roman" w:cs="Times New Roman"/>
          <w:sz w:val="24"/>
          <w:szCs w:val="24"/>
        </w:rPr>
        <w:t>短暂的、局部的，随着施工期的结束，影响亦随之消失。</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项目营运期</w:t>
      </w:r>
      <w:r>
        <w:rPr>
          <w:rFonts w:ascii="Times New Roman" w:hAnsi="Times New Roman" w:cs="Times New Roman"/>
          <w:sz w:val="24"/>
          <w:szCs w:val="24"/>
        </w:rPr>
        <w:t>对环境的不利影响是长期存在的，主要表现在对环境空气、</w:t>
      </w:r>
      <w:r>
        <w:rPr>
          <w:rFonts w:hint="eastAsia" w:ascii="Times New Roman" w:hAnsi="Times New Roman" w:cs="Times New Roman"/>
          <w:sz w:val="24"/>
          <w:szCs w:val="24"/>
        </w:rPr>
        <w:t>水环境、</w:t>
      </w:r>
      <w:r>
        <w:rPr>
          <w:rFonts w:ascii="Times New Roman" w:hAnsi="Times New Roman" w:cs="Times New Roman"/>
          <w:sz w:val="24"/>
          <w:szCs w:val="24"/>
        </w:rPr>
        <w:t>声环境、固体废物等</w:t>
      </w:r>
      <w:r>
        <w:rPr>
          <w:rFonts w:hint="eastAsia" w:ascii="Times New Roman" w:hAnsi="Times New Roman" w:cs="Times New Roman"/>
          <w:sz w:val="24"/>
          <w:szCs w:val="24"/>
        </w:rPr>
        <w:t>四</w:t>
      </w:r>
      <w:r>
        <w:rPr>
          <w:rFonts w:ascii="Times New Roman" w:hAnsi="Times New Roman" w:cs="Times New Roman"/>
          <w:sz w:val="24"/>
          <w:szCs w:val="24"/>
        </w:rPr>
        <w:t>个方面的长期不利影响</w:t>
      </w:r>
      <w:r>
        <w:rPr>
          <w:rFonts w:hint="eastAsia"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根据建设项目生产工艺分析，建设项目废水污染因子主要为</w:t>
      </w:r>
      <w:r>
        <w:rPr>
          <w:rFonts w:ascii="Times New Roman" w:hAnsi="Times New Roman" w:cs="Times New Roman"/>
          <w:sz w:val="24"/>
          <w:szCs w:val="24"/>
        </w:rPr>
        <w:t>COD</w:t>
      </w:r>
      <w:r>
        <w:rPr>
          <w:rFonts w:hint="eastAsia" w:ascii="Times New Roman" w:hAnsi="Times New Roman" w:cs="Times New Roman"/>
          <w:sz w:val="24"/>
          <w:szCs w:val="24"/>
        </w:rPr>
        <w:t>、</w:t>
      </w:r>
      <w:r>
        <w:rPr>
          <w:rFonts w:ascii="Times New Roman" w:hAnsi="Times New Roman" w:cs="Times New Roman"/>
          <w:sz w:val="24"/>
          <w:szCs w:val="24"/>
        </w:rPr>
        <w:t>SS</w:t>
      </w:r>
      <w:r>
        <w:rPr>
          <w:rFonts w:hint="eastAsia" w:ascii="Times New Roman" w:hAnsi="Times New Roman" w:cs="Times New Roman"/>
          <w:sz w:val="24"/>
          <w:szCs w:val="24"/>
        </w:rPr>
        <w:t>、</w:t>
      </w:r>
      <w:r>
        <w:rPr>
          <w:rFonts w:ascii="Times New Roman" w:hAnsi="Times New Roman" w:cs="Times New Roman"/>
          <w:sz w:val="24"/>
          <w:szCs w:val="24"/>
        </w:rPr>
        <w:t>NH</w:t>
      </w:r>
      <w:r>
        <w:rPr>
          <w:rFonts w:ascii="Times New Roman" w:hAnsi="Times New Roman" w:cs="Times New Roman"/>
          <w:sz w:val="24"/>
          <w:szCs w:val="24"/>
          <w:vertAlign w:val="subscript"/>
        </w:rPr>
        <w:t>3</w:t>
      </w:r>
      <w:r>
        <w:rPr>
          <w:rFonts w:ascii="Times New Roman" w:hAnsi="Times New Roman" w:cs="Times New Roman"/>
          <w:sz w:val="24"/>
          <w:szCs w:val="24"/>
        </w:rPr>
        <w:t>-N</w:t>
      </w:r>
      <w:r>
        <w:rPr>
          <w:rFonts w:hint="eastAsia" w:ascii="Times New Roman" w:hAnsi="Times New Roman" w:cs="Times New Roman"/>
          <w:sz w:val="24"/>
          <w:szCs w:val="24"/>
        </w:rPr>
        <w:t>、总氮、总磷、粪大肠菌群、总余氯；废气污染因子为氨、硫化氢、臭气浓度、食堂油烟；噪声污染因子为等效连续A声级L</w:t>
      </w:r>
      <w:r>
        <w:rPr>
          <w:rFonts w:hint="eastAsia" w:ascii="Times New Roman" w:hAnsi="Times New Roman" w:cs="Times New Roman"/>
          <w:sz w:val="24"/>
          <w:szCs w:val="24"/>
          <w:vertAlign w:val="subscript"/>
        </w:rPr>
        <w:t>Aeq</w:t>
      </w:r>
      <w:r>
        <w:rPr>
          <w:rFonts w:hint="eastAsia" w:ascii="Times New Roman" w:hAnsi="Times New Roman" w:cs="Times New Roman"/>
          <w:sz w:val="24"/>
          <w:szCs w:val="24"/>
        </w:rPr>
        <w:t>；固体废物主要为</w:t>
      </w:r>
      <w:r>
        <w:rPr>
          <w:rFonts w:ascii="Times New Roman" w:hAnsi="Times New Roman" w:cs="Times New Roman"/>
          <w:sz w:val="24"/>
          <w:szCs w:val="24"/>
        </w:rPr>
        <w:t>生活垃圾、医疗废物、</w:t>
      </w:r>
      <w:r>
        <w:rPr>
          <w:rFonts w:hint="eastAsia" w:ascii="Times New Roman" w:hAnsi="Times New Roman" w:cs="Times New Roman"/>
          <w:sz w:val="24"/>
          <w:szCs w:val="24"/>
        </w:rPr>
        <w:t>化粪池和</w:t>
      </w:r>
      <w:r>
        <w:rPr>
          <w:rFonts w:ascii="Times New Roman" w:hAnsi="Times New Roman" w:cs="Times New Roman"/>
          <w:sz w:val="24"/>
          <w:szCs w:val="24"/>
        </w:rPr>
        <w:t>污水处理站污泥</w:t>
      </w:r>
      <w:r>
        <w:rPr>
          <w:rFonts w:hint="eastAsia" w:ascii="Times New Roman" w:hAnsi="Times New Roman" w:cs="Times New Roman"/>
          <w:sz w:val="24"/>
          <w:szCs w:val="24"/>
        </w:rPr>
        <w:t>。</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2.4.2环境因子筛选</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根据环境影响要素识别结果，结合厂址周围环境质量现状及本项目污染物排放特征，通过筛选确定本项目评价因子，见表2-2。</w:t>
      </w: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overflowPunct w:val="0"/>
        <w:spacing w:line="360" w:lineRule="auto"/>
        <w:ind w:firstLine="482" w:firstLineChars="200"/>
        <w:jc w:val="center"/>
        <w:rPr>
          <w:rFonts w:ascii="Times New Roman" w:hAnsi="Times New Roman" w:eastAsia="宋体"/>
          <w:b/>
          <w:sz w:val="24"/>
          <w:szCs w:val="24"/>
        </w:rPr>
      </w:pPr>
      <w:r>
        <w:rPr>
          <w:rFonts w:ascii="Times New Roman" w:hAnsi="Times New Roman" w:eastAsia="宋体"/>
          <w:b/>
          <w:sz w:val="24"/>
          <w:szCs w:val="24"/>
        </w:rPr>
        <w:t>表2-2  环境影响评估因子筛选结果一览表</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134"/>
        <w:gridCol w:w="1276"/>
        <w:gridCol w:w="5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93" w:type="dxa"/>
            <w:gridSpan w:val="2"/>
            <w:vAlign w:val="center"/>
          </w:tcPr>
          <w:p>
            <w:pPr>
              <w:overflowPunct w:val="0"/>
              <w:jc w:val="center"/>
              <w:rPr>
                <w:rFonts w:ascii="Times New Roman" w:hAnsi="Times New Roman" w:eastAsia="宋体"/>
                <w:szCs w:val="21"/>
              </w:rPr>
            </w:pPr>
            <w:r>
              <w:rPr>
                <w:rFonts w:hint="eastAsia" w:ascii="Times New Roman" w:hAnsi="Times New Roman" w:eastAsia="宋体"/>
                <w:szCs w:val="21"/>
              </w:rPr>
              <w:t>环境要素</w:t>
            </w:r>
          </w:p>
        </w:tc>
        <w:tc>
          <w:tcPr>
            <w:tcW w:w="1276" w:type="dxa"/>
            <w:vAlign w:val="center"/>
          </w:tcPr>
          <w:p>
            <w:pPr>
              <w:overflowPunct w:val="0"/>
              <w:jc w:val="center"/>
              <w:rPr>
                <w:rFonts w:ascii="Times New Roman" w:hAnsi="Times New Roman" w:eastAsia="宋体"/>
                <w:szCs w:val="21"/>
              </w:rPr>
            </w:pPr>
            <w:r>
              <w:rPr>
                <w:rFonts w:hint="eastAsia" w:ascii="Times New Roman" w:hAnsi="Times New Roman" w:eastAsia="宋体"/>
                <w:szCs w:val="21"/>
              </w:rPr>
              <w:t>项目</w:t>
            </w:r>
          </w:p>
        </w:tc>
        <w:tc>
          <w:tcPr>
            <w:tcW w:w="5153" w:type="dxa"/>
            <w:vAlign w:val="center"/>
          </w:tcPr>
          <w:p>
            <w:pPr>
              <w:overflowPunct w:val="0"/>
              <w:jc w:val="center"/>
              <w:rPr>
                <w:rFonts w:ascii="Times New Roman" w:hAnsi="Times New Roman" w:eastAsia="宋体"/>
                <w:szCs w:val="21"/>
              </w:rPr>
            </w:pPr>
            <w:r>
              <w:rPr>
                <w:rFonts w:hint="eastAsia" w:ascii="Times New Roman" w:hAnsi="Times New Roman" w:eastAsia="宋体"/>
                <w:szCs w:val="21"/>
              </w:rPr>
              <w:t>评价因子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59" w:type="dxa"/>
            <w:vMerge w:val="restart"/>
            <w:vAlign w:val="center"/>
          </w:tcPr>
          <w:p>
            <w:pPr>
              <w:overflowPunct w:val="0"/>
              <w:jc w:val="center"/>
              <w:rPr>
                <w:rFonts w:ascii="Times New Roman" w:hAnsi="Times New Roman" w:eastAsia="宋体"/>
                <w:szCs w:val="21"/>
              </w:rPr>
            </w:pPr>
            <w:r>
              <w:rPr>
                <w:rFonts w:hint="eastAsia" w:ascii="Times New Roman" w:hAnsi="Times New Roman" w:eastAsia="宋体"/>
                <w:szCs w:val="21"/>
              </w:rPr>
              <w:t>施工期</w:t>
            </w:r>
          </w:p>
        </w:tc>
        <w:tc>
          <w:tcPr>
            <w:tcW w:w="1134" w:type="dxa"/>
            <w:vMerge w:val="restart"/>
            <w:vAlign w:val="center"/>
          </w:tcPr>
          <w:p>
            <w:pPr>
              <w:overflowPunct w:val="0"/>
              <w:jc w:val="center"/>
              <w:rPr>
                <w:rFonts w:ascii="Times New Roman" w:hAnsi="Times New Roman" w:eastAsia="宋体"/>
                <w:szCs w:val="21"/>
              </w:rPr>
            </w:pPr>
            <w:r>
              <w:rPr>
                <w:rFonts w:hint="eastAsia" w:ascii="Times New Roman" w:hAnsi="Times New Roman" w:eastAsia="宋体"/>
                <w:szCs w:val="21"/>
              </w:rPr>
              <w:t>环境空气</w:t>
            </w:r>
          </w:p>
        </w:tc>
        <w:tc>
          <w:tcPr>
            <w:tcW w:w="1276" w:type="dxa"/>
            <w:vAlign w:val="center"/>
          </w:tcPr>
          <w:p>
            <w:pPr>
              <w:overflowPunct w:val="0"/>
              <w:jc w:val="center"/>
              <w:rPr>
                <w:rFonts w:ascii="Times New Roman" w:hAnsi="Times New Roman" w:eastAsia="宋体"/>
                <w:szCs w:val="21"/>
              </w:rPr>
            </w:pPr>
            <w:r>
              <w:rPr>
                <w:rFonts w:hint="eastAsia" w:ascii="Times New Roman" w:hAnsi="Times New Roman" w:eastAsia="宋体"/>
                <w:szCs w:val="21"/>
              </w:rPr>
              <w:t>污染源</w:t>
            </w:r>
          </w:p>
        </w:tc>
        <w:tc>
          <w:tcPr>
            <w:tcW w:w="5153" w:type="dxa"/>
            <w:vAlign w:val="center"/>
          </w:tcPr>
          <w:p>
            <w:pPr>
              <w:overflowPunct w:val="0"/>
              <w:jc w:val="center"/>
              <w:rPr>
                <w:rFonts w:ascii="Times New Roman" w:hAnsi="Times New Roman" w:eastAsia="宋体"/>
                <w:szCs w:val="21"/>
              </w:rPr>
            </w:pPr>
            <w:r>
              <w:rPr>
                <w:rFonts w:hint="eastAsia" w:ascii="Times New Roman" w:hAnsi="Times New Roman" w:eastAsia="宋体"/>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59" w:type="dxa"/>
            <w:vMerge w:val="continue"/>
            <w:vAlign w:val="center"/>
          </w:tcPr>
          <w:p>
            <w:pPr>
              <w:overflowPunct w:val="0"/>
              <w:jc w:val="center"/>
              <w:rPr>
                <w:rFonts w:ascii="Times New Roman" w:hAnsi="Times New Roman" w:eastAsia="宋体"/>
                <w:szCs w:val="21"/>
              </w:rPr>
            </w:pPr>
          </w:p>
        </w:tc>
        <w:tc>
          <w:tcPr>
            <w:tcW w:w="1134" w:type="dxa"/>
            <w:vMerge w:val="continue"/>
            <w:vAlign w:val="center"/>
          </w:tcPr>
          <w:p>
            <w:pPr>
              <w:overflowPunct w:val="0"/>
              <w:jc w:val="center"/>
              <w:rPr>
                <w:rFonts w:ascii="Times New Roman" w:hAnsi="Times New Roman" w:eastAsia="宋体"/>
                <w:szCs w:val="21"/>
              </w:rPr>
            </w:pPr>
          </w:p>
        </w:tc>
        <w:tc>
          <w:tcPr>
            <w:tcW w:w="1276" w:type="dxa"/>
            <w:vAlign w:val="center"/>
          </w:tcPr>
          <w:p>
            <w:pPr>
              <w:overflowPunct w:val="0"/>
              <w:jc w:val="center"/>
              <w:rPr>
                <w:rFonts w:ascii="Times New Roman" w:hAnsi="Times New Roman" w:eastAsia="宋体"/>
                <w:szCs w:val="21"/>
              </w:rPr>
            </w:pPr>
            <w:r>
              <w:rPr>
                <w:rFonts w:hint="eastAsia" w:ascii="Times New Roman" w:hAnsi="Times New Roman" w:eastAsia="宋体"/>
                <w:szCs w:val="21"/>
              </w:rPr>
              <w:t>影响评价</w:t>
            </w:r>
          </w:p>
        </w:tc>
        <w:tc>
          <w:tcPr>
            <w:tcW w:w="5153" w:type="dxa"/>
            <w:vAlign w:val="center"/>
          </w:tcPr>
          <w:p>
            <w:pPr>
              <w:overflowPunct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9" w:type="dxa"/>
            <w:vMerge w:val="continue"/>
            <w:vAlign w:val="center"/>
          </w:tcPr>
          <w:p>
            <w:pPr>
              <w:overflowPunct w:val="0"/>
              <w:jc w:val="center"/>
              <w:rPr>
                <w:rFonts w:ascii="Times New Roman" w:hAnsi="Times New Roman" w:eastAsia="宋体"/>
                <w:szCs w:val="21"/>
              </w:rPr>
            </w:pPr>
          </w:p>
        </w:tc>
        <w:tc>
          <w:tcPr>
            <w:tcW w:w="1134" w:type="dxa"/>
            <w:vMerge w:val="restart"/>
            <w:vAlign w:val="center"/>
          </w:tcPr>
          <w:p>
            <w:pPr>
              <w:overflowPunct w:val="0"/>
              <w:jc w:val="center"/>
              <w:rPr>
                <w:rFonts w:ascii="Times New Roman" w:hAnsi="Times New Roman" w:eastAsia="宋体"/>
                <w:szCs w:val="21"/>
              </w:rPr>
            </w:pPr>
            <w:r>
              <w:rPr>
                <w:rFonts w:hint="eastAsia" w:ascii="Times New Roman" w:hAnsi="Times New Roman" w:eastAsia="宋体"/>
                <w:szCs w:val="21"/>
              </w:rPr>
              <w:t>水环境</w:t>
            </w:r>
          </w:p>
        </w:tc>
        <w:tc>
          <w:tcPr>
            <w:tcW w:w="1276" w:type="dxa"/>
            <w:vAlign w:val="center"/>
          </w:tcPr>
          <w:p>
            <w:pPr>
              <w:overflowPunct w:val="0"/>
              <w:jc w:val="center"/>
              <w:rPr>
                <w:rFonts w:ascii="Times New Roman" w:hAnsi="Times New Roman" w:eastAsia="宋体"/>
                <w:szCs w:val="21"/>
              </w:rPr>
            </w:pPr>
            <w:r>
              <w:rPr>
                <w:rFonts w:hint="eastAsia" w:ascii="Times New Roman" w:hAnsi="Times New Roman" w:eastAsia="宋体"/>
                <w:szCs w:val="21"/>
              </w:rPr>
              <w:t>污染源</w:t>
            </w:r>
          </w:p>
        </w:tc>
        <w:tc>
          <w:tcPr>
            <w:tcW w:w="5153" w:type="dxa"/>
            <w:vAlign w:val="center"/>
          </w:tcPr>
          <w:p>
            <w:pPr>
              <w:overflowPunct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COD、NH</w:t>
            </w:r>
            <w:r>
              <w:rPr>
                <w:rFonts w:hint="eastAsia" w:ascii="Times New Roman" w:hAnsi="Times New Roman" w:eastAsia="宋体"/>
                <w:color w:val="000000" w:themeColor="text1"/>
                <w:szCs w:val="21"/>
                <w:vertAlign w:val="subscript"/>
              </w:rPr>
              <w:t>3</w:t>
            </w:r>
            <w:r>
              <w:rPr>
                <w:rFonts w:hint="eastAsia" w:ascii="Times New Roman" w:hAnsi="Times New Roman" w:eastAsia="宋体"/>
                <w:color w:val="000000" w:themeColor="text1"/>
                <w:szCs w:val="21"/>
              </w:rPr>
              <w:t>-N、TN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59" w:type="dxa"/>
            <w:vMerge w:val="continue"/>
            <w:vAlign w:val="center"/>
          </w:tcPr>
          <w:p>
            <w:pPr>
              <w:overflowPunct w:val="0"/>
              <w:jc w:val="center"/>
              <w:rPr>
                <w:rFonts w:ascii="Times New Roman" w:hAnsi="Times New Roman" w:eastAsia="宋体"/>
                <w:szCs w:val="21"/>
              </w:rPr>
            </w:pPr>
          </w:p>
        </w:tc>
        <w:tc>
          <w:tcPr>
            <w:tcW w:w="1134" w:type="dxa"/>
            <w:vMerge w:val="continue"/>
            <w:vAlign w:val="center"/>
          </w:tcPr>
          <w:p>
            <w:pPr>
              <w:overflowPunct w:val="0"/>
              <w:jc w:val="center"/>
              <w:rPr>
                <w:rFonts w:ascii="Times New Roman" w:hAnsi="Times New Roman" w:eastAsia="宋体"/>
                <w:szCs w:val="21"/>
              </w:rPr>
            </w:pPr>
          </w:p>
        </w:tc>
        <w:tc>
          <w:tcPr>
            <w:tcW w:w="1276" w:type="dxa"/>
            <w:vAlign w:val="center"/>
          </w:tcPr>
          <w:p>
            <w:pPr>
              <w:overflowPunct w:val="0"/>
              <w:jc w:val="center"/>
              <w:rPr>
                <w:rFonts w:ascii="Times New Roman" w:hAnsi="Times New Roman" w:eastAsia="宋体"/>
                <w:szCs w:val="21"/>
              </w:rPr>
            </w:pPr>
            <w:r>
              <w:rPr>
                <w:rFonts w:hint="eastAsia" w:ascii="Times New Roman" w:hAnsi="Times New Roman" w:eastAsia="宋体"/>
                <w:szCs w:val="21"/>
              </w:rPr>
              <w:t>影响评价</w:t>
            </w:r>
          </w:p>
        </w:tc>
        <w:tc>
          <w:tcPr>
            <w:tcW w:w="5153" w:type="dxa"/>
            <w:vAlign w:val="center"/>
          </w:tcPr>
          <w:p>
            <w:pPr>
              <w:overflowPunct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COD、NH</w:t>
            </w:r>
            <w:r>
              <w:rPr>
                <w:rFonts w:hint="eastAsia" w:ascii="Times New Roman" w:hAnsi="Times New Roman" w:eastAsia="宋体"/>
                <w:color w:val="000000" w:themeColor="text1"/>
                <w:szCs w:val="21"/>
                <w:vertAlign w:val="subscript"/>
              </w:rPr>
              <w:t>3</w:t>
            </w:r>
            <w:r>
              <w:rPr>
                <w:rFonts w:hint="eastAsia" w:ascii="Times New Roman" w:hAnsi="Times New Roman" w:eastAsia="宋体"/>
                <w:color w:val="000000" w:themeColor="text1"/>
                <w:szCs w:val="21"/>
              </w:rPr>
              <w:t>-N、TN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59" w:type="dxa"/>
            <w:vMerge w:val="continue"/>
            <w:vAlign w:val="center"/>
          </w:tcPr>
          <w:p>
            <w:pPr>
              <w:overflowPunct w:val="0"/>
              <w:jc w:val="center"/>
              <w:rPr>
                <w:rFonts w:ascii="Times New Roman" w:hAnsi="Times New Roman" w:eastAsia="宋体"/>
                <w:szCs w:val="21"/>
              </w:rPr>
            </w:pPr>
          </w:p>
        </w:tc>
        <w:tc>
          <w:tcPr>
            <w:tcW w:w="1134" w:type="dxa"/>
            <w:vMerge w:val="restart"/>
            <w:vAlign w:val="center"/>
          </w:tcPr>
          <w:p>
            <w:pPr>
              <w:overflowPunct w:val="0"/>
              <w:jc w:val="center"/>
              <w:rPr>
                <w:rFonts w:ascii="Times New Roman" w:hAnsi="Times New Roman" w:eastAsia="宋体"/>
                <w:szCs w:val="21"/>
              </w:rPr>
            </w:pPr>
            <w:r>
              <w:rPr>
                <w:rFonts w:hint="eastAsia" w:ascii="Times New Roman" w:hAnsi="Times New Roman" w:eastAsia="宋体"/>
                <w:szCs w:val="21"/>
              </w:rPr>
              <w:t>声环境</w:t>
            </w:r>
          </w:p>
        </w:tc>
        <w:tc>
          <w:tcPr>
            <w:tcW w:w="1276" w:type="dxa"/>
            <w:vAlign w:val="center"/>
          </w:tcPr>
          <w:p>
            <w:pPr>
              <w:overflowPunct w:val="0"/>
              <w:jc w:val="center"/>
              <w:rPr>
                <w:rFonts w:ascii="Times New Roman" w:hAnsi="Times New Roman" w:eastAsia="宋体"/>
                <w:szCs w:val="21"/>
              </w:rPr>
            </w:pPr>
            <w:r>
              <w:rPr>
                <w:rFonts w:hint="eastAsia" w:ascii="Times New Roman" w:hAnsi="Times New Roman" w:eastAsia="宋体"/>
                <w:szCs w:val="21"/>
              </w:rPr>
              <w:t>污染源</w:t>
            </w:r>
          </w:p>
        </w:tc>
        <w:tc>
          <w:tcPr>
            <w:tcW w:w="5153" w:type="dxa"/>
            <w:vAlign w:val="center"/>
          </w:tcPr>
          <w:p>
            <w:pPr>
              <w:overflowPunct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59" w:type="dxa"/>
            <w:vMerge w:val="continue"/>
            <w:vAlign w:val="center"/>
          </w:tcPr>
          <w:p>
            <w:pPr>
              <w:overflowPunct w:val="0"/>
              <w:jc w:val="center"/>
              <w:rPr>
                <w:rFonts w:ascii="Times New Roman" w:hAnsi="Times New Roman" w:eastAsia="宋体"/>
                <w:szCs w:val="21"/>
              </w:rPr>
            </w:pPr>
          </w:p>
        </w:tc>
        <w:tc>
          <w:tcPr>
            <w:tcW w:w="1134" w:type="dxa"/>
            <w:vMerge w:val="continue"/>
            <w:vAlign w:val="center"/>
          </w:tcPr>
          <w:p>
            <w:pPr>
              <w:overflowPunct w:val="0"/>
              <w:jc w:val="center"/>
              <w:rPr>
                <w:rFonts w:ascii="Times New Roman" w:hAnsi="Times New Roman" w:eastAsia="宋体"/>
                <w:szCs w:val="21"/>
              </w:rPr>
            </w:pPr>
          </w:p>
        </w:tc>
        <w:tc>
          <w:tcPr>
            <w:tcW w:w="1276" w:type="dxa"/>
            <w:vAlign w:val="center"/>
          </w:tcPr>
          <w:p>
            <w:pPr>
              <w:overflowPunct w:val="0"/>
              <w:jc w:val="center"/>
              <w:rPr>
                <w:rFonts w:ascii="Times New Roman" w:hAnsi="Times New Roman" w:eastAsia="宋体"/>
                <w:szCs w:val="21"/>
              </w:rPr>
            </w:pPr>
            <w:r>
              <w:rPr>
                <w:rFonts w:hint="eastAsia" w:ascii="Times New Roman" w:hAnsi="Times New Roman" w:eastAsia="宋体"/>
                <w:szCs w:val="21"/>
              </w:rPr>
              <w:t>影响评价</w:t>
            </w:r>
          </w:p>
        </w:tc>
        <w:tc>
          <w:tcPr>
            <w:tcW w:w="5153" w:type="dxa"/>
            <w:vAlign w:val="center"/>
          </w:tcPr>
          <w:p>
            <w:pPr>
              <w:overflowPunct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59" w:type="dxa"/>
            <w:vMerge w:val="continue"/>
            <w:vAlign w:val="center"/>
          </w:tcPr>
          <w:p>
            <w:pPr>
              <w:overflowPunct w:val="0"/>
              <w:jc w:val="center"/>
              <w:rPr>
                <w:rFonts w:ascii="Times New Roman" w:hAnsi="Times New Roman" w:eastAsia="宋体"/>
                <w:szCs w:val="21"/>
              </w:rPr>
            </w:pPr>
          </w:p>
        </w:tc>
        <w:tc>
          <w:tcPr>
            <w:tcW w:w="1134" w:type="dxa"/>
            <w:vMerge w:val="restart"/>
            <w:vAlign w:val="center"/>
          </w:tcPr>
          <w:p>
            <w:pPr>
              <w:overflowPunct w:val="0"/>
              <w:jc w:val="center"/>
              <w:rPr>
                <w:rFonts w:ascii="Times New Roman" w:hAnsi="Times New Roman" w:eastAsia="宋体"/>
                <w:szCs w:val="21"/>
              </w:rPr>
            </w:pPr>
            <w:r>
              <w:rPr>
                <w:rFonts w:hint="eastAsia" w:ascii="Times New Roman" w:hAnsi="Times New Roman" w:eastAsia="宋体"/>
                <w:szCs w:val="21"/>
              </w:rPr>
              <w:t>固体废物</w:t>
            </w:r>
          </w:p>
        </w:tc>
        <w:tc>
          <w:tcPr>
            <w:tcW w:w="1276" w:type="dxa"/>
            <w:vAlign w:val="center"/>
          </w:tcPr>
          <w:p>
            <w:pPr>
              <w:overflowPunct w:val="0"/>
              <w:jc w:val="center"/>
              <w:rPr>
                <w:rFonts w:ascii="Times New Roman" w:hAnsi="Times New Roman" w:eastAsia="宋体"/>
                <w:szCs w:val="21"/>
              </w:rPr>
            </w:pPr>
            <w:r>
              <w:rPr>
                <w:rFonts w:hint="eastAsia" w:ascii="Times New Roman" w:hAnsi="Times New Roman" w:eastAsia="宋体"/>
                <w:szCs w:val="21"/>
              </w:rPr>
              <w:t>污染源</w:t>
            </w:r>
          </w:p>
        </w:tc>
        <w:tc>
          <w:tcPr>
            <w:tcW w:w="5153" w:type="dxa"/>
            <w:vMerge w:val="restart"/>
            <w:vAlign w:val="center"/>
          </w:tcPr>
          <w:p>
            <w:pPr>
              <w:overflowPunct w:val="0"/>
              <w:rPr>
                <w:rFonts w:ascii="Times New Roman" w:hAnsi="Times New Roman" w:eastAsia="宋体"/>
                <w:color w:val="000000" w:themeColor="text1"/>
                <w:szCs w:val="21"/>
              </w:rPr>
            </w:pPr>
            <w:r>
              <w:rPr>
                <w:rFonts w:hint="eastAsia" w:ascii="Times New Roman" w:hAnsi="Times New Roman" w:eastAsia="宋体"/>
                <w:color w:val="000000" w:themeColor="text1"/>
                <w:szCs w:val="21"/>
              </w:rPr>
              <w:t>建筑垃圾、废弃土方、废弃包装物、施工人员生活垃圾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59" w:type="dxa"/>
            <w:vMerge w:val="continue"/>
            <w:vAlign w:val="center"/>
          </w:tcPr>
          <w:p>
            <w:pPr>
              <w:overflowPunct w:val="0"/>
              <w:jc w:val="center"/>
              <w:rPr>
                <w:rFonts w:ascii="Times New Roman" w:hAnsi="Times New Roman" w:eastAsia="宋体"/>
                <w:szCs w:val="21"/>
              </w:rPr>
            </w:pPr>
          </w:p>
        </w:tc>
        <w:tc>
          <w:tcPr>
            <w:tcW w:w="1134" w:type="dxa"/>
            <w:vMerge w:val="continue"/>
            <w:vAlign w:val="center"/>
          </w:tcPr>
          <w:p>
            <w:pPr>
              <w:overflowPunct w:val="0"/>
              <w:jc w:val="center"/>
              <w:rPr>
                <w:rFonts w:ascii="Times New Roman" w:hAnsi="Times New Roman" w:eastAsia="宋体"/>
                <w:szCs w:val="21"/>
              </w:rPr>
            </w:pPr>
          </w:p>
        </w:tc>
        <w:tc>
          <w:tcPr>
            <w:tcW w:w="1276" w:type="dxa"/>
            <w:vAlign w:val="center"/>
          </w:tcPr>
          <w:p>
            <w:pPr>
              <w:overflowPunct w:val="0"/>
              <w:jc w:val="center"/>
              <w:rPr>
                <w:rFonts w:ascii="Times New Roman" w:hAnsi="Times New Roman" w:eastAsia="宋体"/>
                <w:szCs w:val="21"/>
              </w:rPr>
            </w:pPr>
            <w:r>
              <w:rPr>
                <w:rFonts w:hint="eastAsia" w:ascii="Times New Roman" w:hAnsi="Times New Roman" w:eastAsia="宋体"/>
                <w:szCs w:val="21"/>
              </w:rPr>
              <w:t>影响评价</w:t>
            </w:r>
          </w:p>
        </w:tc>
        <w:tc>
          <w:tcPr>
            <w:tcW w:w="5153" w:type="dxa"/>
            <w:vMerge w:val="continue"/>
            <w:vAlign w:val="center"/>
          </w:tcPr>
          <w:p>
            <w:pPr>
              <w:overflowPunct w:val="0"/>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59" w:type="dxa"/>
            <w:vMerge w:val="restart"/>
            <w:vAlign w:val="center"/>
          </w:tcPr>
          <w:p>
            <w:pPr>
              <w:overflowPunct w:val="0"/>
              <w:jc w:val="center"/>
              <w:rPr>
                <w:rFonts w:ascii="Times New Roman" w:hAnsi="Times New Roman" w:eastAsia="宋体"/>
                <w:szCs w:val="21"/>
              </w:rPr>
            </w:pPr>
            <w:r>
              <w:rPr>
                <w:rFonts w:hint="eastAsia" w:ascii="Times New Roman" w:hAnsi="Times New Roman" w:eastAsia="宋体"/>
                <w:szCs w:val="21"/>
              </w:rPr>
              <w:t>营运期</w:t>
            </w:r>
          </w:p>
        </w:tc>
        <w:tc>
          <w:tcPr>
            <w:tcW w:w="1134" w:type="dxa"/>
            <w:vMerge w:val="restart"/>
            <w:vAlign w:val="center"/>
          </w:tcPr>
          <w:p>
            <w:pPr>
              <w:overflowPunct w:val="0"/>
              <w:jc w:val="center"/>
              <w:rPr>
                <w:rFonts w:ascii="Times New Roman" w:hAnsi="Times New Roman" w:eastAsia="宋体"/>
                <w:szCs w:val="21"/>
              </w:rPr>
            </w:pPr>
            <w:r>
              <w:rPr>
                <w:rFonts w:hint="eastAsia" w:ascii="Times New Roman" w:hAnsi="Times New Roman" w:eastAsia="宋体"/>
                <w:szCs w:val="21"/>
              </w:rPr>
              <w:t>环境空气</w:t>
            </w:r>
          </w:p>
        </w:tc>
        <w:tc>
          <w:tcPr>
            <w:tcW w:w="1276" w:type="dxa"/>
            <w:vAlign w:val="center"/>
          </w:tcPr>
          <w:p>
            <w:pPr>
              <w:overflowPunct w:val="0"/>
              <w:jc w:val="center"/>
              <w:rPr>
                <w:rFonts w:ascii="Times New Roman" w:hAnsi="Times New Roman" w:eastAsia="宋体"/>
                <w:szCs w:val="21"/>
              </w:rPr>
            </w:pPr>
            <w:r>
              <w:rPr>
                <w:rFonts w:hint="eastAsia" w:ascii="Times New Roman" w:hAnsi="Times New Roman" w:eastAsia="宋体"/>
                <w:szCs w:val="21"/>
              </w:rPr>
              <w:t>污染源</w:t>
            </w:r>
          </w:p>
        </w:tc>
        <w:tc>
          <w:tcPr>
            <w:tcW w:w="5153" w:type="dxa"/>
            <w:vAlign w:val="center"/>
          </w:tcPr>
          <w:p>
            <w:pPr>
              <w:overflowPunct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NH</w:t>
            </w:r>
            <w:r>
              <w:rPr>
                <w:rFonts w:hint="eastAsia" w:ascii="Times New Roman" w:hAnsi="Times New Roman" w:eastAsia="宋体"/>
                <w:color w:val="000000" w:themeColor="text1"/>
                <w:szCs w:val="21"/>
                <w:vertAlign w:val="subscript"/>
              </w:rPr>
              <w:t>3</w:t>
            </w:r>
            <w:r>
              <w:rPr>
                <w:rFonts w:ascii="Times New Roman" w:hAnsi="Times New Roman" w:eastAsia="宋体"/>
                <w:color w:val="000000" w:themeColor="text1"/>
                <w:szCs w:val="21"/>
              </w:rPr>
              <w:t>、H</w:t>
            </w:r>
            <w:r>
              <w:rPr>
                <w:rFonts w:ascii="Times New Roman" w:hAnsi="Times New Roman" w:eastAsia="宋体"/>
                <w:color w:val="000000" w:themeColor="text1"/>
                <w:szCs w:val="21"/>
                <w:vertAlign w:val="subscript"/>
              </w:rPr>
              <w:t>2</w:t>
            </w:r>
            <w:r>
              <w:rPr>
                <w:rFonts w:ascii="Times New Roman" w:hAnsi="Times New Roman" w:eastAsia="宋体"/>
                <w:color w:val="000000" w:themeColor="text1"/>
                <w:szCs w:val="21"/>
              </w:rPr>
              <w:t>S、臭气浓度</w:t>
            </w:r>
            <w:r>
              <w:rPr>
                <w:rFonts w:hint="eastAsia" w:ascii="Times New Roman" w:hAnsi="Times New Roman" w:eastAsia="宋体"/>
                <w:color w:val="000000" w:themeColor="text1"/>
                <w:szCs w:val="21"/>
              </w:rPr>
              <w:t>、油烟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59" w:type="dxa"/>
            <w:vMerge w:val="continue"/>
            <w:vAlign w:val="center"/>
          </w:tcPr>
          <w:p>
            <w:pPr>
              <w:overflowPunct w:val="0"/>
              <w:jc w:val="center"/>
              <w:rPr>
                <w:rFonts w:ascii="Times New Roman" w:hAnsi="Times New Roman" w:eastAsia="宋体"/>
                <w:szCs w:val="21"/>
              </w:rPr>
            </w:pPr>
          </w:p>
        </w:tc>
        <w:tc>
          <w:tcPr>
            <w:tcW w:w="1134" w:type="dxa"/>
            <w:vMerge w:val="continue"/>
            <w:vAlign w:val="center"/>
          </w:tcPr>
          <w:p>
            <w:pPr>
              <w:overflowPunct w:val="0"/>
              <w:jc w:val="center"/>
              <w:rPr>
                <w:rFonts w:ascii="Times New Roman" w:hAnsi="Times New Roman" w:eastAsia="宋体"/>
                <w:szCs w:val="21"/>
              </w:rPr>
            </w:pPr>
          </w:p>
        </w:tc>
        <w:tc>
          <w:tcPr>
            <w:tcW w:w="1276" w:type="dxa"/>
            <w:vAlign w:val="center"/>
          </w:tcPr>
          <w:p>
            <w:pPr>
              <w:overflowPunct w:val="0"/>
              <w:jc w:val="center"/>
              <w:rPr>
                <w:rFonts w:ascii="Times New Roman" w:hAnsi="Times New Roman" w:eastAsia="宋体"/>
                <w:szCs w:val="21"/>
              </w:rPr>
            </w:pPr>
            <w:r>
              <w:rPr>
                <w:rFonts w:hint="eastAsia" w:ascii="Times New Roman" w:hAnsi="Times New Roman" w:eastAsia="宋体"/>
                <w:szCs w:val="21"/>
              </w:rPr>
              <w:t>现状评价</w:t>
            </w:r>
          </w:p>
        </w:tc>
        <w:tc>
          <w:tcPr>
            <w:tcW w:w="5153" w:type="dxa"/>
            <w:vAlign w:val="center"/>
          </w:tcPr>
          <w:p>
            <w:pPr>
              <w:overflowPunct w:val="0"/>
              <w:jc w:val="center"/>
              <w:rPr>
                <w:rFonts w:ascii="Times New Roman" w:hAnsi="Times New Roman" w:eastAsia="宋体"/>
                <w:szCs w:val="21"/>
              </w:rPr>
            </w:pPr>
            <w:r>
              <w:rPr>
                <w:rFonts w:ascii="Times New Roman" w:hAnsi="Times New Roman" w:eastAsia="宋体"/>
                <w:szCs w:val="21"/>
              </w:rPr>
              <w:t>PM</w:t>
            </w:r>
            <w:r>
              <w:rPr>
                <w:rFonts w:ascii="Times New Roman" w:hAnsi="Times New Roman" w:eastAsia="宋体"/>
                <w:szCs w:val="21"/>
                <w:vertAlign w:val="subscript"/>
              </w:rPr>
              <w:t>10</w:t>
            </w:r>
            <w:r>
              <w:rPr>
                <w:rFonts w:ascii="Times New Roman" w:hAnsi="Times New Roman" w:eastAsia="宋体"/>
                <w:szCs w:val="21"/>
              </w:rPr>
              <w:t>、PM</w:t>
            </w:r>
            <w:r>
              <w:rPr>
                <w:rFonts w:hint="eastAsia" w:ascii="Times New Roman" w:hAnsi="Times New Roman" w:eastAsia="宋体"/>
                <w:szCs w:val="21"/>
                <w:vertAlign w:val="subscript"/>
              </w:rPr>
              <w:t>2.5</w:t>
            </w:r>
            <w:r>
              <w:rPr>
                <w:rFonts w:ascii="Times New Roman" w:hAnsi="Times New Roman" w:eastAsia="宋体"/>
                <w:szCs w:val="21"/>
              </w:rPr>
              <w:t>、O</w:t>
            </w:r>
            <w:r>
              <w:rPr>
                <w:rFonts w:ascii="Times New Roman" w:hAnsi="Times New Roman" w:eastAsia="宋体"/>
                <w:szCs w:val="21"/>
                <w:vertAlign w:val="subscript"/>
              </w:rPr>
              <w:t>3</w:t>
            </w:r>
            <w:r>
              <w:rPr>
                <w:rFonts w:ascii="Times New Roman" w:hAnsi="Times New Roman" w:eastAsia="宋体"/>
                <w:szCs w:val="21"/>
              </w:rPr>
              <w:t>、CO、SO</w:t>
            </w:r>
            <w:r>
              <w:rPr>
                <w:rFonts w:ascii="Times New Roman" w:hAnsi="Times New Roman" w:eastAsia="宋体"/>
                <w:szCs w:val="21"/>
                <w:vertAlign w:val="subscript"/>
              </w:rPr>
              <w:t>2</w:t>
            </w:r>
            <w:r>
              <w:rPr>
                <w:rFonts w:ascii="Times New Roman" w:hAnsi="Times New Roman" w:eastAsia="宋体"/>
                <w:szCs w:val="21"/>
              </w:rPr>
              <w:t>、NO</w:t>
            </w:r>
            <w:r>
              <w:rPr>
                <w:rFonts w:ascii="Times New Roman" w:hAnsi="Times New Roman" w:eastAsia="宋体"/>
                <w:szCs w:val="21"/>
                <w:vertAlign w:val="subscript"/>
              </w:rPr>
              <w:t>2</w:t>
            </w:r>
            <w:r>
              <w:rPr>
                <w:rFonts w:ascii="Times New Roman" w:hAnsi="Times New Roman" w:eastAsia="宋体"/>
                <w:szCs w:val="21"/>
              </w:rPr>
              <w:t>、H</w:t>
            </w:r>
            <w:r>
              <w:rPr>
                <w:rFonts w:ascii="Times New Roman" w:hAnsi="Times New Roman" w:eastAsia="宋体"/>
                <w:szCs w:val="21"/>
                <w:vertAlign w:val="subscript"/>
              </w:rPr>
              <w:t>2</w:t>
            </w:r>
            <w:r>
              <w:rPr>
                <w:rFonts w:ascii="Times New Roman" w:hAnsi="Times New Roman" w:eastAsia="宋体"/>
                <w:szCs w:val="21"/>
              </w:rPr>
              <w:t>S、</w:t>
            </w:r>
            <w:r>
              <w:rPr>
                <w:rFonts w:hint="eastAsia" w:ascii="Times New Roman" w:hAnsi="Times New Roman" w:eastAsia="宋体"/>
                <w:szCs w:val="21"/>
              </w:rPr>
              <w:t>NH</w:t>
            </w:r>
            <w:r>
              <w:rPr>
                <w:rFonts w:hint="eastAsia" w:ascii="Times New Roman" w:hAnsi="Times New Roman" w:eastAsia="宋体"/>
                <w:szCs w:val="21"/>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59" w:type="dxa"/>
            <w:vMerge w:val="continue"/>
            <w:vAlign w:val="center"/>
          </w:tcPr>
          <w:p>
            <w:pPr>
              <w:overflowPunct w:val="0"/>
              <w:jc w:val="center"/>
              <w:rPr>
                <w:rFonts w:ascii="Times New Roman" w:hAnsi="Times New Roman" w:eastAsia="宋体"/>
                <w:szCs w:val="21"/>
              </w:rPr>
            </w:pPr>
          </w:p>
        </w:tc>
        <w:tc>
          <w:tcPr>
            <w:tcW w:w="1134" w:type="dxa"/>
            <w:vMerge w:val="continue"/>
            <w:vAlign w:val="center"/>
          </w:tcPr>
          <w:p>
            <w:pPr>
              <w:overflowPunct w:val="0"/>
              <w:jc w:val="center"/>
              <w:rPr>
                <w:rFonts w:ascii="Times New Roman" w:hAnsi="Times New Roman" w:eastAsia="宋体"/>
                <w:szCs w:val="21"/>
              </w:rPr>
            </w:pPr>
          </w:p>
        </w:tc>
        <w:tc>
          <w:tcPr>
            <w:tcW w:w="1276" w:type="dxa"/>
            <w:vAlign w:val="center"/>
          </w:tcPr>
          <w:p>
            <w:pPr>
              <w:overflowPunct w:val="0"/>
              <w:jc w:val="center"/>
              <w:rPr>
                <w:rFonts w:ascii="Times New Roman" w:hAnsi="Times New Roman" w:eastAsia="宋体"/>
                <w:szCs w:val="21"/>
              </w:rPr>
            </w:pPr>
            <w:r>
              <w:rPr>
                <w:rFonts w:hint="eastAsia" w:ascii="Times New Roman" w:hAnsi="Times New Roman" w:eastAsia="宋体"/>
                <w:szCs w:val="21"/>
              </w:rPr>
              <w:t>影响评价</w:t>
            </w:r>
          </w:p>
        </w:tc>
        <w:tc>
          <w:tcPr>
            <w:tcW w:w="5153" w:type="dxa"/>
            <w:vAlign w:val="center"/>
          </w:tcPr>
          <w:p>
            <w:pPr>
              <w:overflowPunct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NH</w:t>
            </w:r>
            <w:r>
              <w:rPr>
                <w:rFonts w:hint="eastAsia" w:ascii="Times New Roman" w:hAnsi="Times New Roman" w:eastAsia="宋体"/>
                <w:color w:val="000000" w:themeColor="text1"/>
                <w:szCs w:val="21"/>
                <w:vertAlign w:val="subscript"/>
              </w:rPr>
              <w:t>3</w:t>
            </w:r>
            <w:r>
              <w:rPr>
                <w:rFonts w:ascii="Times New Roman" w:hAnsi="Times New Roman" w:eastAsia="宋体"/>
                <w:color w:val="000000" w:themeColor="text1"/>
                <w:szCs w:val="21"/>
              </w:rPr>
              <w:t>、H</w:t>
            </w:r>
            <w:r>
              <w:rPr>
                <w:rFonts w:ascii="Times New Roman" w:hAnsi="Times New Roman" w:eastAsia="宋体"/>
                <w:color w:val="000000" w:themeColor="text1"/>
                <w:szCs w:val="21"/>
                <w:vertAlign w:val="subscript"/>
              </w:rPr>
              <w:t>2</w:t>
            </w:r>
            <w:r>
              <w:rPr>
                <w:rFonts w:ascii="Times New Roman" w:hAnsi="Times New Roman" w:eastAsia="宋体"/>
                <w:color w:val="000000" w:themeColor="text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59" w:type="dxa"/>
            <w:vMerge w:val="continue"/>
            <w:vAlign w:val="center"/>
          </w:tcPr>
          <w:p>
            <w:pPr>
              <w:overflowPunct w:val="0"/>
              <w:jc w:val="center"/>
              <w:rPr>
                <w:rFonts w:ascii="Times New Roman" w:hAnsi="Times New Roman" w:eastAsia="宋体"/>
                <w:szCs w:val="21"/>
              </w:rPr>
            </w:pPr>
          </w:p>
        </w:tc>
        <w:tc>
          <w:tcPr>
            <w:tcW w:w="1134" w:type="dxa"/>
            <w:vMerge w:val="restart"/>
            <w:vAlign w:val="center"/>
          </w:tcPr>
          <w:p>
            <w:pPr>
              <w:overflowPunct w:val="0"/>
              <w:jc w:val="center"/>
              <w:rPr>
                <w:rFonts w:ascii="Times New Roman" w:hAnsi="Times New Roman" w:eastAsia="宋体"/>
                <w:szCs w:val="21"/>
              </w:rPr>
            </w:pPr>
            <w:r>
              <w:rPr>
                <w:rFonts w:hint="eastAsia" w:ascii="Times New Roman" w:hAnsi="Times New Roman" w:eastAsia="宋体"/>
                <w:szCs w:val="21"/>
              </w:rPr>
              <w:t>地表水</w:t>
            </w:r>
          </w:p>
        </w:tc>
        <w:tc>
          <w:tcPr>
            <w:tcW w:w="1276" w:type="dxa"/>
            <w:vAlign w:val="center"/>
          </w:tcPr>
          <w:p>
            <w:pPr>
              <w:overflowPunct w:val="0"/>
              <w:jc w:val="center"/>
              <w:rPr>
                <w:rFonts w:ascii="Times New Roman" w:hAnsi="Times New Roman" w:eastAsia="宋体"/>
                <w:szCs w:val="21"/>
              </w:rPr>
            </w:pPr>
            <w:r>
              <w:rPr>
                <w:rFonts w:hint="eastAsia" w:ascii="Times New Roman" w:hAnsi="Times New Roman" w:eastAsia="宋体"/>
                <w:szCs w:val="21"/>
              </w:rPr>
              <w:t>污染源</w:t>
            </w:r>
          </w:p>
        </w:tc>
        <w:tc>
          <w:tcPr>
            <w:tcW w:w="5153" w:type="dxa"/>
            <w:vAlign w:val="center"/>
          </w:tcPr>
          <w:p>
            <w:pPr>
              <w:overflowPunct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COD、</w:t>
            </w:r>
            <w:r>
              <w:rPr>
                <w:rFonts w:ascii="Times New Roman" w:hAnsi="Times New Roman" w:eastAsia="宋体"/>
                <w:color w:val="000000" w:themeColor="text1"/>
                <w:szCs w:val="21"/>
              </w:rPr>
              <w:t>BOD</w:t>
            </w:r>
            <w:r>
              <w:rPr>
                <w:rFonts w:ascii="Times New Roman" w:hAnsi="Times New Roman" w:eastAsia="宋体"/>
                <w:color w:val="000000" w:themeColor="text1"/>
                <w:szCs w:val="21"/>
                <w:vertAlign w:val="subscript"/>
              </w:rPr>
              <w:t>5</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NH</w:t>
            </w:r>
            <w:r>
              <w:rPr>
                <w:rFonts w:hint="eastAsia" w:ascii="Times New Roman" w:hAnsi="Times New Roman" w:eastAsia="宋体"/>
                <w:color w:val="000000" w:themeColor="text1"/>
                <w:szCs w:val="21"/>
                <w:vertAlign w:val="subscript"/>
              </w:rPr>
              <w:t>3</w:t>
            </w:r>
            <w:r>
              <w:rPr>
                <w:rFonts w:hint="eastAsia" w:ascii="Times New Roman" w:hAnsi="Times New Roman" w:eastAsia="宋体"/>
                <w:color w:val="000000" w:themeColor="text1"/>
                <w:szCs w:val="21"/>
              </w:rPr>
              <w:t>-N、SS、TN、TP、</w:t>
            </w:r>
            <w:r>
              <w:rPr>
                <w:rFonts w:ascii="Times New Roman" w:hAnsi="Times New Roman" w:eastAsia="宋体"/>
                <w:color w:val="000000" w:themeColor="text1"/>
                <w:szCs w:val="21"/>
              </w:rPr>
              <w:t>粪大肠菌群</w:t>
            </w:r>
            <w:r>
              <w:rPr>
                <w:rFonts w:hint="eastAsia" w:ascii="Times New Roman" w:hAnsi="Times New Roman" w:eastAsia="宋体"/>
                <w:color w:val="000000" w:themeColor="text1"/>
                <w:szCs w:val="21"/>
              </w:rPr>
              <w:t>、总余氯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59" w:type="dxa"/>
            <w:vMerge w:val="continue"/>
            <w:vAlign w:val="center"/>
          </w:tcPr>
          <w:p>
            <w:pPr>
              <w:overflowPunct w:val="0"/>
              <w:jc w:val="center"/>
              <w:rPr>
                <w:rFonts w:ascii="Times New Roman" w:hAnsi="Times New Roman" w:eastAsia="宋体"/>
                <w:szCs w:val="21"/>
              </w:rPr>
            </w:pPr>
          </w:p>
        </w:tc>
        <w:tc>
          <w:tcPr>
            <w:tcW w:w="1134" w:type="dxa"/>
            <w:vMerge w:val="continue"/>
            <w:vAlign w:val="center"/>
          </w:tcPr>
          <w:p>
            <w:pPr>
              <w:overflowPunct w:val="0"/>
              <w:jc w:val="center"/>
              <w:rPr>
                <w:rFonts w:ascii="Times New Roman" w:hAnsi="Times New Roman" w:eastAsia="宋体"/>
                <w:szCs w:val="21"/>
              </w:rPr>
            </w:pPr>
          </w:p>
        </w:tc>
        <w:tc>
          <w:tcPr>
            <w:tcW w:w="1276" w:type="dxa"/>
            <w:vAlign w:val="center"/>
          </w:tcPr>
          <w:p>
            <w:pPr>
              <w:overflowPunct w:val="0"/>
              <w:jc w:val="center"/>
              <w:rPr>
                <w:rFonts w:ascii="Times New Roman" w:hAnsi="Times New Roman" w:eastAsia="宋体"/>
                <w:szCs w:val="21"/>
              </w:rPr>
            </w:pPr>
            <w:r>
              <w:rPr>
                <w:rFonts w:hint="eastAsia" w:ascii="Times New Roman" w:hAnsi="Times New Roman" w:eastAsia="宋体"/>
                <w:szCs w:val="21"/>
              </w:rPr>
              <w:t>影响评价</w:t>
            </w:r>
          </w:p>
        </w:tc>
        <w:tc>
          <w:tcPr>
            <w:tcW w:w="5153" w:type="dxa"/>
            <w:vAlign w:val="center"/>
          </w:tcPr>
          <w:p>
            <w:pPr>
              <w:overflowPunct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COD、</w:t>
            </w:r>
            <w:r>
              <w:rPr>
                <w:rFonts w:ascii="Times New Roman" w:hAnsi="Times New Roman" w:eastAsia="宋体"/>
                <w:color w:val="000000" w:themeColor="text1"/>
                <w:szCs w:val="21"/>
              </w:rPr>
              <w:t>BOD</w:t>
            </w:r>
            <w:r>
              <w:rPr>
                <w:rFonts w:ascii="Times New Roman" w:hAnsi="Times New Roman" w:eastAsia="宋体"/>
                <w:color w:val="000000" w:themeColor="text1"/>
                <w:szCs w:val="21"/>
                <w:vertAlign w:val="subscript"/>
              </w:rPr>
              <w:t>5</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NH</w:t>
            </w:r>
            <w:r>
              <w:rPr>
                <w:rFonts w:hint="eastAsia" w:ascii="Times New Roman" w:hAnsi="Times New Roman" w:eastAsia="宋体"/>
                <w:color w:val="000000" w:themeColor="text1"/>
                <w:szCs w:val="21"/>
                <w:vertAlign w:val="subscript"/>
              </w:rPr>
              <w:t>3</w:t>
            </w:r>
            <w:r>
              <w:rPr>
                <w:rFonts w:hint="eastAsia" w:ascii="Times New Roman" w:hAnsi="Times New Roman" w:eastAsia="宋体"/>
                <w:color w:val="000000" w:themeColor="text1"/>
                <w:szCs w:val="21"/>
              </w:rPr>
              <w:t>-N、SS、TN、TP、</w:t>
            </w:r>
            <w:r>
              <w:rPr>
                <w:rFonts w:ascii="Times New Roman" w:hAnsi="Times New Roman" w:eastAsia="宋体"/>
                <w:color w:val="000000" w:themeColor="text1"/>
                <w:szCs w:val="21"/>
              </w:rPr>
              <w:t>粪大肠菌群</w:t>
            </w:r>
            <w:r>
              <w:rPr>
                <w:rFonts w:hint="eastAsia" w:ascii="Times New Roman" w:hAnsi="Times New Roman" w:eastAsia="宋体"/>
                <w:color w:val="000000" w:themeColor="text1"/>
                <w:szCs w:val="21"/>
              </w:rPr>
              <w:t>、总余氯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59" w:type="dxa"/>
            <w:vMerge w:val="continue"/>
            <w:vAlign w:val="center"/>
          </w:tcPr>
          <w:p>
            <w:pPr>
              <w:overflowPunct w:val="0"/>
              <w:jc w:val="center"/>
              <w:rPr>
                <w:rFonts w:ascii="Times New Roman" w:hAnsi="Times New Roman" w:eastAsia="宋体"/>
                <w:szCs w:val="21"/>
              </w:rPr>
            </w:pPr>
          </w:p>
        </w:tc>
        <w:tc>
          <w:tcPr>
            <w:tcW w:w="1134" w:type="dxa"/>
            <w:vMerge w:val="restart"/>
            <w:vAlign w:val="center"/>
          </w:tcPr>
          <w:p>
            <w:pPr>
              <w:overflowPunct w:val="0"/>
              <w:jc w:val="center"/>
              <w:rPr>
                <w:rFonts w:ascii="Times New Roman" w:hAnsi="Times New Roman" w:eastAsia="宋体"/>
                <w:szCs w:val="21"/>
              </w:rPr>
            </w:pPr>
            <w:r>
              <w:rPr>
                <w:rFonts w:hint="eastAsia" w:ascii="Times New Roman" w:hAnsi="Times New Roman" w:eastAsia="宋体"/>
                <w:szCs w:val="21"/>
              </w:rPr>
              <w:t>地下水</w:t>
            </w:r>
          </w:p>
        </w:tc>
        <w:tc>
          <w:tcPr>
            <w:tcW w:w="1276" w:type="dxa"/>
            <w:vAlign w:val="center"/>
          </w:tcPr>
          <w:p>
            <w:pPr>
              <w:overflowPunct w:val="0"/>
              <w:jc w:val="center"/>
              <w:rPr>
                <w:rFonts w:ascii="Times New Roman" w:hAnsi="Times New Roman" w:eastAsia="宋体"/>
                <w:szCs w:val="21"/>
              </w:rPr>
            </w:pPr>
            <w:r>
              <w:rPr>
                <w:rFonts w:hint="eastAsia" w:ascii="Times New Roman" w:hAnsi="Times New Roman" w:eastAsia="宋体"/>
                <w:szCs w:val="21"/>
              </w:rPr>
              <w:t>污染源</w:t>
            </w:r>
          </w:p>
        </w:tc>
        <w:tc>
          <w:tcPr>
            <w:tcW w:w="5153" w:type="dxa"/>
            <w:vAlign w:val="center"/>
          </w:tcPr>
          <w:p>
            <w:pPr>
              <w:overflowPunct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COD、</w:t>
            </w:r>
            <w:r>
              <w:rPr>
                <w:rFonts w:ascii="Times New Roman" w:hAnsi="Times New Roman" w:eastAsia="宋体"/>
                <w:color w:val="000000" w:themeColor="text1"/>
                <w:szCs w:val="21"/>
              </w:rPr>
              <w:t>BOD</w:t>
            </w:r>
            <w:r>
              <w:rPr>
                <w:rFonts w:ascii="Times New Roman" w:hAnsi="Times New Roman" w:eastAsia="宋体"/>
                <w:color w:val="000000" w:themeColor="text1"/>
                <w:szCs w:val="21"/>
                <w:vertAlign w:val="subscript"/>
              </w:rPr>
              <w:t>5</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NH</w:t>
            </w:r>
            <w:r>
              <w:rPr>
                <w:rFonts w:hint="eastAsia" w:ascii="Times New Roman" w:hAnsi="Times New Roman" w:eastAsia="宋体"/>
                <w:color w:val="000000" w:themeColor="text1"/>
                <w:szCs w:val="21"/>
                <w:vertAlign w:val="subscript"/>
              </w:rPr>
              <w:t>3</w:t>
            </w:r>
            <w:r>
              <w:rPr>
                <w:rFonts w:hint="eastAsia" w:ascii="Times New Roman" w:hAnsi="Times New Roman" w:eastAsia="宋体"/>
                <w:color w:val="000000" w:themeColor="text1"/>
                <w:szCs w:val="21"/>
              </w:rPr>
              <w:t>-N、SS、TN、TP、</w:t>
            </w:r>
            <w:r>
              <w:rPr>
                <w:rFonts w:ascii="Times New Roman" w:hAnsi="Times New Roman" w:eastAsia="宋体"/>
                <w:color w:val="000000" w:themeColor="text1"/>
                <w:szCs w:val="21"/>
              </w:rPr>
              <w:t>粪大肠菌群</w:t>
            </w:r>
            <w:r>
              <w:rPr>
                <w:rFonts w:hint="eastAsia" w:ascii="Times New Roman" w:hAnsi="Times New Roman" w:eastAsia="宋体"/>
                <w:color w:val="000000" w:themeColor="text1"/>
                <w:szCs w:val="21"/>
              </w:rPr>
              <w:t>、总余氯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59" w:type="dxa"/>
            <w:vMerge w:val="continue"/>
            <w:vAlign w:val="center"/>
          </w:tcPr>
          <w:p>
            <w:pPr>
              <w:overflowPunct w:val="0"/>
              <w:jc w:val="center"/>
              <w:rPr>
                <w:rFonts w:ascii="Times New Roman" w:hAnsi="Times New Roman" w:eastAsia="宋体"/>
                <w:szCs w:val="21"/>
              </w:rPr>
            </w:pPr>
          </w:p>
        </w:tc>
        <w:tc>
          <w:tcPr>
            <w:tcW w:w="1134" w:type="dxa"/>
            <w:vMerge w:val="continue"/>
            <w:vAlign w:val="center"/>
          </w:tcPr>
          <w:p>
            <w:pPr>
              <w:overflowPunct w:val="0"/>
              <w:jc w:val="center"/>
              <w:rPr>
                <w:rFonts w:ascii="Times New Roman" w:hAnsi="Times New Roman" w:eastAsia="宋体"/>
                <w:szCs w:val="21"/>
              </w:rPr>
            </w:pPr>
          </w:p>
        </w:tc>
        <w:tc>
          <w:tcPr>
            <w:tcW w:w="1276" w:type="dxa"/>
            <w:vAlign w:val="center"/>
          </w:tcPr>
          <w:p>
            <w:pPr>
              <w:overflowPunct w:val="0"/>
              <w:jc w:val="center"/>
              <w:rPr>
                <w:rFonts w:ascii="Times New Roman" w:hAnsi="Times New Roman" w:eastAsia="宋体"/>
                <w:szCs w:val="21"/>
              </w:rPr>
            </w:pPr>
            <w:r>
              <w:rPr>
                <w:rFonts w:hint="eastAsia" w:ascii="Times New Roman" w:hAnsi="Times New Roman" w:eastAsia="宋体"/>
                <w:szCs w:val="21"/>
              </w:rPr>
              <w:t>现状评价</w:t>
            </w:r>
          </w:p>
        </w:tc>
        <w:tc>
          <w:tcPr>
            <w:tcW w:w="5153" w:type="dxa"/>
            <w:vAlign w:val="center"/>
          </w:tcPr>
          <w:p>
            <w:pPr>
              <w:overflowPunct w:val="0"/>
              <w:jc w:val="center"/>
              <w:rPr>
                <w:rFonts w:ascii="Times New Roman" w:hAnsi="Times New Roman" w:eastAsia="宋体"/>
                <w:color w:val="000000" w:themeColor="text1"/>
                <w:szCs w:val="21"/>
              </w:rPr>
            </w:pPr>
            <w:r>
              <w:rPr>
                <w:rFonts w:ascii="Times New Roman" w:hAnsi="Times New Roman" w:eastAsia="宋体"/>
                <w:color w:val="000000" w:themeColor="text1"/>
                <w:szCs w:val="21"/>
              </w:rPr>
              <w:t>K</w:t>
            </w:r>
            <w:r>
              <w:rPr>
                <w:rFonts w:ascii="Times New Roman" w:hAnsi="Times New Roman" w:eastAsia="宋体"/>
                <w:color w:val="000000" w:themeColor="text1"/>
                <w:szCs w:val="21"/>
                <w:vertAlign w:val="superscript"/>
              </w:rPr>
              <w:t>+</w:t>
            </w:r>
            <w:r>
              <w:rPr>
                <w:rFonts w:hint="eastAsia" w:ascii="Times New Roman" w:hAnsi="Times New Roman" w:eastAsia="宋体"/>
                <w:color w:val="000000" w:themeColor="text1"/>
                <w:szCs w:val="21"/>
              </w:rPr>
              <w:t>、</w:t>
            </w:r>
            <w:r>
              <w:rPr>
                <w:rFonts w:ascii="Times New Roman" w:hAnsi="Times New Roman" w:eastAsia="宋体"/>
                <w:color w:val="000000" w:themeColor="text1"/>
                <w:szCs w:val="21"/>
              </w:rPr>
              <w:t>Na</w:t>
            </w:r>
            <w:r>
              <w:rPr>
                <w:rFonts w:ascii="Times New Roman" w:hAnsi="Times New Roman" w:eastAsia="宋体"/>
                <w:color w:val="000000" w:themeColor="text1"/>
                <w:szCs w:val="21"/>
                <w:vertAlign w:val="superscript"/>
              </w:rPr>
              <w:t>+</w:t>
            </w:r>
            <w:r>
              <w:rPr>
                <w:rFonts w:ascii="Times New Roman" w:hAnsi="Times New Roman" w:eastAsia="宋体"/>
                <w:color w:val="000000" w:themeColor="text1"/>
                <w:szCs w:val="21"/>
              </w:rPr>
              <w:t>、Ca</w:t>
            </w:r>
            <w:r>
              <w:rPr>
                <w:rFonts w:ascii="Times New Roman" w:hAnsi="Times New Roman" w:eastAsia="宋体"/>
                <w:color w:val="000000" w:themeColor="text1"/>
                <w:szCs w:val="21"/>
                <w:vertAlign w:val="superscript"/>
              </w:rPr>
              <w:t>2+</w:t>
            </w:r>
            <w:r>
              <w:rPr>
                <w:rFonts w:ascii="Times New Roman" w:hAnsi="Times New Roman" w:eastAsia="宋体"/>
                <w:color w:val="000000" w:themeColor="text1"/>
                <w:szCs w:val="21"/>
              </w:rPr>
              <w:t>、Mg</w:t>
            </w:r>
            <w:r>
              <w:rPr>
                <w:rFonts w:ascii="Times New Roman" w:hAnsi="Times New Roman" w:eastAsia="宋体"/>
                <w:color w:val="000000" w:themeColor="text1"/>
                <w:szCs w:val="21"/>
                <w:vertAlign w:val="superscript"/>
              </w:rPr>
              <w:t>2+</w:t>
            </w:r>
            <w:r>
              <w:rPr>
                <w:rFonts w:ascii="Times New Roman" w:hAnsi="Times New Roman" w:eastAsia="宋体"/>
                <w:color w:val="000000" w:themeColor="text1"/>
                <w:szCs w:val="21"/>
              </w:rPr>
              <w:t>、CO</w:t>
            </w:r>
            <w:r>
              <w:rPr>
                <w:rFonts w:ascii="Times New Roman" w:hAnsi="Times New Roman" w:eastAsia="宋体"/>
                <w:color w:val="000000" w:themeColor="text1"/>
                <w:szCs w:val="21"/>
                <w:vertAlign w:val="subscript"/>
              </w:rPr>
              <w:t>3</w:t>
            </w:r>
            <w:r>
              <w:rPr>
                <w:rFonts w:ascii="Times New Roman" w:hAnsi="Times New Roman" w:eastAsia="宋体"/>
                <w:color w:val="000000" w:themeColor="text1"/>
                <w:szCs w:val="21"/>
                <w:vertAlign w:val="superscript"/>
              </w:rPr>
              <w:t>2-</w:t>
            </w:r>
            <w:r>
              <w:rPr>
                <w:rFonts w:ascii="Times New Roman" w:hAnsi="Times New Roman" w:eastAsia="宋体"/>
                <w:color w:val="000000" w:themeColor="text1"/>
                <w:szCs w:val="21"/>
              </w:rPr>
              <w:t>、HCO</w:t>
            </w:r>
            <w:r>
              <w:rPr>
                <w:rFonts w:ascii="Times New Roman" w:hAnsi="Times New Roman" w:eastAsia="宋体"/>
                <w:color w:val="000000" w:themeColor="text1"/>
                <w:szCs w:val="21"/>
                <w:vertAlign w:val="subscript"/>
              </w:rPr>
              <w:t>3</w:t>
            </w:r>
            <w:r>
              <w:rPr>
                <w:rFonts w:ascii="Times New Roman" w:hAnsi="Times New Roman" w:eastAsia="宋体"/>
                <w:color w:val="000000" w:themeColor="text1"/>
                <w:szCs w:val="21"/>
                <w:vertAlign w:val="superscript"/>
              </w:rPr>
              <w:t>-</w:t>
            </w:r>
            <w:r>
              <w:rPr>
                <w:rFonts w:ascii="Times New Roman" w:hAnsi="Times New Roman" w:eastAsia="宋体"/>
                <w:color w:val="000000" w:themeColor="text1"/>
                <w:szCs w:val="21"/>
              </w:rPr>
              <w:t>、Cl</w:t>
            </w:r>
            <w:r>
              <w:rPr>
                <w:rFonts w:ascii="Times New Roman" w:hAnsi="Times New Roman" w:eastAsia="宋体"/>
                <w:color w:val="000000" w:themeColor="text1"/>
                <w:szCs w:val="21"/>
                <w:vertAlign w:val="superscript"/>
              </w:rPr>
              <w:t>-</w:t>
            </w:r>
            <w:r>
              <w:rPr>
                <w:rFonts w:ascii="Times New Roman" w:hAnsi="Times New Roman" w:eastAsia="宋体"/>
                <w:color w:val="000000" w:themeColor="text1"/>
                <w:szCs w:val="21"/>
              </w:rPr>
              <w:t>、SO</w:t>
            </w:r>
            <w:r>
              <w:rPr>
                <w:rFonts w:ascii="Times New Roman" w:hAnsi="Times New Roman" w:eastAsia="宋体"/>
                <w:color w:val="000000" w:themeColor="text1"/>
                <w:szCs w:val="21"/>
                <w:vertAlign w:val="subscript"/>
              </w:rPr>
              <w:t>4</w:t>
            </w:r>
            <w:r>
              <w:rPr>
                <w:rFonts w:ascii="Times New Roman" w:hAnsi="Times New Roman" w:eastAsia="宋体"/>
                <w:color w:val="000000" w:themeColor="text1"/>
                <w:szCs w:val="21"/>
                <w:vertAlign w:val="superscript"/>
              </w:rPr>
              <w:t>2-</w:t>
            </w:r>
            <w:r>
              <w:rPr>
                <w:rFonts w:ascii="Times New Roman" w:hAnsi="Times New Roman" w:eastAsia="宋体"/>
                <w:color w:val="000000" w:themeColor="text1"/>
                <w:szCs w:val="21"/>
              </w:rPr>
              <w:t>、pH、氨氮、</w:t>
            </w:r>
            <w:r>
              <w:rPr>
                <w:rFonts w:hint="eastAsia" w:ascii="Times New Roman" w:hAnsi="Times New Roman" w:eastAsia="宋体"/>
                <w:color w:val="000000" w:themeColor="text1"/>
                <w:szCs w:val="21"/>
              </w:rPr>
              <w:t>硫化物、</w:t>
            </w:r>
            <w:r>
              <w:rPr>
                <w:rFonts w:ascii="Times New Roman" w:hAnsi="Times New Roman" w:eastAsia="宋体"/>
                <w:color w:val="000000" w:themeColor="text1"/>
                <w:szCs w:val="21"/>
              </w:rPr>
              <w:t>硝酸盐、亚硝酸盐、挥发性酚类、氰化物、砷、汞、铬（六价）、总硬度、铅、氟</w:t>
            </w:r>
            <w:r>
              <w:rPr>
                <w:rFonts w:hint="eastAsia" w:ascii="Times New Roman" w:hAnsi="Times New Roman" w:eastAsia="宋体"/>
                <w:color w:val="000000" w:themeColor="text1"/>
                <w:szCs w:val="21"/>
              </w:rPr>
              <w:t>化物</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碘化物、</w:t>
            </w:r>
            <w:r>
              <w:rPr>
                <w:rFonts w:ascii="Times New Roman" w:hAnsi="Times New Roman" w:eastAsia="宋体"/>
                <w:color w:val="000000" w:themeColor="text1"/>
                <w:szCs w:val="21"/>
              </w:rPr>
              <w:t>镉、铁、锰、</w:t>
            </w:r>
            <w:r>
              <w:rPr>
                <w:rFonts w:hint="eastAsia" w:ascii="Times New Roman" w:hAnsi="Times New Roman" w:eastAsia="宋体"/>
                <w:color w:val="000000" w:themeColor="text1"/>
                <w:szCs w:val="21"/>
              </w:rPr>
              <w:t>锌、钼、铜、硒、阴离子表面活性剂、</w:t>
            </w:r>
            <w:r>
              <w:rPr>
                <w:rFonts w:ascii="Times New Roman" w:hAnsi="Times New Roman" w:eastAsia="宋体"/>
                <w:color w:val="000000" w:themeColor="text1"/>
                <w:szCs w:val="21"/>
              </w:rPr>
              <w:t>溶解性总固体、</w:t>
            </w:r>
            <w:r>
              <w:rPr>
                <w:rFonts w:hint="eastAsia" w:ascii="Times New Roman" w:hAnsi="Times New Roman" w:eastAsia="宋体"/>
                <w:color w:val="000000" w:themeColor="text1"/>
                <w:szCs w:val="21"/>
              </w:rPr>
              <w:t>耗氧量</w:t>
            </w:r>
            <w:r>
              <w:rPr>
                <w:rFonts w:ascii="Times New Roman" w:hAnsi="Times New Roman" w:eastAsia="宋体"/>
                <w:color w:val="000000" w:themeColor="text1"/>
                <w:szCs w:val="21"/>
              </w:rPr>
              <w:t>、总大肠菌群、</w:t>
            </w:r>
            <w:r>
              <w:rPr>
                <w:rFonts w:hint="eastAsia" w:ascii="Times New Roman" w:hAnsi="Times New Roman" w:eastAsia="宋体"/>
                <w:color w:val="000000" w:themeColor="text1"/>
                <w:szCs w:val="21"/>
              </w:rPr>
              <w:t>菌落</w:t>
            </w:r>
            <w:r>
              <w:rPr>
                <w:rFonts w:ascii="Times New Roman" w:hAnsi="Times New Roman" w:eastAsia="宋体"/>
                <w:color w:val="000000" w:themeColor="text1"/>
                <w:szCs w:val="21"/>
              </w:rPr>
              <w:t>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59" w:type="dxa"/>
            <w:vMerge w:val="continue"/>
            <w:vAlign w:val="center"/>
          </w:tcPr>
          <w:p>
            <w:pPr>
              <w:overflowPunct w:val="0"/>
              <w:jc w:val="center"/>
              <w:rPr>
                <w:rFonts w:ascii="Times New Roman" w:hAnsi="Times New Roman" w:eastAsia="宋体"/>
                <w:szCs w:val="21"/>
              </w:rPr>
            </w:pPr>
          </w:p>
        </w:tc>
        <w:tc>
          <w:tcPr>
            <w:tcW w:w="1134" w:type="dxa"/>
            <w:vMerge w:val="continue"/>
            <w:vAlign w:val="center"/>
          </w:tcPr>
          <w:p>
            <w:pPr>
              <w:overflowPunct w:val="0"/>
              <w:jc w:val="center"/>
              <w:rPr>
                <w:rFonts w:ascii="Times New Roman" w:hAnsi="Times New Roman" w:eastAsia="宋体"/>
                <w:szCs w:val="21"/>
              </w:rPr>
            </w:pPr>
          </w:p>
        </w:tc>
        <w:tc>
          <w:tcPr>
            <w:tcW w:w="1276" w:type="dxa"/>
            <w:vAlign w:val="center"/>
          </w:tcPr>
          <w:p>
            <w:pPr>
              <w:overflowPunct w:val="0"/>
              <w:jc w:val="center"/>
              <w:rPr>
                <w:rFonts w:ascii="Times New Roman" w:hAnsi="Times New Roman" w:eastAsia="宋体"/>
                <w:szCs w:val="21"/>
              </w:rPr>
            </w:pPr>
            <w:r>
              <w:rPr>
                <w:rFonts w:hint="eastAsia" w:ascii="Times New Roman" w:hAnsi="Times New Roman" w:eastAsia="宋体"/>
                <w:szCs w:val="21"/>
              </w:rPr>
              <w:t>影响评价</w:t>
            </w:r>
          </w:p>
        </w:tc>
        <w:tc>
          <w:tcPr>
            <w:tcW w:w="5153" w:type="dxa"/>
            <w:vAlign w:val="center"/>
          </w:tcPr>
          <w:p>
            <w:pPr>
              <w:overflowPunct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COD、</w:t>
            </w:r>
            <w:r>
              <w:rPr>
                <w:rFonts w:ascii="Times New Roman" w:hAnsi="Times New Roman" w:eastAsia="宋体"/>
                <w:color w:val="000000" w:themeColor="text1"/>
                <w:szCs w:val="21"/>
              </w:rPr>
              <w:t>BOD</w:t>
            </w:r>
            <w:r>
              <w:rPr>
                <w:rFonts w:ascii="Times New Roman" w:hAnsi="Times New Roman" w:eastAsia="宋体"/>
                <w:color w:val="000000" w:themeColor="text1"/>
                <w:szCs w:val="21"/>
                <w:vertAlign w:val="subscript"/>
              </w:rPr>
              <w:t>5</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NH</w:t>
            </w:r>
            <w:r>
              <w:rPr>
                <w:rFonts w:hint="eastAsia" w:ascii="Times New Roman" w:hAnsi="Times New Roman" w:eastAsia="宋体"/>
                <w:color w:val="000000" w:themeColor="text1"/>
                <w:szCs w:val="21"/>
                <w:vertAlign w:val="subscript"/>
              </w:rPr>
              <w:t>3</w:t>
            </w:r>
            <w:r>
              <w:rPr>
                <w:rFonts w:hint="eastAsia" w:ascii="Times New Roman" w:hAnsi="Times New Roman" w:eastAsia="宋体"/>
                <w:color w:val="000000" w:themeColor="text1"/>
                <w:szCs w:val="21"/>
              </w:rPr>
              <w:t>-N、SS、TN、TP、</w:t>
            </w:r>
            <w:r>
              <w:rPr>
                <w:rFonts w:ascii="Times New Roman" w:hAnsi="Times New Roman" w:eastAsia="宋体"/>
                <w:color w:val="000000" w:themeColor="text1"/>
                <w:szCs w:val="21"/>
              </w:rPr>
              <w:t>粪大肠菌群</w:t>
            </w:r>
            <w:r>
              <w:rPr>
                <w:rFonts w:hint="eastAsia" w:ascii="Times New Roman" w:hAnsi="Times New Roman" w:eastAsia="宋体"/>
                <w:color w:val="000000" w:themeColor="text1"/>
                <w:szCs w:val="21"/>
              </w:rPr>
              <w:t>、总余氯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59" w:type="dxa"/>
            <w:vMerge w:val="continue"/>
            <w:vAlign w:val="center"/>
          </w:tcPr>
          <w:p>
            <w:pPr>
              <w:overflowPunct w:val="0"/>
              <w:jc w:val="center"/>
              <w:rPr>
                <w:rFonts w:ascii="Times New Roman" w:hAnsi="Times New Roman" w:eastAsia="宋体"/>
                <w:szCs w:val="21"/>
              </w:rPr>
            </w:pPr>
          </w:p>
        </w:tc>
        <w:tc>
          <w:tcPr>
            <w:tcW w:w="1134" w:type="dxa"/>
            <w:vMerge w:val="restart"/>
            <w:vAlign w:val="center"/>
          </w:tcPr>
          <w:p>
            <w:pPr>
              <w:overflowPunct w:val="0"/>
              <w:jc w:val="center"/>
              <w:rPr>
                <w:rFonts w:ascii="Times New Roman" w:hAnsi="Times New Roman" w:eastAsia="宋体"/>
                <w:szCs w:val="21"/>
              </w:rPr>
            </w:pPr>
            <w:r>
              <w:rPr>
                <w:rFonts w:hint="eastAsia" w:ascii="Times New Roman" w:hAnsi="Times New Roman" w:eastAsia="宋体"/>
                <w:szCs w:val="21"/>
              </w:rPr>
              <w:t>声环境</w:t>
            </w:r>
          </w:p>
        </w:tc>
        <w:tc>
          <w:tcPr>
            <w:tcW w:w="1276" w:type="dxa"/>
            <w:vAlign w:val="center"/>
          </w:tcPr>
          <w:p>
            <w:pPr>
              <w:overflowPunct w:val="0"/>
              <w:jc w:val="center"/>
              <w:rPr>
                <w:rFonts w:ascii="Times New Roman" w:hAnsi="Times New Roman" w:eastAsia="宋体"/>
                <w:szCs w:val="21"/>
              </w:rPr>
            </w:pPr>
            <w:r>
              <w:rPr>
                <w:rFonts w:hint="eastAsia" w:ascii="Times New Roman" w:hAnsi="Times New Roman" w:eastAsia="宋体"/>
                <w:szCs w:val="21"/>
              </w:rPr>
              <w:t>污染源</w:t>
            </w:r>
          </w:p>
        </w:tc>
        <w:tc>
          <w:tcPr>
            <w:tcW w:w="5153" w:type="dxa"/>
            <w:vAlign w:val="center"/>
          </w:tcPr>
          <w:p>
            <w:pPr>
              <w:overflowPunct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59" w:type="dxa"/>
            <w:vMerge w:val="continue"/>
            <w:vAlign w:val="center"/>
          </w:tcPr>
          <w:p>
            <w:pPr>
              <w:overflowPunct w:val="0"/>
              <w:jc w:val="center"/>
              <w:rPr>
                <w:rFonts w:ascii="Times New Roman" w:hAnsi="Times New Roman" w:eastAsia="宋体"/>
                <w:szCs w:val="21"/>
              </w:rPr>
            </w:pPr>
          </w:p>
        </w:tc>
        <w:tc>
          <w:tcPr>
            <w:tcW w:w="1134" w:type="dxa"/>
            <w:vMerge w:val="continue"/>
            <w:vAlign w:val="center"/>
          </w:tcPr>
          <w:p>
            <w:pPr>
              <w:overflowPunct w:val="0"/>
              <w:jc w:val="center"/>
              <w:rPr>
                <w:rFonts w:ascii="Times New Roman" w:hAnsi="Times New Roman" w:eastAsia="宋体"/>
                <w:szCs w:val="21"/>
              </w:rPr>
            </w:pPr>
          </w:p>
        </w:tc>
        <w:tc>
          <w:tcPr>
            <w:tcW w:w="1276" w:type="dxa"/>
            <w:vAlign w:val="center"/>
          </w:tcPr>
          <w:p>
            <w:pPr>
              <w:overflowPunct w:val="0"/>
              <w:jc w:val="center"/>
              <w:rPr>
                <w:rFonts w:ascii="Times New Roman" w:hAnsi="Times New Roman" w:eastAsia="宋体"/>
                <w:szCs w:val="21"/>
              </w:rPr>
            </w:pPr>
            <w:r>
              <w:rPr>
                <w:rFonts w:hint="eastAsia" w:ascii="Times New Roman" w:hAnsi="Times New Roman" w:eastAsia="宋体"/>
                <w:szCs w:val="21"/>
              </w:rPr>
              <w:t>现状评价</w:t>
            </w:r>
          </w:p>
        </w:tc>
        <w:tc>
          <w:tcPr>
            <w:tcW w:w="5153" w:type="dxa"/>
            <w:vAlign w:val="center"/>
          </w:tcPr>
          <w:p>
            <w:pPr>
              <w:overflowPunct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59" w:type="dxa"/>
            <w:vMerge w:val="continue"/>
            <w:vAlign w:val="center"/>
          </w:tcPr>
          <w:p>
            <w:pPr>
              <w:overflowPunct w:val="0"/>
              <w:jc w:val="center"/>
              <w:rPr>
                <w:rFonts w:ascii="Times New Roman" w:hAnsi="Times New Roman" w:eastAsia="宋体"/>
                <w:szCs w:val="21"/>
              </w:rPr>
            </w:pPr>
          </w:p>
        </w:tc>
        <w:tc>
          <w:tcPr>
            <w:tcW w:w="1134" w:type="dxa"/>
            <w:vMerge w:val="continue"/>
            <w:vAlign w:val="center"/>
          </w:tcPr>
          <w:p>
            <w:pPr>
              <w:overflowPunct w:val="0"/>
              <w:jc w:val="center"/>
              <w:rPr>
                <w:rFonts w:ascii="Times New Roman" w:hAnsi="Times New Roman" w:eastAsia="宋体"/>
                <w:szCs w:val="21"/>
              </w:rPr>
            </w:pPr>
          </w:p>
        </w:tc>
        <w:tc>
          <w:tcPr>
            <w:tcW w:w="1276" w:type="dxa"/>
            <w:vAlign w:val="center"/>
          </w:tcPr>
          <w:p>
            <w:pPr>
              <w:overflowPunct w:val="0"/>
              <w:jc w:val="center"/>
              <w:rPr>
                <w:rFonts w:ascii="Times New Roman" w:hAnsi="Times New Roman" w:eastAsia="宋体"/>
                <w:szCs w:val="21"/>
              </w:rPr>
            </w:pPr>
            <w:r>
              <w:rPr>
                <w:rFonts w:hint="eastAsia" w:ascii="Times New Roman" w:hAnsi="Times New Roman" w:eastAsia="宋体"/>
                <w:szCs w:val="21"/>
              </w:rPr>
              <w:t>影响评价</w:t>
            </w:r>
          </w:p>
        </w:tc>
        <w:tc>
          <w:tcPr>
            <w:tcW w:w="5153" w:type="dxa"/>
            <w:vAlign w:val="center"/>
          </w:tcPr>
          <w:p>
            <w:pPr>
              <w:overflowPunct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声压级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59" w:type="dxa"/>
            <w:vMerge w:val="continue"/>
            <w:vAlign w:val="center"/>
          </w:tcPr>
          <w:p>
            <w:pPr>
              <w:overflowPunct w:val="0"/>
              <w:jc w:val="center"/>
              <w:rPr>
                <w:rFonts w:ascii="Times New Roman" w:hAnsi="Times New Roman" w:eastAsia="宋体"/>
                <w:szCs w:val="21"/>
              </w:rPr>
            </w:pPr>
          </w:p>
        </w:tc>
        <w:tc>
          <w:tcPr>
            <w:tcW w:w="1134" w:type="dxa"/>
            <w:vMerge w:val="restart"/>
            <w:vAlign w:val="center"/>
          </w:tcPr>
          <w:p>
            <w:pPr>
              <w:overflowPunct w:val="0"/>
              <w:jc w:val="center"/>
              <w:rPr>
                <w:rFonts w:ascii="Times New Roman" w:hAnsi="Times New Roman" w:eastAsia="宋体"/>
                <w:szCs w:val="21"/>
              </w:rPr>
            </w:pPr>
            <w:r>
              <w:rPr>
                <w:rFonts w:hint="eastAsia" w:ascii="Times New Roman" w:hAnsi="Times New Roman" w:eastAsia="宋体"/>
                <w:szCs w:val="21"/>
              </w:rPr>
              <w:t>固体废物</w:t>
            </w:r>
          </w:p>
        </w:tc>
        <w:tc>
          <w:tcPr>
            <w:tcW w:w="1276" w:type="dxa"/>
            <w:vAlign w:val="center"/>
          </w:tcPr>
          <w:p>
            <w:pPr>
              <w:overflowPunct w:val="0"/>
              <w:jc w:val="center"/>
              <w:rPr>
                <w:rFonts w:ascii="Times New Roman" w:hAnsi="Times New Roman" w:eastAsia="宋体"/>
                <w:szCs w:val="21"/>
              </w:rPr>
            </w:pPr>
            <w:r>
              <w:rPr>
                <w:rFonts w:hint="eastAsia" w:ascii="Times New Roman" w:hAnsi="Times New Roman" w:eastAsia="宋体"/>
                <w:szCs w:val="21"/>
              </w:rPr>
              <w:t>污染源</w:t>
            </w:r>
          </w:p>
        </w:tc>
        <w:tc>
          <w:tcPr>
            <w:tcW w:w="5153" w:type="dxa"/>
            <w:vMerge w:val="restart"/>
            <w:vAlign w:val="center"/>
          </w:tcPr>
          <w:p>
            <w:pPr>
              <w:overflowPunct w:val="0"/>
              <w:jc w:val="center"/>
              <w:rPr>
                <w:rFonts w:ascii="Times New Roman" w:hAnsi="Times New Roman" w:eastAsia="宋体"/>
                <w:szCs w:val="21"/>
              </w:rPr>
            </w:pPr>
            <w:r>
              <w:rPr>
                <w:rFonts w:ascii="Times New Roman" w:hAnsi="Times New Roman" w:eastAsia="宋体"/>
                <w:color w:val="000000" w:themeColor="text1"/>
                <w:szCs w:val="21"/>
              </w:rPr>
              <w:t>生活垃圾、</w:t>
            </w:r>
            <w:r>
              <w:rPr>
                <w:rFonts w:hint="eastAsia" w:ascii="Times New Roman" w:hAnsi="Times New Roman" w:eastAsia="宋体"/>
                <w:color w:val="000000" w:themeColor="text1"/>
                <w:szCs w:val="21"/>
              </w:rPr>
              <w:t>药渣、</w:t>
            </w:r>
            <w:r>
              <w:rPr>
                <w:rFonts w:ascii="Times New Roman" w:hAnsi="Times New Roman" w:eastAsia="宋体"/>
                <w:color w:val="000000" w:themeColor="text1"/>
                <w:szCs w:val="21"/>
              </w:rPr>
              <w:t>医疗废物、</w:t>
            </w:r>
            <w:r>
              <w:rPr>
                <w:rFonts w:hint="eastAsia" w:ascii="Times New Roman" w:hAnsi="Times New Roman" w:eastAsia="宋体"/>
                <w:color w:val="000000" w:themeColor="text1"/>
                <w:szCs w:val="21"/>
              </w:rPr>
              <w:t>化粪池和</w:t>
            </w:r>
            <w:r>
              <w:rPr>
                <w:rFonts w:ascii="Times New Roman" w:hAnsi="Times New Roman" w:eastAsia="宋体"/>
                <w:color w:val="000000" w:themeColor="text1"/>
                <w:szCs w:val="21"/>
              </w:rPr>
              <w:t>污水处理站污泥</w:t>
            </w:r>
            <w:r>
              <w:rPr>
                <w:rFonts w:hint="eastAsia" w:ascii="Times New Roman" w:hAnsi="Times New Roman" w:eastAsia="宋体"/>
                <w:color w:val="000000" w:themeColor="text1"/>
                <w:szCs w:val="21"/>
              </w:rPr>
              <w:t>、</w:t>
            </w:r>
            <w:r>
              <w:rPr>
                <w:bCs/>
                <w:color w:val="000000" w:themeColor="text1"/>
                <w:szCs w:val="21"/>
              </w:rPr>
              <w:t>COD、氨氮在线监测仪</w:t>
            </w:r>
            <w:r>
              <w:rPr>
                <w:rFonts w:hint="eastAsia"/>
                <w:bCs/>
                <w:color w:val="000000" w:themeColor="text1"/>
                <w:szCs w:val="21"/>
              </w:rPr>
              <w:t>废液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59" w:type="dxa"/>
            <w:vMerge w:val="continue"/>
            <w:vAlign w:val="center"/>
          </w:tcPr>
          <w:p>
            <w:pPr>
              <w:overflowPunct w:val="0"/>
              <w:jc w:val="center"/>
              <w:rPr>
                <w:rFonts w:ascii="Times New Roman" w:hAnsi="Times New Roman" w:eastAsia="宋体"/>
                <w:szCs w:val="21"/>
              </w:rPr>
            </w:pPr>
          </w:p>
        </w:tc>
        <w:tc>
          <w:tcPr>
            <w:tcW w:w="1134" w:type="dxa"/>
            <w:vMerge w:val="continue"/>
            <w:vAlign w:val="center"/>
          </w:tcPr>
          <w:p>
            <w:pPr>
              <w:overflowPunct w:val="0"/>
              <w:jc w:val="center"/>
              <w:rPr>
                <w:rFonts w:ascii="Times New Roman" w:hAnsi="Times New Roman" w:eastAsia="宋体"/>
                <w:szCs w:val="21"/>
              </w:rPr>
            </w:pPr>
          </w:p>
        </w:tc>
        <w:tc>
          <w:tcPr>
            <w:tcW w:w="1276" w:type="dxa"/>
            <w:vAlign w:val="center"/>
          </w:tcPr>
          <w:p>
            <w:pPr>
              <w:overflowPunct w:val="0"/>
              <w:jc w:val="center"/>
              <w:rPr>
                <w:rFonts w:ascii="Times New Roman" w:hAnsi="Times New Roman" w:eastAsia="宋体"/>
                <w:szCs w:val="21"/>
              </w:rPr>
            </w:pPr>
            <w:r>
              <w:rPr>
                <w:rFonts w:hint="eastAsia" w:ascii="Times New Roman" w:hAnsi="Times New Roman" w:eastAsia="宋体"/>
                <w:szCs w:val="21"/>
              </w:rPr>
              <w:t>影响评价</w:t>
            </w:r>
          </w:p>
        </w:tc>
        <w:tc>
          <w:tcPr>
            <w:tcW w:w="5153" w:type="dxa"/>
            <w:vMerge w:val="continue"/>
            <w:vAlign w:val="center"/>
          </w:tcPr>
          <w:p>
            <w:pPr>
              <w:overflowPunct w:val="0"/>
              <w:jc w:val="center"/>
              <w:rPr>
                <w:rFonts w:ascii="Times New Roman" w:hAnsi="Times New Roman" w:eastAsia="宋体"/>
                <w:szCs w:val="21"/>
              </w:rPr>
            </w:pPr>
          </w:p>
        </w:tc>
      </w:tr>
    </w:tbl>
    <w:p>
      <w:pPr>
        <w:pStyle w:val="3"/>
        <w:spacing w:before="0" w:after="0" w:line="360" w:lineRule="auto"/>
        <w:rPr>
          <w:rFonts w:ascii="Times New Roman" w:hAnsi="Times New Roman" w:cs="Times New Roman"/>
          <w:sz w:val="28"/>
          <w:szCs w:val="28"/>
        </w:rPr>
      </w:pPr>
      <w:bookmarkStart w:id="14" w:name="_Toc13725342"/>
      <w:r>
        <w:rPr>
          <w:rFonts w:ascii="Times New Roman" w:hAnsi="Times New Roman" w:cs="Times New Roman"/>
          <w:sz w:val="28"/>
          <w:szCs w:val="28"/>
        </w:rPr>
        <w:t>2.</w:t>
      </w:r>
      <w:r>
        <w:rPr>
          <w:rFonts w:hint="eastAsia" w:ascii="Times New Roman" w:hAnsi="Times New Roman" w:cs="Times New Roman"/>
          <w:sz w:val="28"/>
          <w:szCs w:val="28"/>
        </w:rPr>
        <w:t>5</w:t>
      </w:r>
      <w:r>
        <w:rPr>
          <w:rFonts w:ascii="Times New Roman" w:hAnsi="Times New Roman" w:cs="Times New Roman"/>
          <w:sz w:val="28"/>
          <w:szCs w:val="28"/>
        </w:rPr>
        <w:t>评价等级</w:t>
      </w:r>
      <w:bookmarkEnd w:id="14"/>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2.5.1大气环境影响评价等级</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根据项目工程分析结果，本次评价确定以主要污染物氨、硫化氢作为评价因子，</w:t>
      </w:r>
      <w:r>
        <w:rPr>
          <w:rFonts w:hint="eastAsia"/>
          <w:sz w:val="24"/>
        </w:rPr>
        <w:t>进行环境空气评价等级判定。</w:t>
      </w:r>
    </w:p>
    <w:p>
      <w:pPr>
        <w:spacing w:line="360" w:lineRule="auto"/>
        <w:ind w:firstLine="480" w:firstLineChars="200"/>
        <w:rPr>
          <w:sz w:val="24"/>
        </w:rPr>
      </w:pPr>
      <w:r>
        <w:rPr>
          <w:sz w:val="24"/>
        </w:rPr>
        <w:t>（</w:t>
      </w:r>
      <w:r>
        <w:rPr>
          <w:rFonts w:hint="eastAsia"/>
          <w:sz w:val="24"/>
        </w:rPr>
        <w:t>1</w:t>
      </w:r>
      <w:r>
        <w:rPr>
          <w:sz w:val="24"/>
        </w:rPr>
        <w:t>）估算模式</w:t>
      </w:r>
      <w:r>
        <w:rPr>
          <w:rFonts w:hint="eastAsia"/>
          <w:sz w:val="24"/>
        </w:rPr>
        <w:t>选取</w:t>
      </w:r>
    </w:p>
    <w:p>
      <w:pPr>
        <w:spacing w:line="360" w:lineRule="auto"/>
        <w:ind w:firstLine="480" w:firstLineChars="200"/>
        <w:rPr>
          <w:rFonts w:ascii="Times New Roman" w:hAnsi="Times New Roman" w:cs="Times New Roman"/>
          <w:sz w:val="24"/>
          <w:szCs w:val="24"/>
        </w:rPr>
      </w:pPr>
      <w:r>
        <w:rPr>
          <w:rFonts w:hint="eastAsia"/>
          <w:color w:val="000000" w:themeColor="text1"/>
          <w:sz w:val="24"/>
        </w:rPr>
        <w:t>根据《环境影响评价技术导</w:t>
      </w:r>
      <w:r>
        <w:rPr>
          <w:rFonts w:hint="eastAsia" w:ascii="宋体" w:hAnsi="宋体"/>
          <w:color w:val="000000" w:themeColor="text1"/>
          <w:sz w:val="24"/>
        </w:rPr>
        <w:t>则·</w:t>
      </w:r>
      <w:r>
        <w:rPr>
          <w:rFonts w:hint="eastAsia"/>
          <w:color w:val="000000" w:themeColor="text1"/>
          <w:sz w:val="24"/>
        </w:rPr>
        <w:t>大气环境》</w:t>
      </w:r>
      <w:r>
        <w:rPr>
          <w:rFonts w:ascii="Times New Roman" w:hAnsi="Times New Roman" w:cs="Times New Roman"/>
          <w:color w:val="000000" w:themeColor="text1"/>
          <w:sz w:val="24"/>
        </w:rPr>
        <w:t>（HJ2.2-20</w:t>
      </w:r>
      <w:r>
        <w:rPr>
          <w:rFonts w:hint="eastAsia"/>
          <w:color w:val="000000" w:themeColor="text1"/>
          <w:sz w:val="24"/>
        </w:rPr>
        <w:t>1</w:t>
      </w:r>
      <w:r>
        <w:rPr>
          <w:rFonts w:ascii="Times New Roman" w:hAnsi="Times New Roman" w:cs="Times New Roman"/>
          <w:color w:val="000000" w:themeColor="text1"/>
          <w:sz w:val="24"/>
        </w:rPr>
        <w:t>8）</w:t>
      </w:r>
      <w:r>
        <w:rPr>
          <w:rFonts w:hint="eastAsia"/>
          <w:color w:val="000000" w:themeColor="text1"/>
          <w:sz w:val="24"/>
        </w:rPr>
        <w:t>中</w:t>
      </w:r>
      <w:r>
        <w:rPr>
          <w:rFonts w:hint="eastAsia"/>
          <w:sz w:val="24"/>
        </w:rPr>
        <w:t>要求的估算模式，</w:t>
      </w:r>
      <w:r>
        <w:rPr>
          <w:sz w:val="24"/>
        </w:rPr>
        <w:t>本评价选用</w:t>
      </w:r>
      <w:r>
        <w:rPr>
          <w:rFonts w:ascii="Times New Roman" w:hAnsi="Times New Roman" w:cs="Times New Roman"/>
          <w:sz w:val="24"/>
        </w:rPr>
        <w:t>AERSCREEN</w:t>
      </w:r>
      <w:r>
        <w:rPr>
          <w:sz w:val="24"/>
        </w:rPr>
        <w:t>估算模式</w:t>
      </w:r>
      <w:r>
        <w:rPr>
          <w:rFonts w:hint="eastAsia" w:ascii="Times New Roman" w:hAnsi="Times New Roman" w:cs="Times New Roman"/>
          <w:sz w:val="24"/>
          <w:szCs w:val="24"/>
        </w:rPr>
        <w:t>分别计算出每一种污染物的最大地面浓度占标率</w:t>
      </w:r>
      <w:r>
        <w:rPr>
          <w:rFonts w:ascii="Times New Roman" w:hAnsi="Times New Roman" w:cs="Times New Roman"/>
          <w:sz w:val="24"/>
          <w:szCs w:val="24"/>
        </w:rPr>
        <w:t>P</w:t>
      </w:r>
      <w:r>
        <w:rPr>
          <w:rFonts w:ascii="Times New Roman" w:hAnsi="Times New Roman" w:cs="Times New Roman"/>
          <w:sz w:val="24"/>
          <w:szCs w:val="24"/>
          <w:vertAlign w:val="subscript"/>
        </w:rPr>
        <w:t>i</w:t>
      </w:r>
      <w:r>
        <w:rPr>
          <w:rFonts w:ascii="Times New Roman" w:hAnsi="Times New Roman" w:cs="Times New Roman"/>
          <w:sz w:val="24"/>
          <w:szCs w:val="24"/>
        </w:rPr>
        <w:t xml:space="preserve"> </w:t>
      </w:r>
      <w:r>
        <w:rPr>
          <w:rFonts w:hint="eastAsia" w:ascii="Times New Roman" w:hAnsi="Times New Roman" w:cs="Times New Roman"/>
          <w:sz w:val="24"/>
          <w:szCs w:val="24"/>
        </w:rPr>
        <w:t>及其地面浓度达标准限值</w:t>
      </w:r>
      <w:r>
        <w:rPr>
          <w:rFonts w:ascii="Times New Roman" w:hAnsi="Times New Roman" w:cs="Times New Roman"/>
          <w:sz w:val="24"/>
          <w:szCs w:val="24"/>
        </w:rPr>
        <w:t>10%</w:t>
      </w:r>
      <w:r>
        <w:rPr>
          <w:rFonts w:hint="eastAsia" w:ascii="Times New Roman" w:hAnsi="Times New Roman" w:cs="Times New Roman"/>
          <w:sz w:val="24"/>
          <w:szCs w:val="24"/>
        </w:rPr>
        <w:t>时所对应的最远距离</w:t>
      </w:r>
      <w:r>
        <w:rPr>
          <w:rFonts w:ascii="Times New Roman" w:hAnsi="Times New Roman" w:cs="Times New Roman"/>
          <w:sz w:val="24"/>
          <w:szCs w:val="24"/>
        </w:rPr>
        <w:t>D</w:t>
      </w:r>
      <w:r>
        <w:rPr>
          <w:rFonts w:ascii="Times New Roman" w:hAnsi="Times New Roman" w:cs="Times New Roman"/>
          <w:sz w:val="24"/>
          <w:szCs w:val="24"/>
          <w:vertAlign w:val="subscript"/>
        </w:rPr>
        <w:t>10%</w:t>
      </w:r>
      <w:r>
        <w:rPr>
          <w:rFonts w:hint="eastAsia" w:ascii="Times New Roman" w:hAnsi="Times New Roman" w:cs="Times New Roman"/>
          <w:sz w:val="24"/>
          <w:szCs w:val="24"/>
        </w:rPr>
        <w:t>。其中</w:t>
      </w:r>
      <w:r>
        <w:rPr>
          <w:rFonts w:ascii="Times New Roman" w:hAnsi="Times New Roman" w:cs="Times New Roman"/>
          <w:sz w:val="24"/>
          <w:szCs w:val="24"/>
        </w:rPr>
        <w:t>P</w:t>
      </w:r>
      <w:r>
        <w:rPr>
          <w:rFonts w:ascii="Times New Roman" w:hAnsi="Times New Roman" w:cs="Times New Roman"/>
          <w:sz w:val="24"/>
          <w:szCs w:val="24"/>
          <w:vertAlign w:val="subscript"/>
        </w:rPr>
        <w:t>i</w:t>
      </w:r>
      <w:r>
        <w:rPr>
          <w:rFonts w:ascii="Times New Roman" w:hAnsi="Times New Roman" w:cs="Times New Roman"/>
          <w:sz w:val="24"/>
          <w:szCs w:val="24"/>
        </w:rPr>
        <w:t xml:space="preserve"> </w:t>
      </w:r>
      <w:r>
        <w:rPr>
          <w:rFonts w:hint="eastAsia" w:ascii="Times New Roman" w:hAnsi="Times New Roman" w:cs="Times New Roman"/>
          <w:sz w:val="24"/>
          <w:szCs w:val="24"/>
        </w:rPr>
        <w:t>定义为：</w:t>
      </w:r>
    </w:p>
    <w:p>
      <w:pPr>
        <w:spacing w:line="360" w:lineRule="auto"/>
        <w:ind w:firstLine="480" w:firstLineChars="200"/>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ctrlPr>
                <w:rPr>
                  <w:rFonts w:ascii="Cambria Math" w:hAnsi="Cambria Math" w:cs="Times New Roman"/>
                  <w:sz w:val="24"/>
                  <w:szCs w:val="24"/>
                </w:rPr>
              </m:ctrlPr>
            </m:e>
            <m:sub>
              <m:r>
                <w:rPr>
                  <w:rFonts w:ascii="Cambria Math" w:hAnsi="Cambria Math" w:cs="Times New Roman"/>
                  <w:sz w:val="24"/>
                  <w:szCs w:val="24"/>
                </w:rPr>
                <m:t>i</m:t>
              </m:r>
              <m:ctrlPr>
                <w:rPr>
                  <w:rFonts w:ascii="Cambria Math" w:hAnsi="Cambria Math" w:cs="Times New Roman"/>
                  <w:sz w:val="24"/>
                  <w:szCs w:val="24"/>
                </w:rPr>
              </m:ctrlP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ctrlPr>
                    <w:rPr>
                      <w:rFonts w:ascii="Cambria Math" w:hAnsi="Cambria Math" w:cs="Times New Roman"/>
                      <w:i/>
                      <w:sz w:val="24"/>
                      <w:szCs w:val="24"/>
                    </w:rPr>
                  </m:ctrlPr>
                </m:e>
                <m:sub>
                  <m:r>
                    <w:rPr>
                      <w:rFonts w:ascii="Cambria Math" w:hAnsi="Cambria Math" w:cs="Times New Roman"/>
                      <w:sz w:val="24"/>
                      <w:szCs w:val="24"/>
                    </w:rPr>
                    <m:t>i</m:t>
                  </m:r>
                  <m:ctrlPr>
                    <w:rPr>
                      <w:rFonts w:ascii="Cambria Math" w:hAnsi="Cambria Math" w:cs="Times New Roman"/>
                      <w:i/>
                      <w:sz w:val="24"/>
                      <w:szCs w:val="24"/>
                    </w:rPr>
                  </m:ctrlPr>
                </m:sub>
              </m:sSub>
              <m:ctrlPr>
                <w:rPr>
                  <w:rFonts w:ascii="Cambria Math" w:hAnsi="Cambria Math" w:cs="Times New Roman"/>
                  <w:sz w:val="24"/>
                  <w:szCs w:val="24"/>
                </w:rPr>
              </m:ctrlPr>
            </m:num>
            <m:den>
              <m:sSub>
                <m:sSubPr>
                  <m:ctrlPr>
                    <w:rPr>
                      <w:rFonts w:ascii="Cambria Math" w:hAnsi="Cambria Math" w:cs="Times New Roman"/>
                      <w:i/>
                      <w:sz w:val="24"/>
                      <w:szCs w:val="24"/>
                    </w:rPr>
                  </m:ctrlPr>
                </m:sSubPr>
                <m:e>
                  <m:r>
                    <w:rPr>
                      <w:rFonts w:ascii="Cambria Math" w:hAnsi="Cambria Math" w:cs="Times New Roman"/>
                      <w:sz w:val="24"/>
                      <w:szCs w:val="24"/>
                    </w:rPr>
                    <m:t>C</m:t>
                  </m:r>
                  <m:ctrlPr>
                    <w:rPr>
                      <w:rFonts w:ascii="Cambria Math" w:hAnsi="Cambria Math" w:cs="Times New Roman"/>
                      <w:i/>
                      <w:sz w:val="24"/>
                      <w:szCs w:val="24"/>
                    </w:rPr>
                  </m:ctrlPr>
                </m:e>
                <m:sub>
                  <m:r>
                    <w:rPr>
                      <w:rFonts w:ascii="Cambria Math" w:hAnsi="Cambria Math" w:cs="Times New Roman"/>
                      <w:sz w:val="24"/>
                      <w:szCs w:val="24"/>
                    </w:rPr>
                    <m:t>0i</m:t>
                  </m:r>
                  <m:ctrlPr>
                    <w:rPr>
                      <w:rFonts w:ascii="Cambria Math" w:hAnsi="Cambria Math" w:cs="Times New Roman"/>
                      <w:i/>
                      <w:sz w:val="24"/>
                      <w:szCs w:val="24"/>
                    </w:rPr>
                  </m:ctrlPr>
                </m:sub>
              </m:sSub>
              <m:ctrlPr>
                <w:rPr>
                  <w:rFonts w:ascii="Cambria Math" w:hAnsi="Cambria Math" w:cs="Times New Roman"/>
                  <w:sz w:val="24"/>
                  <w:szCs w:val="24"/>
                </w:rPr>
              </m:ctrlPr>
            </m:den>
          </m:f>
          <m:r>
            <w:rPr>
              <w:rFonts w:ascii="Cambria Math" w:hAnsi="Cambria Math" w:cs="Times New Roman"/>
              <w:sz w:val="24"/>
              <w:szCs w:val="24"/>
            </w:rPr>
            <m:t>×100%</m:t>
          </m:r>
        </m:oMath>
      </m:oMathPara>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式中：</w:t>
      </w:r>
      <w:r>
        <w:rPr>
          <w:rFonts w:ascii="Times New Roman" w:hAnsi="Times New Roman" w:cs="Times New Roman"/>
          <w:sz w:val="24"/>
          <w:szCs w:val="24"/>
        </w:rPr>
        <w:t>P</w:t>
      </w:r>
      <w:r>
        <w:rPr>
          <w:rFonts w:ascii="Times New Roman" w:hAnsi="Times New Roman" w:cs="Times New Roman"/>
          <w:sz w:val="24"/>
          <w:szCs w:val="24"/>
          <w:vertAlign w:val="subscript"/>
        </w:rPr>
        <w:t>i</w:t>
      </w:r>
      <w:r>
        <w:rPr>
          <w:rFonts w:hint="eastAsia" w:ascii="Times New Roman" w:hAnsi="Times New Roman" w:cs="Times New Roman"/>
          <w:sz w:val="24"/>
          <w:szCs w:val="24"/>
        </w:rPr>
        <w:t>—第</w:t>
      </w:r>
      <w:r>
        <w:rPr>
          <w:rFonts w:ascii="Times New Roman" w:hAnsi="Times New Roman" w:cs="Times New Roman"/>
          <w:sz w:val="24"/>
          <w:szCs w:val="24"/>
        </w:rPr>
        <w:t xml:space="preserve">I </w:t>
      </w:r>
      <w:r>
        <w:rPr>
          <w:rFonts w:hint="eastAsia" w:ascii="Times New Roman" w:hAnsi="Times New Roman" w:cs="Times New Roman"/>
          <w:sz w:val="24"/>
          <w:szCs w:val="24"/>
        </w:rPr>
        <w:t>个污染物的最大地面浓度占标率，</w:t>
      </w:r>
      <w:r>
        <w:rPr>
          <w:rFonts w:ascii="Times New Roman" w:hAnsi="Times New Roman" w:cs="Times New Roman"/>
          <w:sz w:val="24"/>
          <w:szCs w:val="24"/>
        </w:rPr>
        <w:t>%</w:t>
      </w:r>
      <w:r>
        <w:rPr>
          <w:rFonts w:hint="eastAsia" w:ascii="Times New Roman" w:hAnsi="Times New Roman" w:cs="Times New Roman"/>
          <w:sz w:val="24"/>
          <w:szCs w:val="24"/>
        </w:rPr>
        <w:t>；</w:t>
      </w:r>
    </w:p>
    <w:p>
      <w:pPr>
        <w:spacing w:line="360" w:lineRule="auto"/>
        <w:ind w:firstLine="1200" w:firstLineChars="50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i</w:t>
      </w:r>
      <w:r>
        <w:rPr>
          <w:rFonts w:hint="eastAsia" w:ascii="Times New Roman" w:hAnsi="Times New Roman" w:cs="Times New Roman"/>
          <w:sz w:val="24"/>
          <w:szCs w:val="24"/>
        </w:rPr>
        <w:t>—采用估算模式计算出的第</w:t>
      </w:r>
      <w:r>
        <w:rPr>
          <w:rFonts w:ascii="Times New Roman" w:hAnsi="Times New Roman" w:cs="Times New Roman"/>
          <w:sz w:val="24"/>
          <w:szCs w:val="24"/>
        </w:rPr>
        <w:t xml:space="preserve">I </w:t>
      </w:r>
      <w:r>
        <w:rPr>
          <w:rFonts w:hint="eastAsia" w:ascii="Times New Roman" w:hAnsi="Times New Roman" w:cs="Times New Roman"/>
          <w:sz w:val="24"/>
          <w:szCs w:val="24"/>
        </w:rPr>
        <w:t>个污染物的最大地面浓度，</w:t>
      </w:r>
      <w:r>
        <w:rPr>
          <w:rFonts w:ascii="Times New Roman" w:hAnsi="Times New Roman" w:cs="Times New Roman"/>
          <w:sz w:val="24"/>
          <w:szCs w:val="24"/>
        </w:rPr>
        <w:t>mg/m</w:t>
      </w:r>
      <w:r>
        <w:rPr>
          <w:rFonts w:ascii="Times New Roman" w:hAnsi="Times New Roman" w:cs="Times New Roman"/>
          <w:sz w:val="24"/>
          <w:szCs w:val="24"/>
          <w:vertAlign w:val="superscript"/>
        </w:rPr>
        <w:t>3</w:t>
      </w:r>
      <w:r>
        <w:rPr>
          <w:rFonts w:hint="eastAsia" w:ascii="Times New Roman" w:hAnsi="Times New Roman" w:cs="Times New Roman"/>
          <w:sz w:val="24"/>
          <w:szCs w:val="24"/>
        </w:rPr>
        <w:t>；</w:t>
      </w:r>
    </w:p>
    <w:p>
      <w:pPr>
        <w:spacing w:line="360" w:lineRule="auto"/>
        <w:ind w:firstLine="1200" w:firstLineChars="5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vertAlign w:val="subscript"/>
        </w:rPr>
        <w:t>0i</w:t>
      </w:r>
      <w:r>
        <w:rPr>
          <w:rFonts w:hint="eastAsia" w:ascii="Times New Roman" w:hAnsi="Times New Roman" w:cs="Times New Roman"/>
          <w:color w:val="000000" w:themeColor="text1"/>
          <w:sz w:val="24"/>
          <w:szCs w:val="24"/>
        </w:rPr>
        <w:t>—第</w:t>
      </w:r>
      <w:r>
        <w:rPr>
          <w:rFonts w:ascii="Times New Roman" w:hAnsi="Times New Roman" w:cs="Times New Roman"/>
          <w:color w:val="000000" w:themeColor="text1"/>
          <w:sz w:val="24"/>
          <w:szCs w:val="24"/>
        </w:rPr>
        <w:t xml:space="preserve">I </w:t>
      </w:r>
      <w:r>
        <w:rPr>
          <w:rFonts w:hint="eastAsia" w:ascii="Times New Roman" w:hAnsi="Times New Roman" w:cs="Times New Roman"/>
          <w:color w:val="000000" w:themeColor="text1"/>
          <w:sz w:val="24"/>
          <w:szCs w:val="24"/>
        </w:rPr>
        <w:t>个污染物的环境空气质量浓度标准，</w:t>
      </w:r>
      <w:r>
        <w:rPr>
          <w:rFonts w:ascii="Times New Roman" w:hAnsi="Times New Roman" w:cs="Times New Roman"/>
          <w:color w:val="000000" w:themeColor="text1"/>
          <w:sz w:val="24"/>
          <w:szCs w:val="24"/>
        </w:rPr>
        <w:t>mg/m</w:t>
      </w:r>
      <w:r>
        <w:rPr>
          <w:rFonts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（一般采用二级小时浓度限值，无小时浓度值时，对仅有8h平均质量浓度限值、日平均质量浓度限值或年平均质量浓度限值的，可分别按2倍、3倍、6倍折算为1h平均质量浓度限值）。</w:t>
      </w:r>
    </w:p>
    <w:p>
      <w:pPr>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（2）评价工作级别划分的依据</w:t>
      </w:r>
    </w:p>
    <w:p>
      <w:pPr>
        <w:spacing w:line="360" w:lineRule="auto"/>
        <w:ind w:firstLine="480" w:firstLineChars="200"/>
        <w:rPr>
          <w:rFonts w:ascii="Times New Roman" w:hAnsi="Times New Roman" w:cs="Times New Roman"/>
          <w:sz w:val="24"/>
        </w:rPr>
      </w:pPr>
      <w:r>
        <w:rPr>
          <w:rFonts w:ascii="Times New Roman" w:cs="Times New Roman" w:hAnsiTheme="minorEastAsia"/>
          <w:sz w:val="24"/>
          <w:szCs w:val="24"/>
        </w:rPr>
        <w:t>评价工作等级按下表的分级判据进行划分。最大地面浓度占标率</w:t>
      </w:r>
      <w:r>
        <w:rPr>
          <w:rFonts w:ascii="Times New Roman" w:hAnsi="Times New Roman" w:cs="Times New Roman"/>
          <w:sz w:val="24"/>
          <w:szCs w:val="24"/>
        </w:rPr>
        <w:t>P</w:t>
      </w:r>
      <w:r>
        <w:rPr>
          <w:rFonts w:ascii="Times New Roman" w:hAnsi="Times New Roman" w:cs="Times New Roman"/>
          <w:sz w:val="24"/>
          <w:szCs w:val="24"/>
          <w:vertAlign w:val="subscript"/>
        </w:rPr>
        <w:t>i</w:t>
      </w:r>
      <w:r>
        <w:rPr>
          <w:rFonts w:ascii="Times New Roman" w:hAnsi="Times New Roman" w:cs="Times New Roman"/>
          <w:sz w:val="24"/>
          <w:szCs w:val="24"/>
        </w:rPr>
        <w:t xml:space="preserve"> </w:t>
      </w:r>
      <w:r>
        <w:rPr>
          <w:rFonts w:ascii="Times New Roman" w:cs="Times New Roman" w:hAnsiTheme="minorEastAsia"/>
          <w:sz w:val="24"/>
          <w:szCs w:val="24"/>
        </w:rPr>
        <w:t>按上式计算，</w:t>
      </w:r>
      <w:r>
        <w:rPr>
          <w:rFonts w:ascii="Times New Roman" w:cs="Times New Roman" w:hAnsiTheme="minorEastAsia"/>
          <w:sz w:val="24"/>
        </w:rPr>
        <w:t>根据《环境影响评价技术导则</w:t>
      </w:r>
      <w:r>
        <w:rPr>
          <w:rFonts w:ascii="Times New Roman" w:hAnsi="Times New Roman" w:cs="Times New Roman"/>
          <w:sz w:val="24"/>
        </w:rPr>
        <w:t xml:space="preserve">  </w:t>
      </w:r>
      <w:r>
        <w:rPr>
          <w:rFonts w:ascii="Times New Roman" w:cs="Times New Roman" w:hAnsiTheme="minorEastAsia"/>
          <w:sz w:val="24"/>
        </w:rPr>
        <w:t>大气环境》</w:t>
      </w:r>
      <w:r>
        <w:rPr>
          <w:rFonts w:ascii="Times New Roman" w:hAnsi="Times New Roman" w:cs="Times New Roman"/>
          <w:sz w:val="24"/>
        </w:rPr>
        <w:t>(HJ 2.2-2018)</w:t>
      </w:r>
      <w:r>
        <w:rPr>
          <w:rFonts w:ascii="Times New Roman" w:cs="Times New Roman" w:hAnsiTheme="minorEastAsia"/>
          <w:sz w:val="24"/>
        </w:rPr>
        <w:t>，将其大气环境评价工作等级的分级判据列于表</w:t>
      </w:r>
      <w:r>
        <w:rPr>
          <w:rFonts w:ascii="Times New Roman" w:hAnsi="Times New Roman" w:cs="Times New Roman"/>
          <w:sz w:val="24"/>
        </w:rPr>
        <w:t>2-3</w:t>
      </w:r>
      <w:r>
        <w:rPr>
          <w:rFonts w:ascii="Times New Roman" w:cs="Times New Roman" w:hAnsiTheme="minorEastAsia"/>
          <w:sz w:val="24"/>
        </w:rPr>
        <w:t>。</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大气环境影响评价工作等级的计算与确定见表</w:t>
      </w:r>
      <w:r>
        <w:rPr>
          <w:rFonts w:ascii="Times New Roman" w:hAnsi="Times New Roman" w:cs="Times New Roman"/>
          <w:sz w:val="24"/>
          <w:szCs w:val="24"/>
        </w:rPr>
        <w:t>2-</w:t>
      </w:r>
      <w:r>
        <w:rPr>
          <w:rFonts w:hint="eastAsia" w:ascii="Times New Roman" w:hAnsi="Times New Roman" w:cs="Times New Roman"/>
          <w:sz w:val="24"/>
          <w:szCs w:val="24"/>
        </w:rPr>
        <w:t>3。</w:t>
      </w:r>
    </w:p>
    <w:p>
      <w:pPr>
        <w:overflowPunct w:val="0"/>
        <w:spacing w:line="360" w:lineRule="auto"/>
        <w:ind w:firstLine="482" w:firstLineChars="200"/>
        <w:jc w:val="center"/>
        <w:rPr>
          <w:rFonts w:ascii="Times New Roman" w:hAnsi="Times New Roman" w:eastAsia="宋体"/>
          <w:b/>
          <w:sz w:val="24"/>
          <w:szCs w:val="24"/>
        </w:rPr>
      </w:pPr>
      <w:r>
        <w:rPr>
          <w:rFonts w:hint="eastAsia" w:ascii="Times New Roman" w:hAnsi="Times New Roman" w:eastAsia="宋体"/>
          <w:b/>
          <w:sz w:val="24"/>
          <w:szCs w:val="24"/>
        </w:rPr>
        <w:t>表</w:t>
      </w:r>
      <w:r>
        <w:rPr>
          <w:rFonts w:ascii="Times New Roman" w:hAnsi="Times New Roman" w:eastAsia="宋体"/>
          <w:b/>
          <w:sz w:val="24"/>
          <w:szCs w:val="24"/>
        </w:rPr>
        <w:t>2-</w:t>
      </w:r>
      <w:r>
        <w:rPr>
          <w:rFonts w:hint="eastAsia" w:ascii="Times New Roman" w:hAnsi="Times New Roman" w:eastAsia="宋体"/>
          <w:b/>
          <w:sz w:val="24"/>
          <w:szCs w:val="24"/>
        </w:rPr>
        <w:t>3</w:t>
      </w:r>
      <w:r>
        <w:rPr>
          <w:rFonts w:ascii="Times New Roman" w:hAnsi="Times New Roman" w:eastAsia="宋体"/>
          <w:b/>
          <w:sz w:val="24"/>
          <w:szCs w:val="24"/>
        </w:rPr>
        <w:t xml:space="preserve"> </w:t>
      </w:r>
      <w:r>
        <w:rPr>
          <w:rFonts w:hint="eastAsia" w:ascii="Times New Roman" w:hAnsi="Times New Roman" w:eastAsia="宋体"/>
          <w:b/>
          <w:sz w:val="24"/>
          <w:szCs w:val="24"/>
        </w:rPr>
        <w:t>环境空气影响评价分级判据表</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6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 w:hRule="atLeast"/>
        </w:trPr>
        <w:tc>
          <w:tcPr>
            <w:tcW w:w="2376" w:type="dxa"/>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评价工作等级</w:t>
            </w:r>
          </w:p>
        </w:tc>
        <w:tc>
          <w:tcPr>
            <w:tcW w:w="6146" w:type="dxa"/>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376" w:type="dxa"/>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一级</w:t>
            </w:r>
          </w:p>
        </w:tc>
        <w:tc>
          <w:tcPr>
            <w:tcW w:w="6146" w:type="dxa"/>
            <w:vAlign w:val="center"/>
          </w:tcPr>
          <w:p>
            <w:pPr>
              <w:spacing w:line="340" w:lineRule="exact"/>
              <w:ind w:right="-28"/>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Pmax</w:t>
            </w:r>
            <w:r>
              <w:rPr>
                <w:rFonts w:hint="eastAsia" w:ascii="宋体" w:hAnsi="宋体" w:eastAsia="宋体" w:cs="Times New Roman"/>
                <w:color w:val="000000" w:themeColor="text1"/>
                <w:szCs w:val="21"/>
              </w:rPr>
              <w:t>≥</w:t>
            </w:r>
            <w:r>
              <w:rPr>
                <w:rFonts w:ascii="Times New Roman" w:hAnsi="Times New Roman" w:cs="Times New Roman"/>
                <w:color w:val="000000" w:themeColor="text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376" w:type="dxa"/>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二级</w:t>
            </w:r>
          </w:p>
        </w:tc>
        <w:tc>
          <w:tcPr>
            <w:tcW w:w="6146" w:type="dxa"/>
            <w:vAlign w:val="center"/>
          </w:tcPr>
          <w:p>
            <w:pPr>
              <w:spacing w:line="340" w:lineRule="exact"/>
              <w:ind w:right="-28"/>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r>
              <w:rPr>
                <w:rFonts w:hint="eastAsia" w:ascii="宋体" w:hAnsi="宋体" w:eastAsia="宋体" w:cs="Times New Roman"/>
                <w:color w:val="000000" w:themeColor="text1"/>
                <w:szCs w:val="21"/>
              </w:rPr>
              <w:t>≤</w:t>
            </w:r>
            <w:r>
              <w:rPr>
                <w:rFonts w:ascii="Times New Roman" w:hAnsi="Times New Roman" w:cs="Times New Roman"/>
                <w:color w:val="000000" w:themeColor="text1"/>
                <w:szCs w:val="21"/>
              </w:rPr>
              <w:t>Pmax</w:t>
            </w:r>
            <w:r>
              <w:rPr>
                <w:rFonts w:ascii="Times New Roman" w:cs="Times New Roman" w:hAnsiTheme="minorEastAsia"/>
                <w:color w:val="000000" w:themeColor="text1"/>
                <w:szCs w:val="21"/>
              </w:rPr>
              <w:t>＜</w:t>
            </w:r>
            <w:r>
              <w:rPr>
                <w:rFonts w:ascii="Times New Roman" w:hAnsi="Times New Roman" w:cs="Times New Roman"/>
                <w:color w:val="000000" w:themeColor="text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376" w:type="dxa"/>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三级</w:t>
            </w:r>
          </w:p>
        </w:tc>
        <w:tc>
          <w:tcPr>
            <w:tcW w:w="6146" w:type="dxa"/>
            <w:vAlign w:val="center"/>
          </w:tcPr>
          <w:p>
            <w:pPr>
              <w:spacing w:line="340" w:lineRule="exact"/>
              <w:ind w:right="-28"/>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Pmax</w:t>
            </w:r>
            <w:r>
              <w:rPr>
                <w:rFonts w:hint="eastAsia" w:cs="Times New Roman" w:asciiTheme="minorEastAsia" w:hAnsiTheme="minorEastAsia"/>
                <w:color w:val="000000" w:themeColor="text1"/>
                <w:szCs w:val="21"/>
              </w:rPr>
              <w:t>＜</w:t>
            </w:r>
            <w:r>
              <w:rPr>
                <w:rFonts w:ascii="Times New Roman" w:hAnsi="Times New Roman" w:cs="Times New Roman"/>
                <w:color w:val="000000" w:themeColor="text1"/>
                <w:szCs w:val="21"/>
              </w:rPr>
              <w:t>1%</w:t>
            </w:r>
          </w:p>
        </w:tc>
      </w:tr>
    </w:tbl>
    <w:p>
      <w:pPr>
        <w:spacing w:line="42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（3）计算结果及评价工作等级确定</w:t>
      </w:r>
    </w:p>
    <w:p>
      <w:pPr>
        <w:spacing w:line="42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选择推荐模式中的估算模式对项目的大气环境评价工作进行分级，排放相同污染物的污染源，取其中的最大值，估算模式主要参数及计算结果见表2-4~ 2-7。</w:t>
      </w:r>
    </w:p>
    <w:p>
      <w:pPr>
        <w:overflowPunct w:val="0"/>
        <w:spacing w:line="360" w:lineRule="auto"/>
        <w:ind w:firstLine="482" w:firstLineChars="200"/>
        <w:jc w:val="center"/>
        <w:rPr>
          <w:rFonts w:ascii="Times New Roman" w:hAnsi="Times New Roman" w:eastAsia="宋体"/>
          <w:b/>
          <w:sz w:val="24"/>
          <w:szCs w:val="24"/>
        </w:rPr>
      </w:pPr>
    </w:p>
    <w:p>
      <w:pPr>
        <w:overflowPunct w:val="0"/>
        <w:spacing w:line="360" w:lineRule="auto"/>
        <w:ind w:firstLine="482" w:firstLineChars="200"/>
        <w:jc w:val="center"/>
        <w:rPr>
          <w:rFonts w:ascii="Times New Roman" w:hAnsi="Times New Roman" w:eastAsia="宋体"/>
          <w:b/>
          <w:sz w:val="24"/>
          <w:szCs w:val="24"/>
        </w:rPr>
      </w:pPr>
    </w:p>
    <w:p>
      <w:pPr>
        <w:overflowPunct w:val="0"/>
        <w:spacing w:line="360" w:lineRule="auto"/>
        <w:ind w:firstLine="482" w:firstLineChars="200"/>
        <w:jc w:val="center"/>
        <w:rPr>
          <w:rFonts w:ascii="Times New Roman" w:hAnsi="Times New Roman" w:eastAsia="宋体"/>
          <w:b/>
          <w:sz w:val="24"/>
          <w:szCs w:val="24"/>
        </w:rPr>
      </w:pPr>
    </w:p>
    <w:p>
      <w:pPr>
        <w:overflowPunct w:val="0"/>
        <w:spacing w:line="360" w:lineRule="auto"/>
        <w:ind w:firstLine="482" w:firstLineChars="200"/>
        <w:jc w:val="center"/>
        <w:rPr>
          <w:rFonts w:ascii="Times New Roman" w:hAnsi="Times New Roman" w:eastAsia="宋体"/>
          <w:b/>
          <w:sz w:val="24"/>
          <w:szCs w:val="24"/>
        </w:rPr>
      </w:pPr>
    </w:p>
    <w:p>
      <w:pPr>
        <w:overflowPunct w:val="0"/>
        <w:spacing w:line="360" w:lineRule="auto"/>
        <w:ind w:firstLine="482" w:firstLineChars="200"/>
        <w:jc w:val="center"/>
        <w:rPr>
          <w:rFonts w:ascii="Times New Roman" w:hAnsi="Times New Roman" w:eastAsia="宋体"/>
          <w:b/>
          <w:sz w:val="24"/>
          <w:szCs w:val="24"/>
        </w:rPr>
      </w:pPr>
    </w:p>
    <w:p>
      <w:pPr>
        <w:overflowPunct w:val="0"/>
        <w:spacing w:line="360" w:lineRule="auto"/>
        <w:rPr>
          <w:rFonts w:ascii="Times New Roman" w:hAnsi="Times New Roman" w:eastAsia="宋体"/>
          <w:b/>
          <w:sz w:val="24"/>
          <w:szCs w:val="24"/>
        </w:rPr>
      </w:pPr>
    </w:p>
    <w:p>
      <w:pPr>
        <w:overflowPunct w:val="0"/>
        <w:spacing w:line="360" w:lineRule="auto"/>
        <w:ind w:firstLine="482" w:firstLineChars="200"/>
        <w:jc w:val="center"/>
        <w:rPr>
          <w:rFonts w:ascii="Times New Roman" w:hAnsi="Times New Roman" w:eastAsia="宋体"/>
          <w:b/>
          <w:color w:val="000000" w:themeColor="text1"/>
          <w:sz w:val="24"/>
          <w:szCs w:val="24"/>
        </w:rPr>
      </w:pPr>
      <w:r>
        <w:rPr>
          <w:rFonts w:hint="eastAsia" w:ascii="Times New Roman" w:hAnsi="Times New Roman" w:eastAsia="宋体"/>
          <w:b/>
          <w:color w:val="000000" w:themeColor="text1"/>
          <w:sz w:val="24"/>
          <w:szCs w:val="24"/>
        </w:rPr>
        <w:t>表</w:t>
      </w:r>
      <w:r>
        <w:rPr>
          <w:rFonts w:ascii="Times New Roman" w:hAnsi="Times New Roman" w:eastAsia="宋体"/>
          <w:b/>
          <w:color w:val="000000" w:themeColor="text1"/>
          <w:sz w:val="24"/>
          <w:szCs w:val="24"/>
        </w:rPr>
        <w:t>2-</w:t>
      </w:r>
      <w:r>
        <w:rPr>
          <w:rFonts w:hint="eastAsia" w:ascii="Times New Roman" w:hAnsi="Times New Roman" w:eastAsia="宋体"/>
          <w:b/>
          <w:color w:val="000000" w:themeColor="text1"/>
          <w:sz w:val="24"/>
          <w:szCs w:val="24"/>
        </w:rPr>
        <w:t>4</w:t>
      </w:r>
      <w:r>
        <w:rPr>
          <w:rFonts w:ascii="Times New Roman" w:hAnsi="Times New Roman" w:eastAsia="宋体"/>
          <w:b/>
          <w:color w:val="000000" w:themeColor="text1"/>
          <w:sz w:val="24"/>
          <w:szCs w:val="24"/>
        </w:rPr>
        <w:t xml:space="preserve"> </w:t>
      </w:r>
      <w:r>
        <w:rPr>
          <w:rFonts w:hint="eastAsia" w:ascii="Times New Roman" w:hAnsi="Times New Roman" w:eastAsia="宋体"/>
          <w:b/>
          <w:color w:val="000000" w:themeColor="text1"/>
          <w:sz w:val="24"/>
          <w:szCs w:val="24"/>
        </w:rPr>
        <w:t xml:space="preserve">  点源估算模式计算参数取值一览表</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659"/>
        <w:gridCol w:w="1423"/>
        <w:gridCol w:w="1318"/>
        <w:gridCol w:w="441"/>
        <w:gridCol w:w="482"/>
        <w:gridCol w:w="1011"/>
        <w:gridCol w:w="486"/>
        <w:gridCol w:w="636"/>
        <w:gridCol w:w="426"/>
        <w:gridCol w:w="1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5" w:hRule="atLeast"/>
        </w:trPr>
        <w:tc>
          <w:tcPr>
            <w:tcW w:w="630" w:type="dxa"/>
            <w:vMerge w:val="restart"/>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污染源名称</w:t>
            </w:r>
          </w:p>
        </w:tc>
        <w:tc>
          <w:tcPr>
            <w:tcW w:w="659" w:type="dxa"/>
            <w:vMerge w:val="restart"/>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污染物</w:t>
            </w:r>
          </w:p>
        </w:tc>
        <w:tc>
          <w:tcPr>
            <w:tcW w:w="2741" w:type="dxa"/>
            <w:gridSpan w:val="2"/>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坐标</w:t>
            </w:r>
          </w:p>
        </w:tc>
        <w:tc>
          <w:tcPr>
            <w:tcW w:w="441" w:type="dxa"/>
            <w:vMerge w:val="restart"/>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排气筒底部海拔高度/m</w:t>
            </w:r>
          </w:p>
        </w:tc>
        <w:tc>
          <w:tcPr>
            <w:tcW w:w="482" w:type="dxa"/>
            <w:vMerge w:val="restart"/>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排气筒出口内径/m</w:t>
            </w:r>
          </w:p>
        </w:tc>
        <w:tc>
          <w:tcPr>
            <w:tcW w:w="1011" w:type="dxa"/>
            <w:vMerge w:val="restart"/>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烟气流速/（m/s）</w:t>
            </w:r>
          </w:p>
        </w:tc>
        <w:tc>
          <w:tcPr>
            <w:tcW w:w="486" w:type="dxa"/>
            <w:vMerge w:val="restart"/>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烟气温度/℃</w:t>
            </w:r>
          </w:p>
        </w:tc>
        <w:tc>
          <w:tcPr>
            <w:tcW w:w="636" w:type="dxa"/>
            <w:vMerge w:val="restart"/>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年排放小时数/h</w:t>
            </w:r>
          </w:p>
        </w:tc>
        <w:tc>
          <w:tcPr>
            <w:tcW w:w="426" w:type="dxa"/>
            <w:vMerge w:val="restart"/>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排放工况</w:t>
            </w:r>
          </w:p>
        </w:tc>
        <w:tc>
          <w:tcPr>
            <w:tcW w:w="1010" w:type="dxa"/>
            <w:vMerge w:val="restart"/>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污染物排放</w:t>
            </w:r>
          </w:p>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30" w:type="dxa"/>
            <w:vMerge w:val="continue"/>
            <w:vAlign w:val="center"/>
          </w:tcPr>
          <w:p>
            <w:pPr>
              <w:spacing w:line="300" w:lineRule="exact"/>
              <w:jc w:val="center"/>
              <w:rPr>
                <w:rFonts w:ascii="Times New Roman" w:hAnsi="Times New Roman" w:eastAsia="宋体" w:cs="Times New Roman"/>
                <w:color w:val="000000" w:themeColor="text1"/>
                <w:kern w:val="0"/>
                <w:szCs w:val="21"/>
              </w:rPr>
            </w:pPr>
          </w:p>
        </w:tc>
        <w:tc>
          <w:tcPr>
            <w:tcW w:w="659" w:type="dxa"/>
            <w:vMerge w:val="continue"/>
            <w:vAlign w:val="center"/>
          </w:tcPr>
          <w:p>
            <w:pPr>
              <w:widowControl/>
              <w:spacing w:line="240" w:lineRule="exact"/>
              <w:jc w:val="center"/>
              <w:rPr>
                <w:rFonts w:ascii="Times New Roman" w:hAnsi="Times New Roman" w:eastAsia="宋体" w:cs="Times New Roman"/>
                <w:color w:val="000000" w:themeColor="text1"/>
                <w:kern w:val="0"/>
                <w:szCs w:val="21"/>
              </w:rPr>
            </w:pPr>
          </w:p>
        </w:tc>
        <w:tc>
          <w:tcPr>
            <w:tcW w:w="1423" w:type="dxa"/>
            <w:vAlign w:val="center"/>
          </w:tcPr>
          <w:p>
            <w:pPr>
              <w:widowControl/>
              <w:spacing w:line="24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东经</w:t>
            </w:r>
          </w:p>
        </w:tc>
        <w:tc>
          <w:tcPr>
            <w:tcW w:w="1318" w:type="dxa"/>
            <w:vAlign w:val="center"/>
          </w:tcPr>
          <w:p>
            <w:pPr>
              <w:widowControl/>
              <w:spacing w:line="24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北纬</w:t>
            </w:r>
          </w:p>
        </w:tc>
        <w:tc>
          <w:tcPr>
            <w:tcW w:w="441" w:type="dxa"/>
            <w:vMerge w:val="continue"/>
            <w:vAlign w:val="center"/>
          </w:tcPr>
          <w:p>
            <w:pPr>
              <w:spacing w:line="300" w:lineRule="exact"/>
              <w:jc w:val="center"/>
              <w:rPr>
                <w:rFonts w:ascii="Times New Roman" w:hAnsi="Times New Roman" w:eastAsia="宋体" w:cs="Times New Roman"/>
                <w:color w:val="000000" w:themeColor="text1"/>
                <w:kern w:val="0"/>
                <w:szCs w:val="21"/>
              </w:rPr>
            </w:pPr>
          </w:p>
        </w:tc>
        <w:tc>
          <w:tcPr>
            <w:tcW w:w="482" w:type="dxa"/>
            <w:vMerge w:val="continue"/>
            <w:vAlign w:val="center"/>
          </w:tcPr>
          <w:p>
            <w:pPr>
              <w:spacing w:line="300" w:lineRule="exact"/>
              <w:jc w:val="center"/>
              <w:rPr>
                <w:rFonts w:ascii="Times New Roman" w:hAnsi="Times New Roman" w:eastAsia="宋体" w:cs="Times New Roman"/>
                <w:color w:val="000000" w:themeColor="text1"/>
                <w:kern w:val="0"/>
                <w:szCs w:val="21"/>
              </w:rPr>
            </w:pPr>
          </w:p>
        </w:tc>
        <w:tc>
          <w:tcPr>
            <w:tcW w:w="1011" w:type="dxa"/>
            <w:vMerge w:val="continue"/>
            <w:vAlign w:val="center"/>
          </w:tcPr>
          <w:p>
            <w:pPr>
              <w:spacing w:line="300" w:lineRule="exact"/>
              <w:jc w:val="center"/>
              <w:rPr>
                <w:rFonts w:ascii="Times New Roman" w:hAnsi="Times New Roman" w:eastAsia="宋体" w:cs="Times New Roman"/>
                <w:color w:val="000000" w:themeColor="text1"/>
                <w:kern w:val="0"/>
                <w:szCs w:val="21"/>
              </w:rPr>
            </w:pPr>
          </w:p>
        </w:tc>
        <w:tc>
          <w:tcPr>
            <w:tcW w:w="486" w:type="dxa"/>
            <w:vMerge w:val="continue"/>
            <w:vAlign w:val="center"/>
          </w:tcPr>
          <w:p>
            <w:pPr>
              <w:spacing w:line="300" w:lineRule="exact"/>
              <w:jc w:val="center"/>
              <w:rPr>
                <w:rFonts w:ascii="Times New Roman" w:hAnsi="Times New Roman" w:eastAsia="宋体" w:cs="Times New Roman"/>
                <w:color w:val="000000" w:themeColor="text1"/>
                <w:kern w:val="0"/>
                <w:szCs w:val="21"/>
              </w:rPr>
            </w:pPr>
          </w:p>
        </w:tc>
        <w:tc>
          <w:tcPr>
            <w:tcW w:w="636" w:type="dxa"/>
            <w:vMerge w:val="continue"/>
            <w:vAlign w:val="center"/>
          </w:tcPr>
          <w:p>
            <w:pPr>
              <w:spacing w:line="300" w:lineRule="exact"/>
              <w:jc w:val="center"/>
              <w:rPr>
                <w:rFonts w:ascii="Times New Roman" w:hAnsi="Times New Roman" w:eastAsia="宋体" w:cs="Times New Roman"/>
                <w:color w:val="000000" w:themeColor="text1"/>
                <w:kern w:val="0"/>
                <w:szCs w:val="21"/>
              </w:rPr>
            </w:pPr>
          </w:p>
        </w:tc>
        <w:tc>
          <w:tcPr>
            <w:tcW w:w="426" w:type="dxa"/>
            <w:vMerge w:val="continue"/>
            <w:vAlign w:val="center"/>
          </w:tcPr>
          <w:p>
            <w:pPr>
              <w:spacing w:line="300" w:lineRule="exact"/>
              <w:jc w:val="center"/>
              <w:rPr>
                <w:rFonts w:ascii="Times New Roman" w:hAnsi="Times New Roman" w:eastAsia="宋体" w:cs="Times New Roman"/>
                <w:color w:val="000000" w:themeColor="text1"/>
                <w:kern w:val="0"/>
                <w:szCs w:val="21"/>
              </w:rPr>
            </w:pPr>
          </w:p>
        </w:tc>
        <w:tc>
          <w:tcPr>
            <w:tcW w:w="1010" w:type="dxa"/>
            <w:vMerge w:val="continue"/>
            <w:vAlign w:val="center"/>
          </w:tcPr>
          <w:p>
            <w:pPr>
              <w:spacing w:line="300" w:lineRule="exact"/>
              <w:jc w:val="center"/>
              <w:rPr>
                <w:rFonts w:ascii="Times New Roman" w:hAnsi="Times New Roman" w:eastAsia="宋体" w:cs="Times New Roman"/>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630" w:type="dxa"/>
            <w:vMerge w:val="restart"/>
            <w:vAlign w:val="center"/>
          </w:tcPr>
          <w:p>
            <w:pPr>
              <w:spacing w:line="300" w:lineRule="exact"/>
              <w:jc w:val="center"/>
              <w:rPr>
                <w:rFonts w:ascii="Times New Roman" w:hAnsi="Times New Roman" w:eastAsia="宋体" w:cs="Times New Roman"/>
                <w:bCs/>
                <w:color w:val="000000" w:themeColor="text1"/>
                <w:kern w:val="0"/>
                <w:szCs w:val="21"/>
              </w:rPr>
            </w:pPr>
            <w:r>
              <w:rPr>
                <w:rFonts w:hint="eastAsia" w:ascii="Times New Roman" w:hAnsi="Times New Roman" w:eastAsia="宋体" w:cs="Times New Roman"/>
                <w:bCs/>
                <w:color w:val="000000" w:themeColor="text1"/>
                <w:kern w:val="0"/>
                <w:szCs w:val="21"/>
              </w:rPr>
              <w:t>污水站排气筒</w:t>
            </w:r>
          </w:p>
        </w:tc>
        <w:tc>
          <w:tcPr>
            <w:tcW w:w="659" w:type="dxa"/>
            <w:vAlign w:val="center"/>
          </w:tcPr>
          <w:p>
            <w:pPr>
              <w:spacing w:line="300" w:lineRule="exact"/>
              <w:jc w:val="center"/>
              <w:rPr>
                <w:rFonts w:ascii="Times New Roman" w:hAnsi="Times New Roman" w:eastAsia="宋体" w:cs="Times New Roman"/>
                <w:bCs/>
                <w:color w:val="000000" w:themeColor="text1"/>
                <w:kern w:val="0"/>
                <w:szCs w:val="21"/>
              </w:rPr>
            </w:pPr>
            <w:r>
              <w:rPr>
                <w:rFonts w:hint="eastAsia" w:ascii="Times New Roman" w:hAnsi="Times New Roman" w:eastAsia="宋体" w:cs="Times New Roman"/>
                <w:bCs/>
                <w:color w:val="000000" w:themeColor="text1"/>
                <w:kern w:val="0"/>
                <w:szCs w:val="21"/>
              </w:rPr>
              <w:t>氨</w:t>
            </w:r>
          </w:p>
        </w:tc>
        <w:tc>
          <w:tcPr>
            <w:tcW w:w="1423" w:type="dxa"/>
            <w:vMerge w:val="restart"/>
            <w:vAlign w:val="center"/>
          </w:tcPr>
          <w:p>
            <w:pPr>
              <w:spacing w:line="24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kern w:val="0"/>
                <w:szCs w:val="21"/>
              </w:rPr>
              <w:t>115°</w:t>
            </w:r>
            <w:r>
              <w:rPr>
                <w:rFonts w:hint="eastAsia" w:ascii="Times New Roman" w:hAnsi="Times New Roman" w:eastAsia="宋体" w:cs="Times New Roman"/>
                <w:color w:val="000000" w:themeColor="text1"/>
                <w:kern w:val="0"/>
                <w:szCs w:val="21"/>
              </w:rPr>
              <w:t>30</w:t>
            </w:r>
            <w:r>
              <w:rPr>
                <w:rFonts w:ascii="Times New Roman" w:hAnsi="Times New Roman" w:eastAsia="宋体" w:cs="Times New Roman"/>
                <w:color w:val="000000" w:themeColor="text1"/>
                <w:kern w:val="0"/>
                <w:szCs w:val="21"/>
              </w:rPr>
              <w:t>'</w:t>
            </w:r>
            <w:r>
              <w:rPr>
                <w:rFonts w:hint="eastAsia" w:ascii="Times New Roman" w:hAnsi="Times New Roman" w:eastAsia="宋体" w:cs="Times New Roman"/>
                <w:color w:val="000000" w:themeColor="text1"/>
                <w:kern w:val="0"/>
                <w:szCs w:val="21"/>
              </w:rPr>
              <w:t>15.96</w:t>
            </w:r>
            <w:r>
              <w:rPr>
                <w:rFonts w:ascii="Times New Roman" w:hAnsi="Times New Roman" w:eastAsia="宋体" w:cs="Times New Roman"/>
                <w:color w:val="000000" w:themeColor="text1"/>
                <w:kern w:val="0"/>
                <w:szCs w:val="21"/>
              </w:rPr>
              <w:t>"</w:t>
            </w:r>
          </w:p>
        </w:tc>
        <w:tc>
          <w:tcPr>
            <w:tcW w:w="1318" w:type="dxa"/>
            <w:vMerge w:val="restart"/>
            <w:vAlign w:val="center"/>
          </w:tcPr>
          <w:p>
            <w:pPr>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38</w:t>
            </w:r>
            <w:r>
              <w:rPr>
                <w:rFonts w:ascii="Times New Roman" w:hAnsi="Times New Roman" w:eastAsia="宋体" w:cs="Times New Roman"/>
                <w:color w:val="000000" w:themeColor="text1"/>
                <w:kern w:val="0"/>
                <w:szCs w:val="21"/>
              </w:rPr>
              <w:t>°</w:t>
            </w:r>
            <w:r>
              <w:rPr>
                <w:rFonts w:hint="eastAsia" w:ascii="Times New Roman" w:hAnsi="Times New Roman" w:eastAsia="宋体" w:cs="Times New Roman"/>
                <w:color w:val="000000" w:themeColor="text1"/>
                <w:kern w:val="0"/>
                <w:szCs w:val="21"/>
              </w:rPr>
              <w:t>52</w:t>
            </w:r>
            <w:r>
              <w:rPr>
                <w:rFonts w:ascii="Times New Roman" w:hAnsi="Times New Roman" w:eastAsia="宋体" w:cs="Times New Roman"/>
                <w:color w:val="000000" w:themeColor="text1"/>
                <w:kern w:val="0"/>
                <w:szCs w:val="21"/>
              </w:rPr>
              <w:t>'</w:t>
            </w:r>
            <w:r>
              <w:rPr>
                <w:rFonts w:hint="eastAsia" w:ascii="Times New Roman" w:hAnsi="Times New Roman" w:eastAsia="宋体" w:cs="Times New Roman"/>
                <w:color w:val="000000" w:themeColor="text1"/>
                <w:kern w:val="0"/>
                <w:szCs w:val="21"/>
              </w:rPr>
              <w:t>59.92</w:t>
            </w:r>
            <w:r>
              <w:rPr>
                <w:rFonts w:ascii="Times New Roman" w:hAnsi="Times New Roman" w:eastAsia="宋体" w:cs="Times New Roman"/>
                <w:color w:val="000000" w:themeColor="text1"/>
                <w:kern w:val="0"/>
                <w:szCs w:val="21"/>
              </w:rPr>
              <w:t>"</w:t>
            </w:r>
          </w:p>
        </w:tc>
        <w:tc>
          <w:tcPr>
            <w:tcW w:w="441" w:type="dxa"/>
            <w:vMerge w:val="restart"/>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15</w:t>
            </w:r>
          </w:p>
        </w:tc>
        <w:tc>
          <w:tcPr>
            <w:tcW w:w="482" w:type="dxa"/>
            <w:vMerge w:val="restart"/>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0.5</w:t>
            </w:r>
          </w:p>
        </w:tc>
        <w:tc>
          <w:tcPr>
            <w:tcW w:w="1011" w:type="dxa"/>
            <w:vMerge w:val="restart"/>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14.15</w:t>
            </w:r>
          </w:p>
        </w:tc>
        <w:tc>
          <w:tcPr>
            <w:tcW w:w="486" w:type="dxa"/>
            <w:vMerge w:val="restart"/>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20</w:t>
            </w:r>
          </w:p>
        </w:tc>
        <w:tc>
          <w:tcPr>
            <w:tcW w:w="636" w:type="dxa"/>
            <w:vMerge w:val="restart"/>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8760</w:t>
            </w:r>
          </w:p>
        </w:tc>
        <w:tc>
          <w:tcPr>
            <w:tcW w:w="426" w:type="dxa"/>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正常</w:t>
            </w:r>
          </w:p>
        </w:tc>
        <w:tc>
          <w:tcPr>
            <w:tcW w:w="1010" w:type="dxa"/>
            <w:vAlign w:val="center"/>
          </w:tcPr>
          <w:p>
            <w:pPr>
              <w:spacing w:line="300" w:lineRule="exact"/>
              <w:jc w:val="center"/>
              <w:rPr>
                <w:rFonts w:ascii="Times New Roman" w:hAnsi="Times New Roman" w:eastAsia="宋体" w:cs="Times New Roman"/>
                <w:bCs/>
                <w:color w:val="000000" w:themeColor="text1"/>
                <w:kern w:val="0"/>
                <w:szCs w:val="21"/>
              </w:rPr>
            </w:pPr>
            <w:r>
              <w:rPr>
                <w:rFonts w:hint="eastAsia" w:ascii="Times New Roman" w:hAnsi="Times New Roman" w:eastAsia="宋体" w:cs="Times New Roman"/>
                <w:bCs/>
                <w:color w:val="000000" w:themeColor="text1"/>
                <w:kern w:val="0"/>
                <w:szCs w:val="21"/>
              </w:rPr>
              <w:t>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30" w:type="dxa"/>
            <w:vMerge w:val="continue"/>
            <w:vAlign w:val="center"/>
          </w:tcPr>
          <w:p>
            <w:pPr>
              <w:spacing w:line="300" w:lineRule="exact"/>
              <w:jc w:val="center"/>
              <w:rPr>
                <w:rFonts w:ascii="Times New Roman" w:hAnsi="Times New Roman" w:eastAsia="宋体" w:cs="Times New Roman"/>
                <w:bCs/>
                <w:color w:val="000000" w:themeColor="text1"/>
                <w:kern w:val="0"/>
                <w:szCs w:val="21"/>
              </w:rPr>
            </w:pPr>
          </w:p>
        </w:tc>
        <w:tc>
          <w:tcPr>
            <w:tcW w:w="659" w:type="dxa"/>
            <w:vAlign w:val="center"/>
          </w:tcPr>
          <w:p>
            <w:pPr>
              <w:spacing w:line="300" w:lineRule="exact"/>
              <w:jc w:val="center"/>
              <w:rPr>
                <w:rFonts w:ascii="Times New Roman" w:hAnsi="Times New Roman" w:eastAsia="宋体" w:cs="Times New Roman"/>
                <w:bCs/>
                <w:color w:val="000000" w:themeColor="text1"/>
                <w:kern w:val="0"/>
                <w:szCs w:val="21"/>
              </w:rPr>
            </w:pPr>
            <w:r>
              <w:rPr>
                <w:rFonts w:hint="eastAsia" w:ascii="Times New Roman" w:hAnsi="Times New Roman" w:eastAsia="宋体" w:cs="Times New Roman"/>
                <w:bCs/>
                <w:color w:val="000000" w:themeColor="text1"/>
                <w:kern w:val="0"/>
                <w:szCs w:val="21"/>
              </w:rPr>
              <w:t>硫化氢</w:t>
            </w:r>
          </w:p>
        </w:tc>
        <w:tc>
          <w:tcPr>
            <w:tcW w:w="1423" w:type="dxa"/>
            <w:vMerge w:val="continue"/>
            <w:vAlign w:val="center"/>
          </w:tcPr>
          <w:p>
            <w:pPr>
              <w:spacing w:line="240" w:lineRule="exact"/>
              <w:jc w:val="center"/>
              <w:rPr>
                <w:rFonts w:ascii="Times New Roman" w:hAnsi="Times New Roman" w:eastAsia="宋体" w:cs="Times New Roman"/>
                <w:color w:val="000000" w:themeColor="text1"/>
                <w:kern w:val="0"/>
                <w:szCs w:val="21"/>
              </w:rPr>
            </w:pPr>
          </w:p>
        </w:tc>
        <w:tc>
          <w:tcPr>
            <w:tcW w:w="1318" w:type="dxa"/>
            <w:vMerge w:val="continue"/>
            <w:vAlign w:val="center"/>
          </w:tcPr>
          <w:p>
            <w:pPr>
              <w:spacing w:line="240" w:lineRule="exact"/>
              <w:jc w:val="center"/>
              <w:rPr>
                <w:rFonts w:ascii="Times New Roman" w:hAnsi="Times New Roman" w:eastAsia="宋体" w:cs="Times New Roman"/>
                <w:color w:val="000000" w:themeColor="text1"/>
                <w:kern w:val="0"/>
                <w:szCs w:val="21"/>
              </w:rPr>
            </w:pPr>
          </w:p>
        </w:tc>
        <w:tc>
          <w:tcPr>
            <w:tcW w:w="441" w:type="dxa"/>
            <w:vMerge w:val="continue"/>
            <w:vAlign w:val="center"/>
          </w:tcPr>
          <w:p>
            <w:pPr>
              <w:spacing w:line="300" w:lineRule="exact"/>
              <w:jc w:val="center"/>
              <w:rPr>
                <w:rFonts w:ascii="Times New Roman" w:hAnsi="Times New Roman" w:eastAsia="宋体" w:cs="Times New Roman"/>
                <w:color w:val="000000" w:themeColor="text1"/>
                <w:kern w:val="0"/>
                <w:szCs w:val="21"/>
              </w:rPr>
            </w:pPr>
          </w:p>
        </w:tc>
        <w:tc>
          <w:tcPr>
            <w:tcW w:w="482" w:type="dxa"/>
            <w:vMerge w:val="continue"/>
            <w:vAlign w:val="center"/>
          </w:tcPr>
          <w:p>
            <w:pPr>
              <w:spacing w:line="300" w:lineRule="exact"/>
              <w:jc w:val="center"/>
              <w:rPr>
                <w:rFonts w:ascii="Times New Roman" w:hAnsi="Times New Roman" w:eastAsia="宋体" w:cs="Times New Roman"/>
                <w:color w:val="000000" w:themeColor="text1"/>
                <w:kern w:val="0"/>
                <w:szCs w:val="21"/>
              </w:rPr>
            </w:pPr>
          </w:p>
        </w:tc>
        <w:tc>
          <w:tcPr>
            <w:tcW w:w="1011" w:type="dxa"/>
            <w:vMerge w:val="continue"/>
            <w:vAlign w:val="center"/>
          </w:tcPr>
          <w:p>
            <w:pPr>
              <w:spacing w:line="300" w:lineRule="exact"/>
              <w:jc w:val="center"/>
              <w:rPr>
                <w:rFonts w:ascii="Times New Roman" w:hAnsi="Times New Roman" w:eastAsia="宋体" w:cs="Times New Roman"/>
                <w:color w:val="000000" w:themeColor="text1"/>
                <w:kern w:val="0"/>
                <w:szCs w:val="21"/>
              </w:rPr>
            </w:pPr>
          </w:p>
        </w:tc>
        <w:tc>
          <w:tcPr>
            <w:tcW w:w="486" w:type="dxa"/>
            <w:vMerge w:val="continue"/>
            <w:vAlign w:val="center"/>
          </w:tcPr>
          <w:p>
            <w:pPr>
              <w:spacing w:line="300" w:lineRule="exact"/>
              <w:jc w:val="center"/>
              <w:rPr>
                <w:rFonts w:ascii="Times New Roman" w:hAnsi="Times New Roman" w:eastAsia="宋体" w:cs="Times New Roman"/>
                <w:color w:val="000000" w:themeColor="text1"/>
                <w:kern w:val="0"/>
                <w:szCs w:val="21"/>
              </w:rPr>
            </w:pPr>
          </w:p>
        </w:tc>
        <w:tc>
          <w:tcPr>
            <w:tcW w:w="636" w:type="dxa"/>
            <w:vMerge w:val="continue"/>
            <w:vAlign w:val="center"/>
          </w:tcPr>
          <w:p>
            <w:pPr>
              <w:spacing w:line="300" w:lineRule="exact"/>
              <w:jc w:val="center"/>
              <w:rPr>
                <w:rFonts w:ascii="Times New Roman" w:hAnsi="Times New Roman" w:eastAsia="宋体" w:cs="Times New Roman"/>
                <w:color w:val="000000" w:themeColor="text1"/>
                <w:kern w:val="0"/>
                <w:szCs w:val="21"/>
              </w:rPr>
            </w:pPr>
          </w:p>
        </w:tc>
        <w:tc>
          <w:tcPr>
            <w:tcW w:w="426" w:type="dxa"/>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正常</w:t>
            </w:r>
          </w:p>
        </w:tc>
        <w:tc>
          <w:tcPr>
            <w:tcW w:w="1010" w:type="dxa"/>
            <w:vAlign w:val="center"/>
          </w:tcPr>
          <w:p>
            <w:pPr>
              <w:spacing w:line="300" w:lineRule="exact"/>
              <w:jc w:val="center"/>
              <w:rPr>
                <w:rFonts w:ascii="Times New Roman" w:hAnsi="Times New Roman" w:eastAsia="宋体" w:cs="Times New Roman"/>
                <w:bCs/>
                <w:color w:val="000000" w:themeColor="text1"/>
                <w:kern w:val="0"/>
                <w:szCs w:val="21"/>
              </w:rPr>
            </w:pPr>
            <w:r>
              <w:rPr>
                <w:rFonts w:hint="eastAsia" w:ascii="Times New Roman" w:hAnsi="Times New Roman" w:eastAsia="宋体" w:cs="Times New Roman"/>
                <w:bCs/>
                <w:color w:val="000000" w:themeColor="text1"/>
                <w:kern w:val="0"/>
                <w:szCs w:val="21"/>
              </w:rPr>
              <w:t>0.003</w:t>
            </w:r>
          </w:p>
        </w:tc>
      </w:tr>
    </w:tbl>
    <w:p>
      <w:pPr>
        <w:overflowPunct w:val="0"/>
        <w:spacing w:line="360" w:lineRule="auto"/>
        <w:ind w:firstLine="482" w:firstLineChars="200"/>
        <w:jc w:val="center"/>
        <w:rPr>
          <w:rFonts w:ascii="Times New Roman" w:hAnsi="Times New Roman" w:eastAsia="宋体"/>
          <w:b/>
          <w:color w:val="000000" w:themeColor="text1"/>
          <w:sz w:val="24"/>
          <w:szCs w:val="24"/>
        </w:rPr>
      </w:pPr>
      <w:r>
        <w:rPr>
          <w:rFonts w:hint="eastAsia" w:ascii="Times New Roman" w:hAnsi="Times New Roman" w:eastAsia="宋体"/>
          <w:b/>
          <w:color w:val="000000" w:themeColor="text1"/>
          <w:sz w:val="24"/>
          <w:szCs w:val="24"/>
        </w:rPr>
        <w:t>表</w:t>
      </w:r>
      <w:r>
        <w:rPr>
          <w:rFonts w:ascii="Times New Roman" w:hAnsi="Times New Roman" w:eastAsia="宋体"/>
          <w:b/>
          <w:color w:val="000000" w:themeColor="text1"/>
          <w:sz w:val="24"/>
          <w:szCs w:val="24"/>
        </w:rPr>
        <w:t>2-</w:t>
      </w:r>
      <w:r>
        <w:rPr>
          <w:rFonts w:hint="eastAsia" w:ascii="Times New Roman" w:hAnsi="Times New Roman" w:eastAsia="宋体"/>
          <w:b/>
          <w:color w:val="000000" w:themeColor="text1"/>
          <w:sz w:val="24"/>
          <w:szCs w:val="24"/>
        </w:rPr>
        <w:t>5  面源估算模式计算参数取值一览表</w:t>
      </w:r>
    </w:p>
    <w:tbl>
      <w:tblPr>
        <w:tblStyle w:val="27"/>
        <w:tblW w:w="8522"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39"/>
        <w:gridCol w:w="1056"/>
        <w:gridCol w:w="1424"/>
        <w:gridCol w:w="1318"/>
        <w:gridCol w:w="794"/>
        <w:gridCol w:w="426"/>
        <w:gridCol w:w="426"/>
        <w:gridCol w:w="547"/>
        <w:gridCol w:w="479"/>
        <w:gridCol w:w="1023"/>
        <w:gridCol w:w="59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440" w:hRule="atLeast"/>
          <w:jc w:val="center"/>
        </w:trPr>
        <w:tc>
          <w:tcPr>
            <w:tcW w:w="439" w:type="dxa"/>
            <w:vMerge w:val="restart"/>
            <w:tcBorders>
              <w:top w:val="single" w:color="auto" w:sz="6" w:space="0"/>
              <w:left w:val="single" w:color="auto" w:sz="6" w:space="0"/>
              <w:bottom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污染源名称</w:t>
            </w:r>
          </w:p>
        </w:tc>
        <w:tc>
          <w:tcPr>
            <w:tcW w:w="1056" w:type="dxa"/>
            <w:vMerge w:val="restart"/>
            <w:tcBorders>
              <w:top w:val="single" w:color="auto" w:sz="6" w:space="0"/>
              <w:left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污染物</w:t>
            </w:r>
          </w:p>
        </w:tc>
        <w:tc>
          <w:tcPr>
            <w:tcW w:w="2742" w:type="dxa"/>
            <w:gridSpan w:val="2"/>
            <w:tcBorders>
              <w:top w:val="single" w:color="auto" w:sz="6" w:space="0"/>
              <w:left w:val="single" w:color="auto" w:sz="6" w:space="0"/>
              <w:bottom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坐标</w:t>
            </w:r>
          </w:p>
        </w:tc>
        <w:tc>
          <w:tcPr>
            <w:tcW w:w="794" w:type="dxa"/>
            <w:vMerge w:val="restart"/>
            <w:tcBorders>
              <w:top w:val="single" w:color="auto" w:sz="6" w:space="0"/>
              <w:left w:val="single" w:color="auto" w:sz="6" w:space="0"/>
              <w:bottom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海拔高度</w:t>
            </w:r>
            <w:r>
              <w:rPr>
                <w:rFonts w:ascii="Times New Roman" w:hAnsi="Times New Roman" w:eastAsia="宋体" w:cs="Times New Roman"/>
                <w:color w:val="000000" w:themeColor="text1"/>
                <w:kern w:val="0"/>
                <w:szCs w:val="21"/>
              </w:rPr>
              <w:t>/m</w:t>
            </w:r>
          </w:p>
        </w:tc>
        <w:tc>
          <w:tcPr>
            <w:tcW w:w="1878" w:type="dxa"/>
            <w:gridSpan w:val="4"/>
            <w:tcBorders>
              <w:top w:val="single" w:color="auto" w:sz="6" w:space="0"/>
              <w:left w:val="single" w:color="auto" w:sz="6" w:space="0"/>
              <w:bottom w:val="single" w:color="auto" w:sz="6" w:space="0"/>
              <w:right w:val="single" w:color="auto" w:sz="6" w:space="0"/>
            </w:tcBorders>
            <w:vAlign w:val="center"/>
          </w:tcPr>
          <w:p>
            <w:pPr>
              <w:snapToGrid w:val="0"/>
              <w:spacing w:line="240" w:lineRule="exact"/>
              <w:ind w:firstLine="422"/>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矩形面源</w:t>
            </w:r>
          </w:p>
        </w:tc>
        <w:tc>
          <w:tcPr>
            <w:tcW w:w="1023" w:type="dxa"/>
            <w:vMerge w:val="restart"/>
            <w:tcBorders>
              <w:top w:val="single" w:color="auto" w:sz="6" w:space="0"/>
              <w:left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污染物排放</w:t>
            </w:r>
          </w:p>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速率</w:t>
            </w:r>
          </w:p>
        </w:tc>
        <w:tc>
          <w:tcPr>
            <w:tcW w:w="590" w:type="dxa"/>
            <w:vMerge w:val="restart"/>
            <w:tcBorders>
              <w:top w:val="single" w:color="auto" w:sz="6" w:space="0"/>
              <w:left w:val="single" w:color="auto" w:sz="6" w:space="0"/>
              <w:bottom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单位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439" w:type="dxa"/>
            <w:vMerge w:val="continue"/>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宋体" w:cs="Times New Roman"/>
                <w:color w:val="000000" w:themeColor="text1"/>
                <w:szCs w:val="21"/>
              </w:rPr>
            </w:pPr>
          </w:p>
        </w:tc>
        <w:tc>
          <w:tcPr>
            <w:tcW w:w="1056" w:type="dxa"/>
            <w:vMerge w:val="continue"/>
            <w:tcBorders>
              <w:left w:val="single" w:color="auto" w:sz="6" w:space="0"/>
              <w:bottom w:val="single" w:color="auto" w:sz="6" w:space="0"/>
              <w:right w:val="single" w:color="auto" w:sz="6" w:space="0"/>
            </w:tcBorders>
            <w:vAlign w:val="center"/>
          </w:tcPr>
          <w:p>
            <w:pPr>
              <w:widowControl/>
              <w:spacing w:line="240" w:lineRule="exact"/>
              <w:jc w:val="center"/>
              <w:rPr>
                <w:rFonts w:ascii="Times New Roman" w:hAnsi="Times New Roman" w:eastAsia="宋体" w:cs="Times New Roman"/>
                <w:color w:val="000000" w:themeColor="text1"/>
                <w:kern w:val="0"/>
                <w:szCs w:val="21"/>
              </w:rPr>
            </w:pPr>
          </w:p>
        </w:tc>
        <w:tc>
          <w:tcPr>
            <w:tcW w:w="1424"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东经</w:t>
            </w:r>
          </w:p>
        </w:tc>
        <w:tc>
          <w:tcPr>
            <w:tcW w:w="1318"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北纬</w:t>
            </w:r>
          </w:p>
        </w:tc>
        <w:tc>
          <w:tcPr>
            <w:tcW w:w="794" w:type="dxa"/>
            <w:vMerge w:val="continue"/>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宋体" w:cs="Times New Roman"/>
                <w:color w:val="000000" w:themeColor="text1"/>
                <w:szCs w:val="21"/>
              </w:rPr>
            </w:pPr>
          </w:p>
        </w:tc>
        <w:tc>
          <w:tcPr>
            <w:tcW w:w="426" w:type="dxa"/>
            <w:tcBorders>
              <w:top w:val="single" w:color="auto" w:sz="6" w:space="0"/>
              <w:left w:val="single" w:color="auto" w:sz="6" w:space="0"/>
              <w:bottom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长度</w:t>
            </w:r>
          </w:p>
        </w:tc>
        <w:tc>
          <w:tcPr>
            <w:tcW w:w="426" w:type="dxa"/>
            <w:tcBorders>
              <w:top w:val="single" w:color="auto" w:sz="6" w:space="0"/>
              <w:left w:val="single" w:color="auto" w:sz="6" w:space="0"/>
              <w:bottom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宽度</w:t>
            </w:r>
          </w:p>
        </w:tc>
        <w:tc>
          <w:tcPr>
            <w:tcW w:w="547" w:type="dxa"/>
            <w:tcBorders>
              <w:top w:val="single" w:color="auto" w:sz="6" w:space="0"/>
              <w:left w:val="single" w:color="auto" w:sz="6" w:space="0"/>
              <w:bottom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与正北向夹角</w:t>
            </w:r>
            <w:r>
              <w:rPr>
                <w:rFonts w:ascii="Times New Roman" w:hAnsi="Times New Roman" w:eastAsia="宋体" w:cs="Times New Roman"/>
                <w:color w:val="000000" w:themeColor="text1"/>
                <w:kern w:val="0"/>
                <w:szCs w:val="21"/>
              </w:rPr>
              <w:t>/</w:t>
            </w:r>
            <w:r>
              <w:rPr>
                <w:rFonts w:hint="eastAsia" w:ascii="Times New Roman" w:hAnsi="Times New Roman" w:eastAsia="宋体" w:cs="Times New Roman"/>
                <w:color w:val="000000" w:themeColor="text1"/>
                <w:kern w:val="0"/>
                <w:szCs w:val="21"/>
              </w:rPr>
              <w:t>°</w:t>
            </w:r>
          </w:p>
        </w:tc>
        <w:tc>
          <w:tcPr>
            <w:tcW w:w="479" w:type="dxa"/>
            <w:tcBorders>
              <w:top w:val="single" w:color="auto" w:sz="6" w:space="0"/>
              <w:left w:val="single" w:color="auto" w:sz="6" w:space="0"/>
              <w:bottom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有效</w:t>
            </w:r>
          </w:p>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高度</w:t>
            </w:r>
          </w:p>
        </w:tc>
        <w:tc>
          <w:tcPr>
            <w:tcW w:w="1023" w:type="dxa"/>
            <w:vMerge w:val="continue"/>
            <w:tcBorders>
              <w:left w:val="single" w:color="auto" w:sz="6" w:space="0"/>
              <w:bottom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bCs/>
                <w:color w:val="000000" w:themeColor="text1"/>
                <w:szCs w:val="21"/>
              </w:rPr>
            </w:pPr>
          </w:p>
        </w:tc>
        <w:tc>
          <w:tcPr>
            <w:tcW w:w="590" w:type="dxa"/>
            <w:vMerge w:val="continue"/>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宋体" w:cs="Times New Roman"/>
                <w:color w:val="000000" w:themeColor="text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447" w:hRule="atLeast"/>
          <w:jc w:val="center"/>
        </w:trPr>
        <w:tc>
          <w:tcPr>
            <w:tcW w:w="439" w:type="dxa"/>
            <w:vMerge w:val="restart"/>
            <w:tcBorders>
              <w:top w:val="single" w:color="auto" w:sz="6" w:space="0"/>
              <w:left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医院污水处理站</w:t>
            </w:r>
          </w:p>
        </w:tc>
        <w:tc>
          <w:tcPr>
            <w:tcW w:w="1056" w:type="dxa"/>
            <w:tcBorders>
              <w:top w:val="single" w:color="auto" w:sz="6" w:space="0"/>
              <w:left w:val="single" w:color="auto" w:sz="6" w:space="0"/>
              <w:right w:val="single" w:color="auto" w:sz="6" w:space="0"/>
            </w:tcBorders>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bCs/>
                <w:color w:val="000000" w:themeColor="text1"/>
                <w:kern w:val="0"/>
                <w:szCs w:val="21"/>
              </w:rPr>
              <w:t>氨</w:t>
            </w:r>
          </w:p>
        </w:tc>
        <w:tc>
          <w:tcPr>
            <w:tcW w:w="1424" w:type="dxa"/>
            <w:vMerge w:val="restart"/>
            <w:tcBorders>
              <w:top w:val="single" w:color="auto" w:sz="6" w:space="0"/>
              <w:left w:val="single" w:color="auto" w:sz="6" w:space="0"/>
              <w:right w:val="single" w:color="auto" w:sz="6" w:space="0"/>
            </w:tcBorders>
            <w:vAlign w:val="center"/>
          </w:tcPr>
          <w:p>
            <w:pPr>
              <w:spacing w:line="24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kern w:val="0"/>
                <w:szCs w:val="21"/>
              </w:rPr>
              <w:t>115°</w:t>
            </w:r>
            <w:r>
              <w:rPr>
                <w:rFonts w:hint="eastAsia" w:ascii="Times New Roman" w:hAnsi="Times New Roman" w:eastAsia="宋体" w:cs="Times New Roman"/>
                <w:color w:val="000000" w:themeColor="text1"/>
                <w:kern w:val="0"/>
                <w:szCs w:val="21"/>
              </w:rPr>
              <w:t>30</w:t>
            </w:r>
            <w:r>
              <w:rPr>
                <w:rFonts w:ascii="Times New Roman" w:hAnsi="Times New Roman" w:eastAsia="宋体" w:cs="Times New Roman"/>
                <w:color w:val="000000" w:themeColor="text1"/>
                <w:kern w:val="0"/>
                <w:szCs w:val="21"/>
              </w:rPr>
              <w:t>'</w:t>
            </w:r>
            <w:r>
              <w:rPr>
                <w:rFonts w:hint="eastAsia" w:ascii="Times New Roman" w:hAnsi="Times New Roman" w:eastAsia="宋体" w:cs="Times New Roman"/>
                <w:color w:val="000000" w:themeColor="text1"/>
                <w:kern w:val="0"/>
                <w:szCs w:val="21"/>
              </w:rPr>
              <w:t>15.96</w:t>
            </w:r>
            <w:r>
              <w:rPr>
                <w:rFonts w:ascii="Times New Roman" w:hAnsi="Times New Roman" w:eastAsia="宋体" w:cs="Times New Roman"/>
                <w:color w:val="000000" w:themeColor="text1"/>
                <w:kern w:val="0"/>
                <w:szCs w:val="21"/>
              </w:rPr>
              <w:t>"</w:t>
            </w:r>
          </w:p>
        </w:tc>
        <w:tc>
          <w:tcPr>
            <w:tcW w:w="1318" w:type="dxa"/>
            <w:vMerge w:val="restart"/>
            <w:tcBorders>
              <w:top w:val="single" w:color="auto" w:sz="6" w:space="0"/>
              <w:left w:val="single" w:color="auto" w:sz="6" w:space="0"/>
              <w:right w:val="single" w:color="auto" w:sz="6" w:space="0"/>
            </w:tcBorders>
            <w:vAlign w:val="center"/>
          </w:tcPr>
          <w:p>
            <w:pPr>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38</w:t>
            </w:r>
            <w:r>
              <w:rPr>
                <w:rFonts w:ascii="Times New Roman" w:hAnsi="Times New Roman" w:eastAsia="宋体" w:cs="Times New Roman"/>
                <w:color w:val="000000" w:themeColor="text1"/>
                <w:kern w:val="0"/>
                <w:szCs w:val="21"/>
              </w:rPr>
              <w:t>°</w:t>
            </w:r>
            <w:r>
              <w:rPr>
                <w:rFonts w:hint="eastAsia" w:ascii="Times New Roman" w:hAnsi="Times New Roman" w:eastAsia="宋体" w:cs="Times New Roman"/>
                <w:color w:val="000000" w:themeColor="text1"/>
                <w:kern w:val="0"/>
                <w:szCs w:val="21"/>
              </w:rPr>
              <w:t>52</w:t>
            </w:r>
            <w:r>
              <w:rPr>
                <w:rFonts w:ascii="Times New Roman" w:hAnsi="Times New Roman" w:eastAsia="宋体" w:cs="Times New Roman"/>
                <w:color w:val="000000" w:themeColor="text1"/>
                <w:kern w:val="0"/>
                <w:szCs w:val="21"/>
              </w:rPr>
              <w:t>'</w:t>
            </w:r>
            <w:r>
              <w:rPr>
                <w:rFonts w:hint="eastAsia" w:ascii="Times New Roman" w:hAnsi="Times New Roman" w:eastAsia="宋体" w:cs="Times New Roman"/>
                <w:color w:val="000000" w:themeColor="text1"/>
                <w:kern w:val="0"/>
                <w:szCs w:val="21"/>
              </w:rPr>
              <w:t>59.92</w:t>
            </w:r>
            <w:r>
              <w:rPr>
                <w:rFonts w:ascii="Times New Roman" w:hAnsi="Times New Roman" w:eastAsia="宋体" w:cs="Times New Roman"/>
                <w:color w:val="000000" w:themeColor="text1"/>
                <w:kern w:val="0"/>
                <w:szCs w:val="21"/>
              </w:rPr>
              <w:t>"</w:t>
            </w:r>
          </w:p>
        </w:tc>
        <w:tc>
          <w:tcPr>
            <w:tcW w:w="794" w:type="dxa"/>
            <w:vMerge w:val="restart"/>
            <w:tcBorders>
              <w:top w:val="single" w:color="auto" w:sz="6" w:space="0"/>
              <w:left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23.266</w:t>
            </w:r>
          </w:p>
        </w:tc>
        <w:tc>
          <w:tcPr>
            <w:tcW w:w="426" w:type="dxa"/>
            <w:vMerge w:val="restart"/>
            <w:tcBorders>
              <w:top w:val="single" w:color="auto" w:sz="6" w:space="0"/>
              <w:left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48</w:t>
            </w:r>
          </w:p>
        </w:tc>
        <w:tc>
          <w:tcPr>
            <w:tcW w:w="426" w:type="dxa"/>
            <w:vMerge w:val="restart"/>
            <w:tcBorders>
              <w:top w:val="single" w:color="auto" w:sz="6" w:space="0"/>
              <w:left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20</w:t>
            </w:r>
          </w:p>
        </w:tc>
        <w:tc>
          <w:tcPr>
            <w:tcW w:w="547" w:type="dxa"/>
            <w:vMerge w:val="restart"/>
            <w:tcBorders>
              <w:top w:val="single" w:color="auto" w:sz="6" w:space="0"/>
              <w:left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szCs w:val="21"/>
                <w:highlight w:val="yellow"/>
              </w:rPr>
            </w:pPr>
            <w:r>
              <w:rPr>
                <w:rFonts w:ascii="Times New Roman" w:hAnsi="Times New Roman" w:eastAsia="宋体" w:cs="Times New Roman"/>
                <w:color w:val="000000" w:themeColor="text1"/>
                <w:kern w:val="0"/>
                <w:szCs w:val="21"/>
              </w:rPr>
              <w:t>110</w:t>
            </w:r>
          </w:p>
        </w:tc>
        <w:tc>
          <w:tcPr>
            <w:tcW w:w="479" w:type="dxa"/>
            <w:vMerge w:val="restart"/>
            <w:tcBorders>
              <w:top w:val="single" w:color="auto" w:sz="6" w:space="0"/>
              <w:left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3.0</w:t>
            </w:r>
          </w:p>
        </w:tc>
        <w:tc>
          <w:tcPr>
            <w:tcW w:w="1023" w:type="dxa"/>
            <w:tcBorders>
              <w:top w:val="single" w:color="auto" w:sz="6" w:space="0"/>
              <w:left w:val="single" w:color="auto" w:sz="6" w:space="0"/>
              <w:right w:val="single" w:color="auto" w:sz="6" w:space="0"/>
            </w:tcBorders>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0.013</w:t>
            </w:r>
          </w:p>
        </w:tc>
        <w:tc>
          <w:tcPr>
            <w:tcW w:w="590" w:type="dxa"/>
            <w:tcBorders>
              <w:top w:val="single" w:color="auto" w:sz="6" w:space="0"/>
              <w:left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kern w:val="0"/>
                <w:szCs w:val="21"/>
              </w:rPr>
              <w:t>kg/h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439" w:type="dxa"/>
            <w:vMerge w:val="continue"/>
            <w:tcBorders>
              <w:left w:val="single" w:color="auto" w:sz="6" w:space="0"/>
              <w:bottom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kern w:val="0"/>
                <w:szCs w:val="21"/>
              </w:rPr>
            </w:pPr>
          </w:p>
        </w:tc>
        <w:tc>
          <w:tcPr>
            <w:tcW w:w="1056"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bCs/>
                <w:color w:val="000000" w:themeColor="text1"/>
                <w:kern w:val="0"/>
                <w:szCs w:val="21"/>
              </w:rPr>
              <w:t>硫化氢</w:t>
            </w:r>
          </w:p>
        </w:tc>
        <w:tc>
          <w:tcPr>
            <w:tcW w:w="1424" w:type="dxa"/>
            <w:vMerge w:val="continue"/>
            <w:tcBorders>
              <w:left w:val="single" w:color="auto" w:sz="6" w:space="0"/>
              <w:bottom w:val="single" w:color="auto" w:sz="6" w:space="0"/>
              <w:right w:val="single" w:color="auto" w:sz="6" w:space="0"/>
            </w:tcBorders>
            <w:vAlign w:val="center"/>
          </w:tcPr>
          <w:p>
            <w:pPr>
              <w:spacing w:line="240" w:lineRule="exact"/>
              <w:jc w:val="center"/>
              <w:rPr>
                <w:rFonts w:ascii="Times New Roman" w:hAnsi="Times New Roman" w:eastAsia="宋体" w:cs="Times New Roman"/>
                <w:color w:val="000000" w:themeColor="text1"/>
                <w:kern w:val="0"/>
                <w:szCs w:val="21"/>
              </w:rPr>
            </w:pPr>
          </w:p>
        </w:tc>
        <w:tc>
          <w:tcPr>
            <w:tcW w:w="1318" w:type="dxa"/>
            <w:vMerge w:val="continue"/>
            <w:tcBorders>
              <w:left w:val="single" w:color="auto" w:sz="6" w:space="0"/>
              <w:bottom w:val="single" w:color="auto" w:sz="6" w:space="0"/>
              <w:right w:val="single" w:color="auto" w:sz="6" w:space="0"/>
            </w:tcBorders>
            <w:vAlign w:val="center"/>
          </w:tcPr>
          <w:p>
            <w:pPr>
              <w:spacing w:line="240" w:lineRule="exact"/>
              <w:jc w:val="center"/>
              <w:rPr>
                <w:rFonts w:ascii="Times New Roman" w:hAnsi="Times New Roman" w:eastAsia="宋体" w:cs="Times New Roman"/>
                <w:color w:val="000000" w:themeColor="text1"/>
                <w:kern w:val="0"/>
                <w:szCs w:val="21"/>
              </w:rPr>
            </w:pPr>
          </w:p>
        </w:tc>
        <w:tc>
          <w:tcPr>
            <w:tcW w:w="794" w:type="dxa"/>
            <w:vMerge w:val="continue"/>
            <w:tcBorders>
              <w:left w:val="single" w:color="auto" w:sz="6" w:space="0"/>
              <w:bottom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kern w:val="0"/>
                <w:szCs w:val="21"/>
              </w:rPr>
            </w:pPr>
          </w:p>
        </w:tc>
        <w:tc>
          <w:tcPr>
            <w:tcW w:w="426" w:type="dxa"/>
            <w:vMerge w:val="continue"/>
            <w:tcBorders>
              <w:left w:val="single" w:color="auto" w:sz="6" w:space="0"/>
              <w:bottom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kern w:val="0"/>
                <w:szCs w:val="21"/>
              </w:rPr>
            </w:pPr>
          </w:p>
        </w:tc>
        <w:tc>
          <w:tcPr>
            <w:tcW w:w="426" w:type="dxa"/>
            <w:vMerge w:val="continue"/>
            <w:tcBorders>
              <w:left w:val="single" w:color="auto" w:sz="6" w:space="0"/>
              <w:bottom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kern w:val="0"/>
                <w:szCs w:val="21"/>
              </w:rPr>
            </w:pPr>
          </w:p>
        </w:tc>
        <w:tc>
          <w:tcPr>
            <w:tcW w:w="547" w:type="dxa"/>
            <w:vMerge w:val="continue"/>
            <w:tcBorders>
              <w:left w:val="single" w:color="auto" w:sz="6" w:space="0"/>
              <w:bottom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kern w:val="0"/>
                <w:szCs w:val="21"/>
              </w:rPr>
            </w:pPr>
          </w:p>
        </w:tc>
        <w:tc>
          <w:tcPr>
            <w:tcW w:w="479" w:type="dxa"/>
            <w:vMerge w:val="continue"/>
            <w:tcBorders>
              <w:left w:val="single" w:color="auto" w:sz="6" w:space="0"/>
              <w:bottom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kern w:val="0"/>
                <w:szCs w:val="21"/>
              </w:rPr>
            </w:pPr>
          </w:p>
        </w:tc>
        <w:tc>
          <w:tcPr>
            <w:tcW w:w="1023"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0.0006</w:t>
            </w:r>
          </w:p>
        </w:tc>
        <w:tc>
          <w:tcPr>
            <w:tcW w:w="590" w:type="dxa"/>
            <w:tcBorders>
              <w:top w:val="single" w:color="auto" w:sz="6" w:space="0"/>
              <w:left w:val="single" w:color="auto" w:sz="6" w:space="0"/>
              <w:bottom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kg/h</w:t>
            </w:r>
          </w:p>
        </w:tc>
      </w:tr>
    </w:tbl>
    <w:p>
      <w:pPr>
        <w:spacing w:line="480" w:lineRule="exact"/>
        <w:ind w:firstLine="422" w:firstLineChars="176"/>
        <w:rPr>
          <w:rFonts w:ascii="Times New Roman" w:hAnsi="Times New Roman" w:eastAsia="宋体" w:cs="Times New Roman"/>
          <w:color w:val="000000" w:themeColor="text1"/>
          <w:kern w:val="0"/>
          <w:sz w:val="24"/>
          <w:szCs w:val="24"/>
        </w:rPr>
      </w:pPr>
      <w:r>
        <w:rPr>
          <w:rFonts w:hint="eastAsia" w:ascii="Times New Roman" w:hAnsi="Times New Roman" w:eastAsia="宋体" w:cs="Times New Roman"/>
          <w:color w:val="000000" w:themeColor="text1"/>
          <w:kern w:val="0"/>
          <w:sz w:val="24"/>
          <w:szCs w:val="24"/>
        </w:rPr>
        <w:t>估算模型所用参数见表2-6。</w:t>
      </w:r>
    </w:p>
    <w:p>
      <w:pPr>
        <w:tabs>
          <w:tab w:val="left" w:pos="420"/>
        </w:tabs>
        <w:spacing w:line="340" w:lineRule="exact"/>
        <w:jc w:val="center"/>
        <w:rPr>
          <w:rFonts w:ascii="Times New Roman" w:hAnsi="宋体" w:eastAsia="宋体" w:cs="Times New Roman"/>
          <w:b/>
          <w:color w:val="FF0000"/>
          <w:kern w:val="0"/>
          <w:sz w:val="24"/>
          <w:szCs w:val="24"/>
        </w:rPr>
      </w:pPr>
    </w:p>
    <w:p>
      <w:pPr>
        <w:tabs>
          <w:tab w:val="left" w:pos="420"/>
        </w:tabs>
        <w:spacing w:line="340" w:lineRule="exact"/>
        <w:jc w:val="center"/>
        <w:rPr>
          <w:rFonts w:ascii="Times New Roman" w:hAnsi="宋体" w:eastAsia="宋体" w:cs="Times New Roman"/>
          <w:b/>
          <w:color w:val="FF0000"/>
          <w:kern w:val="0"/>
          <w:sz w:val="24"/>
          <w:szCs w:val="24"/>
        </w:rPr>
      </w:pPr>
    </w:p>
    <w:p>
      <w:pPr>
        <w:tabs>
          <w:tab w:val="left" w:pos="420"/>
        </w:tabs>
        <w:spacing w:line="340" w:lineRule="exact"/>
        <w:jc w:val="center"/>
        <w:rPr>
          <w:rFonts w:ascii="Times New Roman" w:hAnsi="宋体" w:eastAsia="宋体" w:cs="Times New Roman"/>
          <w:b/>
          <w:color w:val="FF0000"/>
          <w:kern w:val="0"/>
          <w:sz w:val="24"/>
          <w:szCs w:val="24"/>
        </w:rPr>
      </w:pPr>
    </w:p>
    <w:p>
      <w:pPr>
        <w:tabs>
          <w:tab w:val="left" w:pos="420"/>
        </w:tabs>
        <w:spacing w:line="340" w:lineRule="exact"/>
        <w:jc w:val="center"/>
        <w:rPr>
          <w:rFonts w:ascii="Times New Roman" w:hAnsi="宋体" w:eastAsia="宋体" w:cs="Times New Roman"/>
          <w:b/>
          <w:color w:val="FF0000"/>
          <w:kern w:val="0"/>
          <w:sz w:val="24"/>
          <w:szCs w:val="24"/>
        </w:rPr>
      </w:pPr>
    </w:p>
    <w:p>
      <w:pPr>
        <w:tabs>
          <w:tab w:val="left" w:pos="420"/>
        </w:tabs>
        <w:spacing w:line="340" w:lineRule="exact"/>
        <w:jc w:val="center"/>
        <w:rPr>
          <w:rFonts w:ascii="Times New Roman" w:hAnsi="宋体" w:eastAsia="宋体" w:cs="Times New Roman"/>
          <w:b/>
          <w:color w:val="FF0000"/>
          <w:kern w:val="0"/>
          <w:sz w:val="24"/>
          <w:szCs w:val="24"/>
        </w:rPr>
      </w:pPr>
    </w:p>
    <w:p>
      <w:pPr>
        <w:tabs>
          <w:tab w:val="left" w:pos="420"/>
        </w:tabs>
        <w:spacing w:line="340" w:lineRule="exact"/>
        <w:jc w:val="center"/>
        <w:rPr>
          <w:rFonts w:ascii="Times New Roman" w:hAnsi="宋体" w:eastAsia="宋体" w:cs="Times New Roman"/>
          <w:b/>
          <w:color w:val="FF0000"/>
          <w:kern w:val="0"/>
          <w:sz w:val="24"/>
          <w:szCs w:val="24"/>
        </w:rPr>
      </w:pPr>
    </w:p>
    <w:p>
      <w:pPr>
        <w:tabs>
          <w:tab w:val="left" w:pos="420"/>
        </w:tabs>
        <w:spacing w:line="340" w:lineRule="exact"/>
        <w:jc w:val="center"/>
        <w:rPr>
          <w:rFonts w:ascii="Times New Roman" w:hAnsi="宋体" w:eastAsia="宋体" w:cs="Times New Roman"/>
          <w:b/>
          <w:color w:val="FF0000"/>
          <w:kern w:val="0"/>
          <w:sz w:val="24"/>
          <w:szCs w:val="24"/>
        </w:rPr>
      </w:pPr>
    </w:p>
    <w:p>
      <w:pPr>
        <w:tabs>
          <w:tab w:val="left" w:pos="420"/>
        </w:tabs>
        <w:spacing w:line="340" w:lineRule="exact"/>
        <w:jc w:val="center"/>
        <w:rPr>
          <w:rFonts w:ascii="Times New Roman" w:hAnsi="宋体" w:eastAsia="宋体" w:cs="Times New Roman"/>
          <w:b/>
          <w:color w:val="FF0000"/>
          <w:kern w:val="0"/>
          <w:sz w:val="24"/>
          <w:szCs w:val="24"/>
        </w:rPr>
      </w:pPr>
    </w:p>
    <w:p>
      <w:pPr>
        <w:tabs>
          <w:tab w:val="left" w:pos="420"/>
        </w:tabs>
        <w:spacing w:line="340" w:lineRule="exact"/>
        <w:jc w:val="center"/>
        <w:rPr>
          <w:rFonts w:ascii="Times New Roman" w:hAnsi="宋体" w:eastAsia="宋体" w:cs="Times New Roman"/>
          <w:b/>
          <w:color w:val="FF0000"/>
          <w:kern w:val="0"/>
          <w:sz w:val="24"/>
          <w:szCs w:val="24"/>
        </w:rPr>
      </w:pPr>
    </w:p>
    <w:p>
      <w:pPr>
        <w:tabs>
          <w:tab w:val="left" w:pos="420"/>
        </w:tabs>
        <w:spacing w:line="340" w:lineRule="exact"/>
        <w:jc w:val="center"/>
        <w:rPr>
          <w:rFonts w:ascii="Times New Roman" w:hAnsi="宋体" w:eastAsia="宋体" w:cs="Times New Roman"/>
          <w:b/>
          <w:color w:val="FF0000"/>
          <w:kern w:val="0"/>
          <w:sz w:val="24"/>
          <w:szCs w:val="24"/>
        </w:rPr>
      </w:pPr>
    </w:p>
    <w:p>
      <w:pPr>
        <w:tabs>
          <w:tab w:val="left" w:pos="420"/>
        </w:tabs>
        <w:spacing w:line="340" w:lineRule="exact"/>
        <w:rPr>
          <w:rFonts w:ascii="Times New Roman" w:hAnsi="宋体" w:eastAsia="宋体" w:cs="Times New Roman"/>
          <w:b/>
          <w:color w:val="FF0000"/>
          <w:kern w:val="0"/>
          <w:sz w:val="24"/>
          <w:szCs w:val="24"/>
        </w:rPr>
      </w:pPr>
    </w:p>
    <w:p>
      <w:pPr>
        <w:tabs>
          <w:tab w:val="left" w:pos="420"/>
        </w:tabs>
        <w:spacing w:line="340" w:lineRule="exact"/>
        <w:jc w:val="center"/>
        <w:rPr>
          <w:rFonts w:ascii="Times New Roman" w:hAnsi="Times New Roman" w:eastAsia="宋体" w:cs="Times New Roman"/>
          <w:b/>
          <w:color w:val="000000" w:themeColor="text1"/>
          <w:kern w:val="0"/>
          <w:sz w:val="24"/>
          <w:szCs w:val="24"/>
        </w:rPr>
      </w:pPr>
      <w:r>
        <w:rPr>
          <w:rFonts w:ascii="Times New Roman" w:hAnsi="宋体" w:eastAsia="宋体" w:cs="Times New Roman"/>
          <w:b/>
          <w:color w:val="000000" w:themeColor="text1"/>
          <w:kern w:val="0"/>
          <w:sz w:val="24"/>
          <w:szCs w:val="24"/>
        </w:rPr>
        <w:t>表</w:t>
      </w:r>
      <w:r>
        <w:rPr>
          <w:rFonts w:hint="eastAsia" w:ascii="Times New Roman" w:hAnsi="Times New Roman" w:eastAsia="宋体" w:cs="Times New Roman"/>
          <w:b/>
          <w:color w:val="000000" w:themeColor="text1"/>
          <w:kern w:val="0"/>
          <w:sz w:val="24"/>
          <w:szCs w:val="24"/>
        </w:rPr>
        <w:t>2-6</w:t>
      </w:r>
      <w:r>
        <w:rPr>
          <w:rFonts w:ascii="Times New Roman" w:hAnsi="Times New Roman" w:eastAsia="宋体" w:cs="Times New Roman"/>
          <w:b/>
          <w:color w:val="000000" w:themeColor="text1"/>
          <w:kern w:val="0"/>
          <w:sz w:val="24"/>
          <w:szCs w:val="24"/>
        </w:rPr>
        <w:t xml:space="preserve">  </w:t>
      </w:r>
      <w:r>
        <w:rPr>
          <w:rFonts w:ascii="Times New Roman" w:hAnsi="宋体" w:eastAsia="宋体" w:cs="Times New Roman"/>
          <w:b/>
          <w:color w:val="000000" w:themeColor="text1"/>
          <w:kern w:val="0"/>
          <w:sz w:val="24"/>
          <w:szCs w:val="24"/>
        </w:rPr>
        <w:t>估算模型参数表</w:t>
      </w:r>
    </w:p>
    <w:tbl>
      <w:tblPr>
        <w:tblStyle w:val="27"/>
        <w:tblW w:w="87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3451"/>
        <w:gridCol w:w="3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5095"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2"/>
              <w:jc w:val="center"/>
              <w:rPr>
                <w:rFonts w:ascii="Times New Roman" w:hAnsi="Times New Roman" w:eastAsia="宋体" w:cs="Times New Roman"/>
                <w:b/>
                <w:color w:val="000000" w:themeColor="text1"/>
                <w:szCs w:val="21"/>
              </w:rPr>
            </w:pPr>
            <w:r>
              <w:rPr>
                <w:rFonts w:hint="eastAsia" w:ascii="Times New Roman" w:hAnsi="Times New Roman" w:eastAsia="宋体" w:cs="Times New Roman"/>
                <w:b/>
                <w:color w:val="000000" w:themeColor="text1"/>
                <w:kern w:val="0"/>
                <w:szCs w:val="21"/>
              </w:rPr>
              <w:t>参数</w:t>
            </w:r>
          </w:p>
        </w:tc>
        <w:tc>
          <w:tcPr>
            <w:tcW w:w="3669"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2"/>
              <w:jc w:val="center"/>
              <w:rPr>
                <w:rFonts w:ascii="Times New Roman" w:hAnsi="Times New Roman" w:eastAsia="宋体" w:cs="Times New Roman"/>
                <w:b/>
                <w:color w:val="000000" w:themeColor="text1"/>
                <w:szCs w:val="21"/>
              </w:rPr>
            </w:pPr>
            <w:r>
              <w:rPr>
                <w:rFonts w:hint="eastAsia" w:ascii="Times New Roman" w:hAnsi="Times New Roman" w:eastAsia="宋体" w:cs="Times New Roman"/>
                <w:b/>
                <w:color w:val="000000" w:themeColor="text1"/>
                <w:kern w:val="0"/>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1644"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城市农村</w:t>
            </w:r>
            <w:r>
              <w:rPr>
                <w:rFonts w:ascii="Times New Roman" w:hAnsi="Times New Roman" w:eastAsia="宋体" w:cs="Times New Roman"/>
                <w:color w:val="000000" w:themeColor="text1"/>
                <w:kern w:val="0"/>
                <w:szCs w:val="21"/>
              </w:rPr>
              <w:t>/</w:t>
            </w:r>
            <w:r>
              <w:rPr>
                <w:rFonts w:hint="eastAsia" w:ascii="Times New Roman" w:hAnsi="Times New Roman" w:eastAsia="宋体" w:cs="Times New Roman"/>
                <w:color w:val="000000" w:themeColor="text1"/>
                <w:kern w:val="0"/>
                <w:szCs w:val="21"/>
              </w:rPr>
              <w:t>选项</w:t>
            </w:r>
          </w:p>
        </w:tc>
        <w:tc>
          <w:tcPr>
            <w:tcW w:w="3451"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城市</w:t>
            </w:r>
            <w:r>
              <w:rPr>
                <w:rFonts w:ascii="Times New Roman" w:hAnsi="Times New Roman" w:eastAsia="宋体" w:cs="Times New Roman"/>
                <w:color w:val="000000" w:themeColor="text1"/>
                <w:kern w:val="0"/>
                <w:szCs w:val="21"/>
              </w:rPr>
              <w:t>/</w:t>
            </w:r>
            <w:r>
              <w:rPr>
                <w:rFonts w:hint="eastAsia" w:ascii="Times New Roman" w:hAnsi="Times New Roman" w:eastAsia="宋体" w:cs="Times New Roman"/>
                <w:color w:val="000000" w:themeColor="text1"/>
                <w:kern w:val="0"/>
                <w:szCs w:val="21"/>
              </w:rPr>
              <w:t>农村</w:t>
            </w:r>
          </w:p>
        </w:tc>
        <w:tc>
          <w:tcPr>
            <w:tcW w:w="3669"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64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themeColor="text1"/>
                <w:szCs w:val="21"/>
              </w:rPr>
            </w:pPr>
          </w:p>
        </w:tc>
        <w:tc>
          <w:tcPr>
            <w:tcW w:w="3451"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人口数</w:t>
            </w:r>
            <w:r>
              <w:rPr>
                <w:rFonts w:ascii="Times New Roman" w:hAnsi="Times New Roman" w:eastAsia="宋体" w:cs="Times New Roman"/>
                <w:color w:val="000000" w:themeColor="text1"/>
                <w:kern w:val="0"/>
                <w:szCs w:val="21"/>
              </w:rPr>
              <w:t>(</w:t>
            </w:r>
            <w:r>
              <w:rPr>
                <w:rFonts w:hint="eastAsia" w:ascii="Times New Roman" w:hAnsi="Times New Roman" w:eastAsia="宋体" w:cs="Times New Roman"/>
                <w:color w:val="000000" w:themeColor="text1"/>
                <w:kern w:val="0"/>
                <w:szCs w:val="21"/>
              </w:rPr>
              <w:t>城市人口数</w:t>
            </w:r>
            <w:r>
              <w:rPr>
                <w:rFonts w:ascii="Times New Roman" w:hAnsi="Times New Roman" w:eastAsia="宋体" w:cs="Times New Roman"/>
                <w:color w:val="000000" w:themeColor="text1"/>
                <w:kern w:val="0"/>
                <w:szCs w:val="21"/>
              </w:rPr>
              <w:t>)</w:t>
            </w:r>
          </w:p>
        </w:tc>
        <w:tc>
          <w:tcPr>
            <w:tcW w:w="3669"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jc w:val="center"/>
        </w:trPr>
        <w:tc>
          <w:tcPr>
            <w:tcW w:w="5095"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最高环境温度</w:t>
            </w:r>
          </w:p>
        </w:tc>
        <w:tc>
          <w:tcPr>
            <w:tcW w:w="3669"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43</w:t>
            </w:r>
            <w:r>
              <w:rPr>
                <w:rFonts w:ascii="Times New Roman" w:hAnsi="Times New Roman" w:eastAsia="宋体" w:cs="Times New Roman"/>
                <w:color w:val="000000" w:themeColor="text1"/>
                <w:kern w:val="0"/>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5095"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最低环境温度</w:t>
            </w:r>
          </w:p>
        </w:tc>
        <w:tc>
          <w:tcPr>
            <w:tcW w:w="3669"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kern w:val="0"/>
                <w:szCs w:val="21"/>
              </w:rPr>
              <w:t>-</w:t>
            </w:r>
            <w:r>
              <w:rPr>
                <w:rFonts w:hint="eastAsia" w:ascii="Times New Roman" w:hAnsi="Times New Roman" w:eastAsia="宋体" w:cs="Times New Roman"/>
                <w:color w:val="000000" w:themeColor="text1"/>
                <w:kern w:val="0"/>
                <w:szCs w:val="21"/>
              </w:rPr>
              <w:t>12.2</w:t>
            </w:r>
            <w:r>
              <w:rPr>
                <w:rFonts w:ascii="Times New Roman" w:hAnsi="Times New Roman" w:eastAsia="宋体" w:cs="Times New Roman"/>
                <w:color w:val="000000" w:themeColor="text1"/>
                <w:kern w:val="0"/>
                <w:szCs w:val="21"/>
              </w:rPr>
              <w:t xml:space="preserve">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5095"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土地利用类型</w:t>
            </w:r>
          </w:p>
        </w:tc>
        <w:tc>
          <w:tcPr>
            <w:tcW w:w="3669"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医疗卫生设施用地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5095"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区域湿度条件</w:t>
            </w:r>
          </w:p>
        </w:tc>
        <w:tc>
          <w:tcPr>
            <w:tcW w:w="3669"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中等湿度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1644" w:type="dxa"/>
            <w:vMerge w:val="restart"/>
            <w:tcBorders>
              <w:top w:val="single" w:color="auto" w:sz="4" w:space="0"/>
              <w:left w:val="single" w:color="auto" w:sz="4" w:space="0"/>
              <w:right w:val="single" w:color="auto" w:sz="4" w:space="0"/>
            </w:tcBorders>
            <w:vAlign w:val="center"/>
          </w:tcPr>
          <w:p>
            <w:pPr>
              <w:snapToGrid w:val="0"/>
              <w:spacing w:line="240" w:lineRule="atLeas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是否考</w:t>
            </w:r>
          </w:p>
          <w:p>
            <w:pPr>
              <w:snapToGrid w:val="0"/>
              <w:spacing w:line="240" w:lineRule="atLeas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虑地形</w:t>
            </w:r>
          </w:p>
        </w:tc>
        <w:tc>
          <w:tcPr>
            <w:tcW w:w="3451"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考虑地形</w:t>
            </w:r>
          </w:p>
        </w:tc>
        <w:tc>
          <w:tcPr>
            <w:tcW w:w="3669"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1644" w:type="dxa"/>
            <w:vMerge w:val="continue"/>
            <w:tcBorders>
              <w:left w:val="single" w:color="auto" w:sz="4" w:space="0"/>
              <w:bottom w:val="single" w:color="auto" w:sz="4" w:space="0"/>
              <w:right w:val="single" w:color="auto" w:sz="4" w:space="0"/>
            </w:tcBorders>
            <w:vAlign w:val="center"/>
          </w:tcPr>
          <w:p>
            <w:pPr>
              <w:snapToGrid w:val="0"/>
              <w:spacing w:line="240" w:lineRule="atLeast"/>
              <w:jc w:val="center"/>
              <w:rPr>
                <w:rFonts w:ascii="Times New Roman" w:hAnsi="Times New Roman" w:eastAsia="宋体" w:cs="Times New Roman"/>
                <w:color w:val="000000" w:themeColor="text1"/>
                <w:kern w:val="0"/>
                <w:szCs w:val="21"/>
              </w:rPr>
            </w:pPr>
          </w:p>
        </w:tc>
        <w:tc>
          <w:tcPr>
            <w:tcW w:w="3451"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地形数据分辨率/m</w:t>
            </w:r>
          </w:p>
        </w:tc>
        <w:tc>
          <w:tcPr>
            <w:tcW w:w="3669"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1644"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是否考虑海岸线熏烟</w:t>
            </w:r>
          </w:p>
        </w:tc>
        <w:tc>
          <w:tcPr>
            <w:tcW w:w="3451"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考虑海岸线熏烟</w:t>
            </w:r>
          </w:p>
        </w:tc>
        <w:tc>
          <w:tcPr>
            <w:tcW w:w="3669"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否</w:t>
            </w:r>
          </w:p>
        </w:tc>
      </w:tr>
    </w:tbl>
    <w:p>
      <w:pPr>
        <w:pStyle w:val="49"/>
        <w:spacing w:line="500" w:lineRule="exact"/>
        <w:ind w:firstLine="199" w:firstLineChars="83"/>
        <w:rPr>
          <w:rFonts w:hAnsi="宋体"/>
          <w:color w:val="000000" w:themeColor="text1"/>
        </w:rPr>
      </w:pPr>
      <w:r>
        <w:rPr>
          <w:rFonts w:hint="eastAsia" w:hAnsi="宋体"/>
          <w:color w:val="000000" w:themeColor="text1"/>
        </w:rPr>
        <w:t>（5）评价等级确定</w:t>
      </w:r>
    </w:p>
    <w:p>
      <w:pPr>
        <w:spacing w:line="480" w:lineRule="exact"/>
        <w:ind w:firstLine="422" w:firstLineChars="176"/>
        <w:rPr>
          <w:rFonts w:ascii="Times New Roman" w:hAnsi="Times New Roman" w:eastAsia="宋体" w:cs="Times New Roman"/>
          <w:color w:val="000000" w:themeColor="text1"/>
          <w:kern w:val="0"/>
          <w:sz w:val="24"/>
          <w:szCs w:val="24"/>
        </w:rPr>
      </w:pPr>
      <w:r>
        <w:rPr>
          <w:rFonts w:hint="eastAsia" w:ascii="Times New Roman" w:hAnsi="Times New Roman" w:eastAsia="宋体" w:cs="Times New Roman"/>
          <w:color w:val="000000" w:themeColor="text1"/>
          <w:kern w:val="0"/>
          <w:sz w:val="24"/>
          <w:szCs w:val="24"/>
        </w:rPr>
        <w:t>本项目所有污染源的正常排放的污染物的</w:t>
      </w:r>
      <w:r>
        <w:rPr>
          <w:rFonts w:ascii="Times New Roman" w:hAnsi="Times New Roman" w:eastAsia="宋体" w:cs="Times New Roman"/>
          <w:color w:val="000000" w:themeColor="text1"/>
          <w:kern w:val="0"/>
          <w:sz w:val="24"/>
          <w:szCs w:val="24"/>
        </w:rPr>
        <w:t>P</w:t>
      </w:r>
      <w:r>
        <w:rPr>
          <w:rFonts w:ascii="Times New Roman" w:hAnsi="Times New Roman" w:eastAsia="宋体" w:cs="Times New Roman"/>
          <w:color w:val="000000" w:themeColor="text1"/>
          <w:kern w:val="0"/>
          <w:sz w:val="24"/>
          <w:szCs w:val="24"/>
          <w:vertAlign w:val="subscript"/>
        </w:rPr>
        <w:t>max</w:t>
      </w:r>
      <w:r>
        <w:rPr>
          <w:rFonts w:hint="eastAsia" w:ascii="Times New Roman" w:hAnsi="Times New Roman" w:eastAsia="宋体" w:cs="Times New Roman"/>
          <w:color w:val="000000" w:themeColor="text1"/>
          <w:kern w:val="0"/>
          <w:sz w:val="24"/>
          <w:szCs w:val="24"/>
        </w:rPr>
        <w:t>和</w:t>
      </w:r>
      <w:r>
        <w:rPr>
          <w:rFonts w:ascii="Times New Roman" w:hAnsi="Times New Roman" w:eastAsia="宋体" w:cs="Times New Roman"/>
          <w:color w:val="000000" w:themeColor="text1"/>
          <w:kern w:val="0"/>
          <w:sz w:val="24"/>
          <w:szCs w:val="24"/>
        </w:rPr>
        <w:t>D</w:t>
      </w:r>
      <w:r>
        <w:rPr>
          <w:rFonts w:ascii="Times New Roman" w:hAnsi="Times New Roman" w:eastAsia="宋体" w:cs="Times New Roman"/>
          <w:color w:val="000000" w:themeColor="text1"/>
          <w:kern w:val="0"/>
          <w:sz w:val="24"/>
          <w:szCs w:val="24"/>
          <w:vertAlign w:val="subscript"/>
        </w:rPr>
        <w:t>10%</w:t>
      </w:r>
      <w:r>
        <w:rPr>
          <w:rFonts w:hint="eastAsia" w:ascii="Times New Roman" w:hAnsi="Times New Roman" w:eastAsia="宋体" w:cs="Times New Roman"/>
          <w:color w:val="000000" w:themeColor="text1"/>
          <w:kern w:val="0"/>
          <w:sz w:val="24"/>
          <w:szCs w:val="24"/>
        </w:rPr>
        <w:t>预测结果如下：</w:t>
      </w:r>
    </w:p>
    <w:p>
      <w:pPr>
        <w:spacing w:line="480" w:lineRule="exact"/>
        <w:ind w:firstLine="424" w:firstLineChars="176"/>
        <w:jc w:val="center"/>
        <w:rPr>
          <w:rFonts w:ascii="Times New Roman" w:hAnsi="Times New Roman" w:eastAsia="宋体" w:cs="Times New Roman"/>
          <w:b/>
          <w:color w:val="000000" w:themeColor="text1"/>
          <w:kern w:val="0"/>
          <w:sz w:val="24"/>
          <w:szCs w:val="24"/>
        </w:rPr>
      </w:pPr>
      <w:r>
        <w:rPr>
          <w:rFonts w:hint="eastAsia" w:ascii="Times New Roman" w:hAnsi="Times New Roman" w:eastAsia="宋体" w:cs="Times New Roman"/>
          <w:b/>
          <w:color w:val="000000" w:themeColor="text1"/>
          <w:kern w:val="0"/>
          <w:sz w:val="24"/>
          <w:szCs w:val="24"/>
        </w:rPr>
        <w:t xml:space="preserve">表2-7  </w:t>
      </w:r>
      <w:r>
        <w:rPr>
          <w:rFonts w:ascii="Times New Roman" w:hAnsi="Times New Roman" w:eastAsia="宋体" w:cs="Times New Roman"/>
          <w:b/>
          <w:color w:val="000000" w:themeColor="text1"/>
          <w:kern w:val="0"/>
          <w:sz w:val="24"/>
          <w:szCs w:val="24"/>
        </w:rPr>
        <w:t xml:space="preserve"> P</w:t>
      </w:r>
      <w:r>
        <w:rPr>
          <w:rFonts w:ascii="Times New Roman" w:hAnsi="Times New Roman" w:eastAsia="宋体" w:cs="Times New Roman"/>
          <w:b/>
          <w:color w:val="000000" w:themeColor="text1"/>
          <w:kern w:val="0"/>
          <w:sz w:val="24"/>
          <w:szCs w:val="24"/>
          <w:vertAlign w:val="subscript"/>
        </w:rPr>
        <w:t>max</w:t>
      </w:r>
      <w:r>
        <w:rPr>
          <w:rFonts w:hint="eastAsia" w:ascii="Times New Roman" w:hAnsi="Times New Roman" w:eastAsia="宋体" w:cs="Times New Roman"/>
          <w:b/>
          <w:color w:val="000000" w:themeColor="text1"/>
          <w:kern w:val="0"/>
          <w:sz w:val="24"/>
          <w:szCs w:val="24"/>
        </w:rPr>
        <w:t>和</w:t>
      </w:r>
      <w:r>
        <w:rPr>
          <w:rFonts w:ascii="Times New Roman" w:hAnsi="Times New Roman" w:eastAsia="宋体" w:cs="Times New Roman"/>
          <w:b/>
          <w:color w:val="000000" w:themeColor="text1"/>
          <w:kern w:val="0"/>
          <w:sz w:val="24"/>
          <w:szCs w:val="24"/>
        </w:rPr>
        <w:t>D</w:t>
      </w:r>
      <w:r>
        <w:rPr>
          <w:rFonts w:ascii="Times New Roman" w:hAnsi="Times New Roman" w:eastAsia="宋体" w:cs="Times New Roman"/>
          <w:b/>
          <w:color w:val="000000" w:themeColor="text1"/>
          <w:kern w:val="0"/>
          <w:sz w:val="24"/>
          <w:szCs w:val="24"/>
          <w:vertAlign w:val="subscript"/>
        </w:rPr>
        <w:t>10%</w:t>
      </w:r>
      <w:r>
        <w:rPr>
          <w:rFonts w:hint="eastAsia" w:ascii="Times New Roman" w:hAnsi="Times New Roman" w:eastAsia="宋体" w:cs="Times New Roman"/>
          <w:b/>
          <w:color w:val="000000" w:themeColor="text1"/>
          <w:kern w:val="0"/>
          <w:sz w:val="24"/>
          <w:szCs w:val="24"/>
        </w:rPr>
        <w:t>预测和计算结果一览表</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1516"/>
        <w:gridCol w:w="1243"/>
        <w:gridCol w:w="1657"/>
        <w:gridCol w:w="1379"/>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24"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rPr>
              <w:t>污染源名称</w:t>
            </w:r>
          </w:p>
        </w:tc>
        <w:tc>
          <w:tcPr>
            <w:tcW w:w="1516"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rPr>
              <w:t>评价因子</w:t>
            </w:r>
          </w:p>
        </w:tc>
        <w:tc>
          <w:tcPr>
            <w:tcW w:w="1243"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rPr>
              <w:t>评价标准(</w:t>
            </w:r>
            <w:r>
              <w:rPr>
                <w:rFonts w:hint="eastAsia" w:ascii="Times New Roman" w:hAnsi="Times New Roman" w:cs="Times New Roman"/>
                <w:color w:val="000000" w:themeColor="text1"/>
                <w:kern w:val="0"/>
                <w:szCs w:val="21"/>
              </w:rPr>
              <w:t>m</w:t>
            </w:r>
            <w:r>
              <w:rPr>
                <w:rFonts w:ascii="Times New Roman" w:hAnsi="Times New Roman" w:cs="Times New Roman"/>
                <w:color w:val="000000" w:themeColor="text1"/>
                <w:kern w:val="0"/>
                <w:szCs w:val="21"/>
              </w:rPr>
              <w:t>g/m</w:t>
            </w:r>
            <w:r>
              <w:rPr>
                <w:rFonts w:ascii="Times New Roman" w:hAnsi="Times New Roman" w:cs="Times New Roman"/>
                <w:color w:val="000000" w:themeColor="text1"/>
                <w:kern w:val="0"/>
                <w:szCs w:val="21"/>
                <w:vertAlign w:val="superscript"/>
              </w:rPr>
              <w:t>3</w:t>
            </w:r>
            <w:r>
              <w:rPr>
                <w:rFonts w:ascii="Times New Roman" w:hAnsi="Times New Roman" w:cs="Times New Roman"/>
                <w:color w:val="000000" w:themeColor="text1"/>
                <w:kern w:val="0"/>
                <w:szCs w:val="21"/>
              </w:rPr>
              <w:t>)</w:t>
            </w:r>
          </w:p>
        </w:tc>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rPr>
              <w:t>C</w:t>
            </w:r>
            <w:r>
              <w:rPr>
                <w:rFonts w:ascii="Times New Roman" w:hAnsi="Times New Roman" w:cs="Times New Roman"/>
                <w:color w:val="000000" w:themeColor="text1"/>
                <w:kern w:val="0"/>
                <w:szCs w:val="21"/>
                <w:vertAlign w:val="subscript"/>
              </w:rPr>
              <w:t>max</w:t>
            </w:r>
            <w:r>
              <w:rPr>
                <w:rFonts w:ascii="Times New Roman" w:hAnsi="Times New Roman" w:cs="Times New Roman"/>
                <w:color w:val="000000" w:themeColor="text1"/>
                <w:kern w:val="0"/>
                <w:szCs w:val="21"/>
              </w:rPr>
              <w:t xml:space="preserve"> (mg/m</w:t>
            </w:r>
            <w:r>
              <w:rPr>
                <w:rFonts w:ascii="Times New Roman" w:hAnsi="Times New Roman" w:cs="Times New Roman"/>
                <w:color w:val="000000" w:themeColor="text1"/>
                <w:kern w:val="0"/>
                <w:szCs w:val="21"/>
                <w:vertAlign w:val="superscript"/>
              </w:rPr>
              <w:t>3</w:t>
            </w:r>
            <w:r>
              <w:rPr>
                <w:rFonts w:ascii="Times New Roman" w:hAnsi="Times New Roman" w:cs="Times New Roman"/>
                <w:color w:val="000000" w:themeColor="text1"/>
                <w:kern w:val="0"/>
                <w:szCs w:val="21"/>
              </w:rPr>
              <w:t>)</w:t>
            </w:r>
          </w:p>
        </w:tc>
        <w:tc>
          <w:tcPr>
            <w:tcW w:w="1379"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rPr>
              <w:t>P</w:t>
            </w:r>
            <w:r>
              <w:rPr>
                <w:rFonts w:ascii="Times New Roman" w:hAnsi="Times New Roman" w:cs="Times New Roman"/>
                <w:color w:val="000000" w:themeColor="text1"/>
                <w:kern w:val="0"/>
                <w:szCs w:val="21"/>
                <w:vertAlign w:val="subscript"/>
              </w:rPr>
              <w:t>max</w:t>
            </w:r>
            <w:r>
              <w:rPr>
                <w:rFonts w:ascii="Times New Roman" w:hAnsi="Times New Roman" w:cs="Times New Roman"/>
                <w:color w:val="000000" w:themeColor="text1"/>
                <w:kern w:val="0"/>
                <w:szCs w:val="21"/>
              </w:rPr>
              <w:t xml:space="preserve"> (%)</w:t>
            </w:r>
          </w:p>
        </w:tc>
        <w:tc>
          <w:tcPr>
            <w:tcW w:w="1103"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rPr>
              <w:t>D</w:t>
            </w:r>
            <w:r>
              <w:rPr>
                <w:rFonts w:ascii="Times New Roman" w:hAnsi="Times New Roman" w:cs="Times New Roman"/>
                <w:color w:val="000000" w:themeColor="text1"/>
                <w:kern w:val="0"/>
                <w:szCs w:val="21"/>
                <w:vertAlign w:val="subscript"/>
              </w:rPr>
              <w:t>10%</w:t>
            </w:r>
            <w:r>
              <w:rPr>
                <w:rFonts w:ascii="Times New Roman" w:hAnsi="Times New Roman" w:cs="Times New Roman"/>
                <w:color w:val="000000" w:themeColor="text1"/>
                <w:kern w:val="0"/>
                <w:szCs w:val="21"/>
              </w:rPr>
              <w:t xml:space="preserve">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24" w:type="dxa"/>
            <w:vMerge w:val="restart"/>
            <w:tcBorders>
              <w:top w:val="single" w:color="auto" w:sz="4" w:space="0"/>
              <w:left w:val="single" w:color="auto" w:sz="4" w:space="0"/>
              <w:right w:val="single" w:color="auto" w:sz="4" w:space="0"/>
            </w:tcBorders>
            <w:vAlign w:val="center"/>
          </w:tcPr>
          <w:p>
            <w:pPr>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污水站</w:t>
            </w:r>
            <w:r>
              <w:rPr>
                <w:rFonts w:ascii="Times New Roman" w:hAnsi="Times New Roman" w:cs="Times New Roman"/>
                <w:bCs/>
                <w:color w:val="000000" w:themeColor="text1"/>
                <w:kern w:val="0"/>
                <w:szCs w:val="21"/>
              </w:rPr>
              <w:t>排气筒</w:t>
            </w:r>
          </w:p>
        </w:tc>
        <w:tc>
          <w:tcPr>
            <w:tcW w:w="151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bCs/>
                <w:color w:val="000000" w:themeColor="text1"/>
                <w:kern w:val="0"/>
                <w:szCs w:val="21"/>
              </w:rPr>
              <w:t>氨</w:t>
            </w:r>
          </w:p>
        </w:tc>
        <w:tc>
          <w:tcPr>
            <w:tcW w:w="1243"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kern w:val="0"/>
                <w:szCs w:val="21"/>
              </w:rPr>
            </w:pPr>
            <w:r>
              <w:rPr>
                <w:rFonts w:hint="eastAsia" w:ascii="Times New Roman" w:hAnsi="Times New Roman" w:cs="Times New Roman"/>
                <w:color w:val="000000" w:themeColor="text1"/>
                <w:kern w:val="0"/>
                <w:szCs w:val="21"/>
              </w:rPr>
              <w:t>0.2</w:t>
            </w:r>
          </w:p>
        </w:tc>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kern w:val="0"/>
                <w:szCs w:val="21"/>
              </w:rPr>
            </w:pPr>
            <w:r>
              <w:rPr>
                <w:rFonts w:ascii="Times New Roman" w:hAnsi="Times New Roman" w:cs="Times New Roman" w:eastAsiaTheme="majorEastAsia"/>
                <w:color w:val="000000" w:themeColor="text1"/>
                <w:szCs w:val="21"/>
              </w:rPr>
              <w:t>1.07E-02</w:t>
            </w:r>
          </w:p>
        </w:tc>
        <w:tc>
          <w:tcPr>
            <w:tcW w:w="1379"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kern w:val="0"/>
                <w:szCs w:val="21"/>
              </w:rPr>
            </w:pPr>
            <w:r>
              <w:rPr>
                <w:rFonts w:hint="eastAsia" w:ascii="Times New Roman" w:hAnsi="Times New Roman" w:cs="Times New Roman"/>
                <w:color w:val="000000" w:themeColor="text1"/>
                <w:kern w:val="0"/>
                <w:szCs w:val="21"/>
              </w:rPr>
              <w:t>5.34</w:t>
            </w:r>
          </w:p>
        </w:tc>
        <w:tc>
          <w:tcPr>
            <w:tcW w:w="1103"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24" w:type="dxa"/>
            <w:vMerge w:val="continue"/>
            <w:tcBorders>
              <w:left w:val="single" w:color="auto" w:sz="4" w:space="0"/>
              <w:bottom w:val="single" w:color="auto" w:sz="4" w:space="0"/>
              <w:right w:val="single" w:color="auto" w:sz="4" w:space="0"/>
            </w:tcBorders>
            <w:vAlign w:val="center"/>
          </w:tcPr>
          <w:p>
            <w:pPr>
              <w:spacing w:line="300" w:lineRule="exact"/>
              <w:jc w:val="center"/>
              <w:rPr>
                <w:rFonts w:ascii="Times New Roman" w:hAnsi="Times New Roman" w:cs="Times New Roman"/>
                <w:bCs/>
                <w:color w:val="000000" w:themeColor="text1"/>
                <w:kern w:val="0"/>
                <w:szCs w:val="21"/>
              </w:rPr>
            </w:pPr>
          </w:p>
        </w:tc>
        <w:tc>
          <w:tcPr>
            <w:tcW w:w="151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bCs/>
                <w:color w:val="000000" w:themeColor="text1"/>
                <w:kern w:val="0"/>
                <w:szCs w:val="21"/>
              </w:rPr>
              <w:t>硫化氢</w:t>
            </w:r>
          </w:p>
        </w:tc>
        <w:tc>
          <w:tcPr>
            <w:tcW w:w="1243"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0.01</w:t>
            </w:r>
          </w:p>
        </w:tc>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kern w:val="0"/>
                <w:szCs w:val="21"/>
              </w:rPr>
            </w:pPr>
            <w:r>
              <w:rPr>
                <w:rFonts w:ascii="Times New Roman" w:hAnsi="Times New Roman" w:cs="Times New Roman" w:eastAsiaTheme="majorEastAsia"/>
                <w:color w:val="000000" w:themeColor="text1"/>
                <w:szCs w:val="21"/>
              </w:rPr>
              <w:t>5.01E-04</w:t>
            </w:r>
          </w:p>
        </w:tc>
        <w:tc>
          <w:tcPr>
            <w:tcW w:w="1379"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kern w:val="0"/>
                <w:szCs w:val="21"/>
              </w:rPr>
            </w:pPr>
            <w:r>
              <w:rPr>
                <w:rFonts w:hint="eastAsia" w:ascii="Times New Roman" w:hAnsi="Times New Roman" w:cs="Times New Roman"/>
                <w:color w:val="000000" w:themeColor="text1"/>
                <w:kern w:val="0"/>
                <w:szCs w:val="21"/>
              </w:rPr>
              <w:t>5.01</w:t>
            </w:r>
          </w:p>
        </w:tc>
        <w:tc>
          <w:tcPr>
            <w:tcW w:w="1103"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24" w:type="dxa"/>
            <w:vMerge w:val="restart"/>
            <w:tcBorders>
              <w:top w:val="single" w:color="auto" w:sz="4" w:space="0"/>
              <w:left w:val="single" w:color="auto" w:sz="4" w:space="0"/>
              <w:right w:val="single" w:color="auto" w:sz="4" w:space="0"/>
            </w:tcBorders>
            <w:vAlign w:val="center"/>
          </w:tcPr>
          <w:p>
            <w:pPr>
              <w:snapToGrid w:val="0"/>
              <w:spacing w:line="300" w:lineRule="exact"/>
              <w:ind w:firstLine="420"/>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厂区</w:t>
            </w:r>
          </w:p>
        </w:tc>
        <w:tc>
          <w:tcPr>
            <w:tcW w:w="151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bCs/>
                <w:color w:val="000000" w:themeColor="text1"/>
                <w:kern w:val="0"/>
                <w:szCs w:val="21"/>
              </w:rPr>
              <w:t>氨</w:t>
            </w:r>
          </w:p>
        </w:tc>
        <w:tc>
          <w:tcPr>
            <w:tcW w:w="1243"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kern w:val="0"/>
                <w:szCs w:val="21"/>
              </w:rPr>
            </w:pPr>
            <w:r>
              <w:rPr>
                <w:rFonts w:hint="eastAsia" w:ascii="Times New Roman" w:hAnsi="Times New Roman" w:cs="Times New Roman"/>
                <w:color w:val="000000" w:themeColor="text1"/>
                <w:kern w:val="0"/>
                <w:szCs w:val="21"/>
              </w:rPr>
              <w:t>0.2</w:t>
            </w:r>
          </w:p>
        </w:tc>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1.91E-02</w:t>
            </w:r>
          </w:p>
        </w:tc>
        <w:tc>
          <w:tcPr>
            <w:tcW w:w="1379"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9.56</w:t>
            </w:r>
          </w:p>
        </w:tc>
        <w:tc>
          <w:tcPr>
            <w:tcW w:w="110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24" w:type="dxa"/>
            <w:vMerge w:val="continue"/>
            <w:tcBorders>
              <w:left w:val="single" w:color="auto" w:sz="4" w:space="0"/>
              <w:bottom w:val="single" w:color="auto" w:sz="4" w:space="0"/>
              <w:right w:val="single" w:color="auto" w:sz="4" w:space="0"/>
            </w:tcBorders>
            <w:vAlign w:val="center"/>
          </w:tcPr>
          <w:p>
            <w:pPr>
              <w:snapToGrid w:val="0"/>
              <w:spacing w:line="300" w:lineRule="exact"/>
              <w:ind w:firstLine="420"/>
              <w:jc w:val="center"/>
              <w:rPr>
                <w:rFonts w:ascii="Times New Roman" w:hAnsi="Times New Roman" w:cs="Times New Roman"/>
                <w:color w:val="000000" w:themeColor="text1"/>
                <w:szCs w:val="21"/>
              </w:rPr>
            </w:pPr>
          </w:p>
        </w:tc>
        <w:tc>
          <w:tcPr>
            <w:tcW w:w="151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bCs/>
                <w:color w:val="000000" w:themeColor="text1"/>
                <w:kern w:val="0"/>
                <w:szCs w:val="21"/>
              </w:rPr>
              <w:t>硫化氢</w:t>
            </w:r>
          </w:p>
        </w:tc>
        <w:tc>
          <w:tcPr>
            <w:tcW w:w="1243"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0.01</w:t>
            </w:r>
          </w:p>
        </w:tc>
        <w:tc>
          <w:tcPr>
            <w:tcW w:w="165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8.50E-04</w:t>
            </w:r>
          </w:p>
        </w:tc>
        <w:tc>
          <w:tcPr>
            <w:tcW w:w="137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8.50</w:t>
            </w:r>
          </w:p>
        </w:tc>
        <w:tc>
          <w:tcPr>
            <w:tcW w:w="110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bl>
    <w:p>
      <w:pPr>
        <w:spacing w:line="480" w:lineRule="exact"/>
        <w:ind w:firstLine="422" w:firstLineChars="176"/>
        <w:rPr>
          <w:rFonts w:ascii="Times New Roman" w:hAnsi="Times New Roman" w:eastAsia="宋体" w:cs="Times New Roman"/>
          <w:color w:val="000000" w:themeColor="text1"/>
          <w:kern w:val="0"/>
          <w:sz w:val="24"/>
          <w:szCs w:val="24"/>
        </w:rPr>
      </w:pPr>
      <w:r>
        <w:rPr>
          <w:rFonts w:hint="eastAsia" w:ascii="Times New Roman" w:hAnsi="Times New Roman" w:eastAsia="宋体" w:cs="Times New Roman"/>
          <w:color w:val="000000" w:themeColor="text1"/>
          <w:kern w:val="0"/>
          <w:sz w:val="24"/>
          <w:szCs w:val="24"/>
        </w:rPr>
        <w:t>综合分析，本项目</w:t>
      </w:r>
      <w:r>
        <w:rPr>
          <w:rFonts w:ascii="Times New Roman" w:hAnsi="Times New Roman" w:eastAsia="宋体" w:cs="Times New Roman"/>
          <w:color w:val="000000" w:themeColor="text1"/>
          <w:kern w:val="0"/>
          <w:sz w:val="24"/>
          <w:szCs w:val="24"/>
        </w:rPr>
        <w:t>P</w:t>
      </w:r>
      <w:r>
        <w:rPr>
          <w:rFonts w:ascii="Times New Roman" w:hAnsi="Times New Roman" w:eastAsia="宋体" w:cs="Times New Roman"/>
          <w:color w:val="000000" w:themeColor="text1"/>
          <w:kern w:val="0"/>
          <w:sz w:val="24"/>
          <w:szCs w:val="24"/>
          <w:vertAlign w:val="subscript"/>
        </w:rPr>
        <w:t>max</w:t>
      </w:r>
      <w:r>
        <w:rPr>
          <w:rFonts w:hint="eastAsia" w:ascii="Times New Roman" w:hAnsi="Times New Roman" w:eastAsia="宋体" w:cs="Times New Roman"/>
          <w:color w:val="000000" w:themeColor="text1"/>
          <w:kern w:val="0"/>
          <w:sz w:val="24"/>
          <w:szCs w:val="24"/>
        </w:rPr>
        <w:t>最大为面源排放的氨，</w:t>
      </w:r>
      <w:r>
        <w:rPr>
          <w:rFonts w:ascii="Times New Roman" w:hAnsi="Times New Roman" w:eastAsia="宋体" w:cs="Times New Roman"/>
          <w:color w:val="000000" w:themeColor="text1"/>
          <w:kern w:val="0"/>
          <w:sz w:val="24"/>
          <w:szCs w:val="24"/>
        </w:rPr>
        <w:t>P</w:t>
      </w:r>
      <w:r>
        <w:rPr>
          <w:rFonts w:ascii="Times New Roman" w:hAnsi="Times New Roman" w:eastAsia="宋体" w:cs="Times New Roman"/>
          <w:color w:val="000000" w:themeColor="text1"/>
          <w:kern w:val="0"/>
          <w:sz w:val="24"/>
          <w:szCs w:val="24"/>
          <w:vertAlign w:val="subscript"/>
        </w:rPr>
        <w:t>max</w:t>
      </w:r>
      <w:r>
        <w:rPr>
          <w:rFonts w:hint="eastAsia" w:ascii="Times New Roman" w:hAnsi="Times New Roman" w:eastAsia="宋体" w:cs="Times New Roman"/>
          <w:color w:val="000000" w:themeColor="text1"/>
          <w:kern w:val="0"/>
          <w:sz w:val="24"/>
          <w:szCs w:val="24"/>
        </w:rPr>
        <w:t>值为9.56</w:t>
      </w:r>
      <w:r>
        <w:rPr>
          <w:rFonts w:ascii="Times New Roman" w:hAnsi="Times New Roman" w:eastAsia="宋体" w:cs="Times New Roman"/>
          <w:color w:val="000000" w:themeColor="text1"/>
          <w:kern w:val="0"/>
          <w:sz w:val="24"/>
          <w:szCs w:val="24"/>
        </w:rPr>
        <w:t>%</w:t>
      </w:r>
      <w:r>
        <w:rPr>
          <w:rFonts w:hint="eastAsia" w:ascii="Times New Roman" w:hAnsi="Times New Roman" w:eastAsia="宋体" w:cs="Times New Roman"/>
          <w:color w:val="000000" w:themeColor="text1"/>
          <w:kern w:val="0"/>
          <w:sz w:val="24"/>
          <w:szCs w:val="24"/>
        </w:rPr>
        <w:t>，根据《环境影响评价技术导则</w:t>
      </w:r>
      <w:r>
        <w:rPr>
          <w:rFonts w:ascii="Times New Roman" w:hAnsi="Times New Roman" w:eastAsia="宋体" w:cs="Times New Roman"/>
          <w:color w:val="000000" w:themeColor="text1"/>
          <w:kern w:val="0"/>
          <w:sz w:val="24"/>
          <w:szCs w:val="24"/>
        </w:rPr>
        <w:t xml:space="preserve"> </w:t>
      </w:r>
      <w:r>
        <w:rPr>
          <w:rFonts w:hint="eastAsia" w:ascii="Times New Roman" w:hAnsi="Times New Roman" w:eastAsia="宋体" w:cs="Times New Roman"/>
          <w:color w:val="000000" w:themeColor="text1"/>
          <w:kern w:val="0"/>
          <w:sz w:val="24"/>
          <w:szCs w:val="24"/>
        </w:rPr>
        <w:t>大气环境》</w:t>
      </w:r>
      <w:r>
        <w:rPr>
          <w:rFonts w:ascii="Times New Roman" w:hAnsi="Times New Roman" w:eastAsia="宋体" w:cs="Times New Roman"/>
          <w:color w:val="000000" w:themeColor="text1"/>
          <w:kern w:val="0"/>
          <w:sz w:val="24"/>
          <w:szCs w:val="24"/>
        </w:rPr>
        <w:t>(HJ2.2-2018)</w:t>
      </w:r>
      <w:r>
        <w:rPr>
          <w:rFonts w:hint="eastAsia" w:ascii="Times New Roman" w:hAnsi="Times New Roman" w:eastAsia="宋体" w:cs="Times New Roman"/>
          <w:color w:val="000000" w:themeColor="text1"/>
          <w:kern w:val="0"/>
          <w:sz w:val="24"/>
          <w:szCs w:val="24"/>
        </w:rPr>
        <w:t>分级判据，确定本项目大气环境影响评价工作等级为二级。</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2.5.2地表水环境影响评价等级</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根据《环境影响评价技术导则 地面水环境》（HJ/T2.3-2018）中对地面水环境影响评价工作等级的划分依据，间接排放为三级B</w:t>
      </w:r>
      <w:r>
        <w:rPr>
          <w:rFonts w:hint="eastAsia" w:ascii="Times New Roman" w:hAnsi="Times New Roman" w:cs="Times New Roman"/>
          <w:color w:val="000000" w:themeColor="text1"/>
          <w:sz w:val="24"/>
        </w:rPr>
        <w:t>。</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本项目废水主要为医疗废水、生活污水和食堂废水，食堂废水经隔油池预处理后，与医疗废水、生活污水一并进入化粪池处理后排入医院污水处理站处理，最终排入银定庄污水处理厂</w:t>
      </w:r>
      <w:r>
        <w:rPr>
          <w:rFonts w:hint="eastAsia" w:ascii="Times New Roman" w:hAnsi="Times New Roman" w:cs="Times New Roman"/>
          <w:color w:val="000000" w:themeColor="text1"/>
          <w:sz w:val="24"/>
          <w:szCs w:val="24"/>
        </w:rPr>
        <w:t>，属于</w:t>
      </w:r>
      <w:r>
        <w:rPr>
          <w:rFonts w:ascii="Times New Roman" w:hAnsi="Times New Roman" w:cs="Times New Roman"/>
          <w:color w:val="000000" w:themeColor="text1"/>
          <w:sz w:val="24"/>
          <w:szCs w:val="24"/>
        </w:rPr>
        <w:t>间接排放，因此</w:t>
      </w:r>
      <w:r>
        <w:rPr>
          <w:rFonts w:ascii="Times New Roman" w:hAnsi="Times New Roman" w:cs="Times New Roman"/>
          <w:color w:val="000000" w:themeColor="text1"/>
          <w:sz w:val="24"/>
        </w:rPr>
        <w:t>该项目的地面水环境评价等级为三级B。</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2.5.3地下水环境影响评价等级</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（1）建设项目地下水环境影响评价行业分类</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根据《环境影响评价技术导则 地下水环境》（HJ610-2016），按照建设项目对地下水环境影响的程度，结合《建设项目环境影响评价分类管理名录》，将建设项目分为四类，本项目属于“V社会事业与服务业 158、医院</w:t>
      </w:r>
      <w:r>
        <w:rPr>
          <w:rFonts w:hint="eastAsia" w:cs="Times New Roman" w:asciiTheme="minorEastAsia" w:hAnsiTheme="minorEastAsia"/>
          <w:sz w:val="24"/>
          <w:szCs w:val="24"/>
        </w:rPr>
        <w:t>─</w:t>
      </w:r>
      <w:r>
        <w:rPr>
          <w:rFonts w:hint="eastAsia" w:ascii="Times New Roman" w:hAnsi="Times New Roman" w:cs="Times New Roman"/>
          <w:sz w:val="24"/>
          <w:szCs w:val="24"/>
        </w:rPr>
        <w:t>新建、扩建（三甲）”，为</w:t>
      </w:r>
      <w:r>
        <w:rPr>
          <w:rFonts w:hint="eastAsia" w:cs="Times New Roman" w:asciiTheme="minorEastAsia" w:hAnsiTheme="minorEastAsia"/>
          <w:sz w:val="24"/>
          <w:szCs w:val="24"/>
        </w:rPr>
        <w:t>Ⅲ</w:t>
      </w:r>
      <w:r>
        <w:rPr>
          <w:rFonts w:hint="eastAsia" w:ascii="Times New Roman" w:hAnsi="Times New Roman" w:cs="Times New Roman"/>
          <w:sz w:val="24"/>
          <w:szCs w:val="24"/>
        </w:rPr>
        <w:t>类建设项目。</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（2）建设项目地下水环境敏感程度</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根据建设项目的地下水环境敏感特征</w:t>
      </w:r>
      <w:r>
        <w:rPr>
          <w:rFonts w:hint="eastAsia" w:ascii="Times New Roman" w:hAnsi="Times New Roman" w:cs="Times New Roman"/>
          <w:sz w:val="24"/>
          <w:szCs w:val="24"/>
        </w:rPr>
        <w:t>（</w:t>
      </w:r>
      <w:r>
        <w:rPr>
          <w:rFonts w:ascii="Times New Roman" w:hAnsi="Times New Roman" w:cs="Times New Roman"/>
          <w:sz w:val="24"/>
          <w:szCs w:val="24"/>
        </w:rPr>
        <w:t>表2-</w:t>
      </w:r>
      <w:r>
        <w:rPr>
          <w:rFonts w:hint="eastAsia" w:ascii="Times New Roman" w:hAnsi="Times New Roman" w:cs="Times New Roman"/>
          <w:sz w:val="24"/>
          <w:szCs w:val="24"/>
        </w:rPr>
        <w:t>8）</w:t>
      </w:r>
      <w:r>
        <w:rPr>
          <w:rFonts w:ascii="Times New Roman" w:hAnsi="Times New Roman" w:cs="Times New Roman"/>
          <w:sz w:val="24"/>
          <w:szCs w:val="24"/>
        </w:rPr>
        <w:t>，</w:t>
      </w:r>
      <w:r>
        <w:rPr>
          <w:rFonts w:hint="eastAsia" w:ascii="Times New Roman" w:hAnsi="Times New Roman" w:cs="Times New Roman"/>
          <w:sz w:val="24"/>
          <w:szCs w:val="24"/>
        </w:rPr>
        <w:t>确定本</w:t>
      </w:r>
      <w:r>
        <w:rPr>
          <w:rFonts w:ascii="Times New Roman" w:hAnsi="Times New Roman" w:cs="Times New Roman"/>
          <w:sz w:val="24"/>
          <w:szCs w:val="24"/>
        </w:rPr>
        <w:t>项目的地下水环境敏感程度</w:t>
      </w:r>
      <w:r>
        <w:rPr>
          <w:rFonts w:hint="eastAsia" w:ascii="Times New Roman" w:hAnsi="Times New Roman" w:cs="Times New Roman"/>
          <w:sz w:val="24"/>
          <w:szCs w:val="24"/>
        </w:rPr>
        <w:t>为较敏感</w:t>
      </w:r>
      <w:r>
        <w:rPr>
          <w:rFonts w:ascii="Times New Roman" w:hAnsi="Times New Roman" w:cs="Times New Roman"/>
          <w:sz w:val="24"/>
          <w:szCs w:val="24"/>
        </w:rPr>
        <w:t>。</w:t>
      </w:r>
    </w:p>
    <w:p>
      <w:pPr>
        <w:overflowPunct w:val="0"/>
        <w:spacing w:line="360" w:lineRule="auto"/>
        <w:ind w:firstLine="482" w:firstLineChars="200"/>
        <w:jc w:val="center"/>
        <w:rPr>
          <w:rFonts w:ascii="Times New Roman" w:hAnsi="Times New Roman" w:eastAsia="宋体"/>
          <w:b/>
          <w:sz w:val="24"/>
          <w:szCs w:val="24"/>
        </w:rPr>
      </w:pPr>
      <w:r>
        <w:rPr>
          <w:rFonts w:ascii="Times New Roman" w:hAnsi="Times New Roman" w:eastAsia="宋体"/>
          <w:b/>
          <w:sz w:val="24"/>
          <w:szCs w:val="24"/>
        </w:rPr>
        <w:t>表2-</w:t>
      </w:r>
      <w:r>
        <w:rPr>
          <w:rFonts w:hint="eastAsia" w:ascii="Times New Roman" w:hAnsi="Times New Roman" w:eastAsia="宋体"/>
          <w:b/>
          <w:sz w:val="24"/>
          <w:szCs w:val="24"/>
        </w:rPr>
        <w:t>8</w:t>
      </w:r>
      <w:r>
        <w:rPr>
          <w:rFonts w:ascii="Times New Roman" w:hAnsi="Times New Roman" w:eastAsia="宋体"/>
          <w:b/>
          <w:sz w:val="24"/>
          <w:szCs w:val="24"/>
        </w:rPr>
        <w:t xml:space="preserve"> 建设项目的地下水环境敏感程度分级表</w:t>
      </w:r>
    </w:p>
    <w:tbl>
      <w:tblPr>
        <w:tblStyle w:val="27"/>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97"/>
        <w:gridCol w:w="5550"/>
        <w:gridCol w:w="1115"/>
        <w:gridCol w:w="7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097"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敏感程度</w:t>
            </w:r>
          </w:p>
        </w:tc>
        <w:tc>
          <w:tcPr>
            <w:tcW w:w="5550" w:type="dxa"/>
            <w:tcBorders>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地下水环境敏感特征</w:t>
            </w:r>
          </w:p>
        </w:tc>
        <w:tc>
          <w:tcPr>
            <w:tcW w:w="1115" w:type="dxa"/>
            <w:tcBorders>
              <w:left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hint="eastAsia" w:ascii="Times New Roman" w:hAnsi="Times New Roman" w:cs="Times New Roman"/>
                <w:szCs w:val="21"/>
              </w:rPr>
              <w:t>本项目</w:t>
            </w:r>
          </w:p>
        </w:tc>
        <w:tc>
          <w:tcPr>
            <w:tcW w:w="760" w:type="dxa"/>
            <w:tcBorders>
              <w:left w:val="single" w:color="auto" w:sz="4" w:space="0"/>
            </w:tcBorders>
            <w:shd w:val="clear" w:color="auto" w:fill="auto"/>
            <w:vAlign w:val="center"/>
          </w:tcPr>
          <w:p>
            <w:pPr>
              <w:jc w:val="center"/>
              <w:rPr>
                <w:rFonts w:ascii="Times New Roman" w:hAnsi="Times New Roman" w:cs="Times New Roman"/>
                <w:szCs w:val="21"/>
              </w:rPr>
            </w:pPr>
            <w:r>
              <w:rPr>
                <w:rFonts w:hint="eastAsia" w:ascii="Times New Roman" w:hAnsi="Times New Roman" w:cs="Times New Roman"/>
                <w:szCs w:val="21"/>
              </w:rPr>
              <w:t>分级结果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097"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敏感</w:t>
            </w:r>
          </w:p>
        </w:tc>
        <w:tc>
          <w:tcPr>
            <w:tcW w:w="5550" w:type="dxa"/>
            <w:tcBorders>
              <w:right w:val="single" w:color="auto" w:sz="4" w:space="0"/>
            </w:tcBorders>
            <w:shd w:val="clear" w:color="auto" w:fill="auto"/>
            <w:vAlign w:val="center"/>
          </w:tcPr>
          <w:p>
            <w:pPr>
              <w:rPr>
                <w:rFonts w:ascii="Times New Roman" w:hAnsi="Times New Roman" w:cs="Times New Roman"/>
                <w:szCs w:val="21"/>
              </w:rPr>
            </w:pPr>
            <w:r>
              <w:rPr>
                <w:rFonts w:ascii="Times New Roman" w:hAnsi="Times New Roman" w:cs="Times New Roman"/>
                <w:szCs w:val="21"/>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c>
          <w:tcPr>
            <w:tcW w:w="1115" w:type="dxa"/>
            <w:vMerge w:val="restart"/>
            <w:tcBorders>
              <w:left w:val="single" w:color="auto" w:sz="4" w:space="0"/>
              <w:right w:val="single" w:color="auto" w:sz="4" w:space="0"/>
            </w:tcBorders>
            <w:shd w:val="clear" w:color="auto" w:fill="auto"/>
            <w:vAlign w:val="center"/>
          </w:tcPr>
          <w:p>
            <w:pPr>
              <w:jc w:val="center"/>
              <w:rPr>
                <w:rFonts w:ascii="Times New Roman" w:hAnsi="Times New Roman" w:cs="Times New Roman"/>
                <w:szCs w:val="21"/>
              </w:rPr>
            </w:pPr>
            <w:r>
              <w:rPr>
                <w:rFonts w:hint="eastAsia" w:ascii="Times New Roman" w:hAnsi="Times New Roman" w:cs="Times New Roman"/>
                <w:szCs w:val="21"/>
              </w:rPr>
              <w:t>评价范围内有分散式饮用水源地</w:t>
            </w:r>
          </w:p>
        </w:tc>
        <w:tc>
          <w:tcPr>
            <w:tcW w:w="760" w:type="dxa"/>
            <w:vMerge w:val="restart"/>
            <w:tcBorders>
              <w:left w:val="single" w:color="auto" w:sz="4" w:space="0"/>
            </w:tcBorders>
            <w:shd w:val="clear" w:color="auto" w:fill="auto"/>
            <w:vAlign w:val="center"/>
          </w:tcPr>
          <w:p>
            <w:pPr>
              <w:jc w:val="center"/>
              <w:rPr>
                <w:rFonts w:ascii="Times New Roman" w:hAnsi="Times New Roman" w:cs="Times New Roman"/>
                <w:szCs w:val="21"/>
              </w:rPr>
            </w:pPr>
            <w:r>
              <w:rPr>
                <w:rFonts w:hint="eastAsia" w:ascii="Times New Roman" w:hAnsi="Times New Roman" w:cs="Times New Roman"/>
                <w:szCs w:val="21"/>
              </w:rPr>
              <w:t>较敏感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097"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较敏感</w:t>
            </w:r>
          </w:p>
        </w:tc>
        <w:tc>
          <w:tcPr>
            <w:tcW w:w="5550" w:type="dxa"/>
            <w:tcBorders>
              <w:right w:val="single" w:color="auto" w:sz="4" w:space="0"/>
            </w:tcBorders>
            <w:shd w:val="clear" w:color="auto" w:fill="auto"/>
            <w:vAlign w:val="center"/>
          </w:tcPr>
          <w:p>
            <w:pPr>
              <w:rPr>
                <w:rFonts w:ascii="Times New Roman" w:hAnsi="Times New Roman" w:cs="Times New Roman"/>
                <w:szCs w:val="21"/>
              </w:rPr>
            </w:pPr>
            <w:r>
              <w:rPr>
                <w:rFonts w:ascii="Times New Roman" w:hAnsi="Times New Roman" w:cs="Times New Roman"/>
                <w:szCs w:val="21"/>
              </w:rPr>
              <w:t>集中式饮用水水源（包括已建成的在用、备用、应急水源，在建和规划的饮用水水源）准保护区以外的补给径流区；未划定准保护区的集中式饮用水水源，保护区以外的补给径流区；分散式饮用水水源地</w:t>
            </w:r>
            <w:r>
              <w:rPr>
                <w:rFonts w:hint="eastAsia" w:ascii="Times New Roman" w:hAnsi="Times New Roman" w:cs="Times New Roman"/>
                <w:szCs w:val="21"/>
              </w:rPr>
              <w:t>；</w:t>
            </w:r>
            <w:r>
              <w:rPr>
                <w:rFonts w:ascii="Times New Roman" w:hAnsi="Times New Roman" w:cs="Times New Roman"/>
                <w:szCs w:val="21"/>
              </w:rPr>
              <w:t>特殊地下水资源（如矿泉水、温泉等）保护区以外的分布区等其它未列入上述敏感分级的环境敏感区</w:t>
            </w:r>
            <w:r>
              <w:rPr>
                <w:rFonts w:hint="eastAsia" w:ascii="Times New Roman" w:hAnsi="Times New Roman" w:cs="Times New Roman"/>
                <w:szCs w:val="21"/>
                <w:vertAlign w:val="superscript"/>
              </w:rPr>
              <w:t>a</w:t>
            </w:r>
            <w:r>
              <w:rPr>
                <w:rFonts w:ascii="Times New Roman" w:hAnsi="Times New Roman" w:cs="Times New Roman"/>
                <w:szCs w:val="21"/>
              </w:rPr>
              <w:t>。</w:t>
            </w:r>
          </w:p>
        </w:tc>
        <w:tc>
          <w:tcPr>
            <w:tcW w:w="1115" w:type="dxa"/>
            <w:vMerge w:val="continue"/>
            <w:tcBorders>
              <w:left w:val="single" w:color="auto" w:sz="4" w:space="0"/>
              <w:right w:val="single" w:color="auto" w:sz="4" w:space="0"/>
            </w:tcBorders>
            <w:shd w:val="clear" w:color="auto" w:fill="auto"/>
            <w:vAlign w:val="center"/>
          </w:tcPr>
          <w:p>
            <w:pPr>
              <w:jc w:val="center"/>
              <w:rPr>
                <w:rFonts w:ascii="Times New Roman" w:hAnsi="Times New Roman" w:cs="Times New Roman"/>
                <w:szCs w:val="21"/>
              </w:rPr>
            </w:pPr>
          </w:p>
        </w:tc>
        <w:tc>
          <w:tcPr>
            <w:tcW w:w="760" w:type="dxa"/>
            <w:vMerge w:val="continue"/>
            <w:tcBorders>
              <w:left w:val="single" w:color="auto" w:sz="4" w:space="0"/>
            </w:tcBorders>
            <w:shd w:val="clear" w:color="auto" w:fill="auto"/>
            <w:vAlign w:val="center"/>
          </w:tcPr>
          <w:p>
            <w:pPr>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097"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不敏感</w:t>
            </w:r>
          </w:p>
        </w:tc>
        <w:tc>
          <w:tcPr>
            <w:tcW w:w="5550" w:type="dxa"/>
            <w:tcBorders>
              <w:right w:val="single" w:color="auto" w:sz="4" w:space="0"/>
            </w:tcBorders>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上述地区之外的其它地区。</w:t>
            </w:r>
          </w:p>
        </w:tc>
        <w:tc>
          <w:tcPr>
            <w:tcW w:w="1115" w:type="dxa"/>
            <w:vMerge w:val="continue"/>
            <w:tcBorders>
              <w:left w:val="single" w:color="auto" w:sz="4" w:space="0"/>
              <w:right w:val="single" w:color="auto" w:sz="4" w:space="0"/>
            </w:tcBorders>
            <w:shd w:val="clear" w:color="auto" w:fill="auto"/>
            <w:vAlign w:val="center"/>
          </w:tcPr>
          <w:p>
            <w:pPr>
              <w:jc w:val="center"/>
              <w:rPr>
                <w:rFonts w:ascii="Times New Roman" w:hAnsi="Times New Roman" w:cs="Times New Roman"/>
                <w:szCs w:val="21"/>
              </w:rPr>
            </w:pPr>
          </w:p>
        </w:tc>
        <w:tc>
          <w:tcPr>
            <w:tcW w:w="760" w:type="dxa"/>
            <w:vMerge w:val="continue"/>
            <w:tcBorders>
              <w:left w:val="single" w:color="auto" w:sz="4" w:space="0"/>
            </w:tcBorders>
            <w:shd w:val="clear" w:color="auto" w:fill="auto"/>
            <w:vAlign w:val="center"/>
          </w:tcPr>
          <w:p>
            <w:pPr>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8522" w:type="dxa"/>
            <w:gridSpan w:val="4"/>
            <w:shd w:val="clear" w:color="auto" w:fill="auto"/>
            <w:vAlign w:val="center"/>
          </w:tcPr>
          <w:p>
            <w:pPr>
              <w:jc w:val="center"/>
              <w:rPr>
                <w:rFonts w:ascii="仿宋" w:hAnsi="仿宋" w:eastAsia="仿宋" w:cs="Times New Roman"/>
                <w:sz w:val="18"/>
                <w:szCs w:val="18"/>
              </w:rPr>
            </w:pPr>
            <w:r>
              <w:rPr>
                <w:rFonts w:ascii="仿宋" w:hAnsi="仿宋" w:eastAsia="仿宋" w:cs="Times New Roman"/>
                <w:sz w:val="18"/>
                <w:szCs w:val="18"/>
              </w:rPr>
              <w:t>注：a“环境敏感区”是指《建设项目环境影响评价分类管理名录》中所界定的涉及地下水的环境敏感区。</w:t>
            </w:r>
          </w:p>
        </w:tc>
      </w:tr>
    </w:tbl>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（3）建设项目地下水评价工作等级划分</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建设项目地下水环境影响评价工作等级划分</w:t>
      </w:r>
      <w:r>
        <w:rPr>
          <w:rFonts w:hint="eastAsia" w:ascii="Times New Roman" w:hAnsi="Times New Roman" w:cs="Times New Roman"/>
          <w:sz w:val="24"/>
          <w:szCs w:val="24"/>
        </w:rPr>
        <w:t>见</w:t>
      </w:r>
      <w:r>
        <w:rPr>
          <w:rFonts w:ascii="Times New Roman" w:hAnsi="Times New Roman" w:cs="Times New Roman"/>
          <w:sz w:val="24"/>
          <w:szCs w:val="24"/>
        </w:rPr>
        <w:t>表</w:t>
      </w:r>
      <w:r>
        <w:rPr>
          <w:rFonts w:hint="eastAsia" w:ascii="Times New Roman" w:hAnsi="Times New Roman" w:cs="Times New Roman"/>
          <w:sz w:val="24"/>
          <w:szCs w:val="24"/>
        </w:rPr>
        <w:t>2-9</w:t>
      </w:r>
      <w:r>
        <w:rPr>
          <w:rFonts w:ascii="Times New Roman" w:hAnsi="Times New Roman" w:cs="Times New Roman"/>
          <w:sz w:val="24"/>
          <w:szCs w:val="24"/>
        </w:rPr>
        <w:t>。</w:t>
      </w:r>
    </w:p>
    <w:p>
      <w:pPr>
        <w:overflowPunct w:val="0"/>
        <w:spacing w:line="360" w:lineRule="auto"/>
        <w:ind w:firstLine="482" w:firstLineChars="200"/>
        <w:jc w:val="center"/>
        <w:rPr>
          <w:rFonts w:ascii="Times New Roman" w:hAnsi="Times New Roman" w:eastAsia="宋体"/>
          <w:b/>
          <w:sz w:val="24"/>
          <w:szCs w:val="24"/>
        </w:rPr>
      </w:pPr>
      <w:r>
        <w:rPr>
          <w:rFonts w:ascii="Times New Roman" w:hAnsi="Times New Roman" w:eastAsia="宋体"/>
          <w:b/>
          <w:sz w:val="24"/>
          <w:szCs w:val="24"/>
        </w:rPr>
        <w:t>表2-</w:t>
      </w:r>
      <w:r>
        <w:rPr>
          <w:rFonts w:hint="eastAsia" w:ascii="Times New Roman" w:hAnsi="Times New Roman" w:eastAsia="宋体"/>
          <w:b/>
          <w:sz w:val="24"/>
          <w:szCs w:val="24"/>
        </w:rPr>
        <w:t>9</w:t>
      </w:r>
      <w:r>
        <w:rPr>
          <w:rFonts w:ascii="Times New Roman" w:hAnsi="Times New Roman" w:eastAsia="宋体"/>
          <w:b/>
          <w:sz w:val="24"/>
          <w:szCs w:val="24"/>
        </w:rPr>
        <w:t xml:space="preserve"> 地下水评价工作等级分级表</w:t>
      </w:r>
    </w:p>
    <w:tbl>
      <w:tblPr>
        <w:tblStyle w:val="27"/>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76"/>
        <w:gridCol w:w="1884"/>
        <w:gridCol w:w="2131"/>
        <w:gridCol w:w="2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2376" w:type="dxa"/>
            <w:tcBorders>
              <w:tl2br w:val="single" w:color="auto" w:sz="4" w:space="0"/>
            </w:tcBorders>
            <w:shd w:val="clear" w:color="auto" w:fill="auto"/>
            <w:vAlign w:val="center"/>
          </w:tcPr>
          <w:p>
            <w:pPr>
              <w:jc w:val="center"/>
              <w:rPr>
                <w:rFonts w:ascii="Times New Roman" w:hAnsi="Times New Roman" w:cs="Times New Roman"/>
                <w:szCs w:val="21"/>
              </w:rPr>
            </w:pPr>
            <w:r>
              <w:rPr>
                <w:rFonts w:hint="eastAsia" w:ascii="Times New Roman" w:hAnsi="Times New Roman" w:cs="Times New Roman"/>
                <w:szCs w:val="21"/>
              </w:rPr>
              <w:t xml:space="preserve">         </w:t>
            </w:r>
            <w:r>
              <w:rPr>
                <w:rFonts w:ascii="Times New Roman" w:hAnsi="Times New Roman" w:cs="Times New Roman"/>
                <w:szCs w:val="21"/>
              </w:rPr>
              <w:t>项目类别</w:t>
            </w:r>
          </w:p>
          <w:p>
            <w:pPr>
              <w:rPr>
                <w:rFonts w:ascii="Times New Roman" w:hAnsi="Times New Roman" w:cs="Times New Roman"/>
                <w:szCs w:val="21"/>
              </w:rPr>
            </w:pPr>
            <w:r>
              <w:rPr>
                <w:rFonts w:ascii="Times New Roman" w:hAnsi="Times New Roman" w:cs="Times New Roman"/>
                <w:szCs w:val="21"/>
              </w:rPr>
              <w:t>环境敏感程度</w:t>
            </w:r>
          </w:p>
        </w:tc>
        <w:tc>
          <w:tcPr>
            <w:tcW w:w="1884" w:type="dxa"/>
            <w:shd w:val="clear" w:color="auto" w:fill="auto"/>
            <w:vAlign w:val="center"/>
          </w:tcPr>
          <w:p>
            <w:pPr>
              <w:jc w:val="center"/>
              <w:rPr>
                <w:rFonts w:ascii="Times New Roman" w:hAnsi="Times New Roman" w:cs="Times New Roman"/>
                <w:szCs w:val="21"/>
              </w:rPr>
            </w:pPr>
            <w:r>
              <w:rPr>
                <w:rFonts w:hint="eastAsia" w:ascii="Times New Roman" w:hAnsi="Times New Roman" w:cs="Times New Roman"/>
                <w:szCs w:val="21"/>
              </w:rPr>
              <w:t>Ⅰ</w:t>
            </w:r>
            <w:r>
              <w:rPr>
                <w:rFonts w:ascii="Times New Roman" w:hAnsi="Times New Roman" w:cs="Times New Roman"/>
                <w:szCs w:val="21"/>
              </w:rPr>
              <w:t>类</w:t>
            </w:r>
          </w:p>
        </w:tc>
        <w:tc>
          <w:tcPr>
            <w:tcW w:w="2131" w:type="dxa"/>
            <w:shd w:val="clear" w:color="auto" w:fill="auto"/>
            <w:vAlign w:val="center"/>
          </w:tcPr>
          <w:p>
            <w:pPr>
              <w:jc w:val="center"/>
              <w:rPr>
                <w:rFonts w:ascii="Times New Roman" w:hAnsi="Times New Roman" w:cs="Times New Roman"/>
                <w:szCs w:val="21"/>
              </w:rPr>
            </w:pPr>
            <w:r>
              <w:rPr>
                <w:rFonts w:hint="eastAsia" w:ascii="Times New Roman" w:hAnsi="Times New Roman" w:cs="Times New Roman"/>
                <w:szCs w:val="21"/>
              </w:rPr>
              <w:t>Ⅱ</w:t>
            </w:r>
            <w:r>
              <w:rPr>
                <w:rFonts w:ascii="Times New Roman" w:hAnsi="Times New Roman" w:cs="Times New Roman"/>
                <w:szCs w:val="21"/>
              </w:rPr>
              <w:t>类</w:t>
            </w:r>
          </w:p>
        </w:tc>
        <w:tc>
          <w:tcPr>
            <w:tcW w:w="2131" w:type="dxa"/>
            <w:shd w:val="clear" w:color="auto" w:fill="auto"/>
            <w:vAlign w:val="center"/>
          </w:tcPr>
          <w:p>
            <w:pPr>
              <w:jc w:val="center"/>
              <w:rPr>
                <w:rFonts w:ascii="Times New Roman" w:hAnsi="Times New Roman" w:cs="Times New Roman"/>
                <w:szCs w:val="21"/>
              </w:rPr>
            </w:pPr>
            <w:r>
              <w:rPr>
                <w:rFonts w:hint="eastAsia" w:ascii="Times New Roman" w:hAnsi="Times New Roman" w:cs="Times New Roman"/>
                <w:szCs w:val="21"/>
              </w:rPr>
              <w:t>Ⅲ</w:t>
            </w:r>
            <w:r>
              <w:rPr>
                <w:rFonts w:ascii="Times New Roman" w:hAnsi="Times New Roman" w:cs="Times New Roman"/>
                <w:szCs w:val="21"/>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2376"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敏感</w:t>
            </w:r>
          </w:p>
        </w:tc>
        <w:tc>
          <w:tcPr>
            <w:tcW w:w="1884"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一</w:t>
            </w:r>
          </w:p>
        </w:tc>
        <w:tc>
          <w:tcPr>
            <w:tcW w:w="2131"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一</w:t>
            </w:r>
          </w:p>
        </w:tc>
        <w:tc>
          <w:tcPr>
            <w:tcW w:w="2131"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2376"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较敏感</w:t>
            </w:r>
          </w:p>
        </w:tc>
        <w:tc>
          <w:tcPr>
            <w:tcW w:w="1884"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一</w:t>
            </w:r>
          </w:p>
        </w:tc>
        <w:tc>
          <w:tcPr>
            <w:tcW w:w="2131"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二</w:t>
            </w:r>
          </w:p>
        </w:tc>
        <w:tc>
          <w:tcPr>
            <w:tcW w:w="2131"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2376"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不敏感</w:t>
            </w:r>
          </w:p>
        </w:tc>
        <w:tc>
          <w:tcPr>
            <w:tcW w:w="1884"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二</w:t>
            </w:r>
          </w:p>
        </w:tc>
        <w:tc>
          <w:tcPr>
            <w:tcW w:w="2131"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三</w:t>
            </w:r>
          </w:p>
        </w:tc>
        <w:tc>
          <w:tcPr>
            <w:tcW w:w="2131"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2376" w:type="dxa"/>
            <w:shd w:val="clear" w:color="auto" w:fill="auto"/>
            <w:vAlign w:val="center"/>
          </w:tcPr>
          <w:p>
            <w:pPr>
              <w:jc w:val="center"/>
              <w:rPr>
                <w:rFonts w:ascii="Times New Roman" w:hAnsi="Times New Roman" w:cs="Times New Roman"/>
                <w:szCs w:val="21"/>
              </w:rPr>
            </w:pPr>
            <w:r>
              <w:rPr>
                <w:rFonts w:hint="eastAsia" w:ascii="Times New Roman" w:hAnsi="Times New Roman" w:cs="Times New Roman"/>
                <w:szCs w:val="21"/>
              </w:rPr>
              <w:t>本项目</w:t>
            </w:r>
          </w:p>
        </w:tc>
        <w:tc>
          <w:tcPr>
            <w:tcW w:w="6146" w:type="dxa"/>
            <w:gridSpan w:val="3"/>
            <w:shd w:val="clear" w:color="auto" w:fill="auto"/>
            <w:vAlign w:val="center"/>
          </w:tcPr>
          <w:p>
            <w:pPr>
              <w:jc w:val="center"/>
              <w:rPr>
                <w:rFonts w:ascii="Times New Roman" w:hAnsi="Times New Roman" w:cs="Times New Roman"/>
                <w:szCs w:val="21"/>
              </w:rPr>
            </w:pPr>
            <w:r>
              <w:rPr>
                <w:rFonts w:hint="eastAsia" w:ascii="Times New Roman" w:hAnsi="Times New Roman" w:cs="Times New Roman"/>
                <w:szCs w:val="21"/>
              </w:rPr>
              <w:t>三级</w:t>
            </w:r>
          </w:p>
        </w:tc>
      </w:tr>
    </w:tbl>
    <w:p>
      <w:pPr>
        <w:pStyle w:val="45"/>
        <w:ind w:firstLine="480"/>
        <w:rPr>
          <w:rFonts w:ascii="Times New Roman"/>
        </w:rPr>
      </w:pPr>
      <w:r>
        <w:rPr>
          <w:rFonts w:ascii="Times New Roman"/>
        </w:rPr>
        <w:t>由表</w:t>
      </w:r>
      <w:r>
        <w:rPr>
          <w:rFonts w:hint="eastAsia" w:ascii="Times New Roman"/>
        </w:rPr>
        <w:t>2-8确定本项目评价范围内有分散式饮用水源地，环境敏感程度为较敏感，由表2-9确定本项目地下水评价工作等级为三级。</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2.5.4声环境影响评价等级</w:t>
      </w:r>
    </w:p>
    <w:p>
      <w:pPr>
        <w:overflowPunct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建设项目</w:t>
      </w:r>
      <w:r>
        <w:rPr>
          <w:rFonts w:hint="eastAsia" w:ascii="Times New Roman" w:hAnsi="Times New Roman" w:cs="Times New Roman"/>
          <w:sz w:val="24"/>
          <w:szCs w:val="24"/>
        </w:rPr>
        <w:t>声</w:t>
      </w:r>
      <w:r>
        <w:rPr>
          <w:rFonts w:ascii="Times New Roman" w:hAnsi="Times New Roman" w:cs="Times New Roman"/>
          <w:sz w:val="24"/>
          <w:szCs w:val="24"/>
        </w:rPr>
        <w:t>环境影响评价工作等级划分</w:t>
      </w:r>
      <w:r>
        <w:rPr>
          <w:rFonts w:hint="eastAsia" w:ascii="Times New Roman" w:hAnsi="Times New Roman" w:cs="Times New Roman"/>
          <w:sz w:val="24"/>
          <w:szCs w:val="24"/>
        </w:rPr>
        <w:t>见</w:t>
      </w:r>
      <w:r>
        <w:rPr>
          <w:rFonts w:ascii="Times New Roman" w:hAnsi="Times New Roman" w:cs="Times New Roman"/>
          <w:sz w:val="24"/>
          <w:szCs w:val="24"/>
        </w:rPr>
        <w:t>表</w:t>
      </w:r>
      <w:r>
        <w:rPr>
          <w:rFonts w:hint="eastAsia" w:ascii="Times New Roman" w:hAnsi="Times New Roman" w:cs="Times New Roman"/>
          <w:sz w:val="24"/>
          <w:szCs w:val="24"/>
        </w:rPr>
        <w:t>2-10</w:t>
      </w:r>
      <w:r>
        <w:rPr>
          <w:rFonts w:ascii="Times New Roman" w:hAnsi="Times New Roman" w:cs="Times New Roman"/>
          <w:sz w:val="24"/>
          <w:szCs w:val="24"/>
        </w:rPr>
        <w:t>。</w:t>
      </w:r>
    </w:p>
    <w:p>
      <w:pPr>
        <w:overflowPunct w:val="0"/>
        <w:spacing w:line="360" w:lineRule="auto"/>
        <w:rPr>
          <w:rFonts w:ascii="Times New Roman" w:hAnsi="Times New Roman" w:eastAsia="宋体"/>
          <w:b/>
          <w:sz w:val="24"/>
          <w:szCs w:val="24"/>
        </w:rPr>
      </w:pPr>
    </w:p>
    <w:p>
      <w:pPr>
        <w:overflowPunct w:val="0"/>
        <w:spacing w:line="360" w:lineRule="auto"/>
        <w:ind w:firstLine="482" w:firstLineChars="200"/>
        <w:jc w:val="center"/>
        <w:rPr>
          <w:rFonts w:ascii="Times New Roman" w:hAnsi="Times New Roman" w:eastAsia="宋体"/>
          <w:b/>
          <w:sz w:val="24"/>
          <w:szCs w:val="24"/>
        </w:rPr>
      </w:pPr>
      <w:r>
        <w:rPr>
          <w:rFonts w:ascii="Times New Roman" w:hAnsi="Times New Roman" w:eastAsia="宋体"/>
          <w:b/>
          <w:sz w:val="24"/>
          <w:szCs w:val="24"/>
        </w:rPr>
        <w:t>表</w:t>
      </w:r>
      <w:r>
        <w:rPr>
          <w:rFonts w:hint="eastAsia" w:ascii="Times New Roman" w:hAnsi="Times New Roman" w:eastAsia="宋体"/>
          <w:b/>
          <w:sz w:val="24"/>
          <w:szCs w:val="24"/>
        </w:rPr>
        <w:t>2-10</w:t>
      </w:r>
      <w:r>
        <w:rPr>
          <w:rFonts w:ascii="Times New Roman" w:hAnsi="Times New Roman" w:eastAsia="宋体"/>
          <w:b/>
          <w:sz w:val="24"/>
          <w:szCs w:val="24"/>
        </w:rPr>
        <w:t xml:space="preserve"> 声环境评价工作等级一览表</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5386"/>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345" w:type="dxa"/>
            <w:gridSpan w:val="2"/>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分级依据</w:t>
            </w:r>
          </w:p>
        </w:tc>
        <w:tc>
          <w:tcPr>
            <w:tcW w:w="2177" w:type="dxa"/>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59" w:type="dxa"/>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一级</w:t>
            </w:r>
          </w:p>
        </w:tc>
        <w:tc>
          <w:tcPr>
            <w:tcW w:w="5386" w:type="dxa"/>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评价范围内有适用于GB3096的0类声环境功能区域，以及对噪声有特别限制要求的保护区等敏感目标，或建设项目建设前后评价范围内敏感目标噪声级增高量达5dB（A）以上（不含5 dB（A）），或受影响人口数量显著增多</w:t>
            </w:r>
          </w:p>
        </w:tc>
        <w:tc>
          <w:tcPr>
            <w:tcW w:w="2177" w:type="dxa"/>
            <w:vMerge w:val="restart"/>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本项目位于</w:t>
            </w:r>
            <w:r>
              <w:rPr>
                <w:rFonts w:hint="eastAsia" w:ascii="Times New Roman" w:hAnsi="Times New Roman" w:cs="Times New Roman"/>
                <w:bCs/>
                <w:color w:val="000000" w:themeColor="text1"/>
                <w:szCs w:val="21"/>
              </w:rPr>
              <w:t>保定市莲池区华电路南侧，秀兰﹒文景苑小区东侧</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根据《保定市主城区1-3类声环境功能区划图（2016年）》</w:t>
            </w:r>
          </w:p>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，项目位于1</w:t>
            </w:r>
            <w:r>
              <w:rPr>
                <w:rFonts w:ascii="Times New Roman" w:hAnsi="Times New Roman" w:cs="Times New Roman"/>
                <w:color w:val="000000" w:themeColor="text1"/>
                <w:szCs w:val="21"/>
              </w:rPr>
              <w:t>类声环境功能区</w:t>
            </w:r>
            <w:r>
              <w:rPr>
                <w:rFonts w:hint="eastAsia" w:ascii="Times New Roman" w:hAnsi="Times New Roman" w:cs="Times New Roman"/>
                <w:color w:val="000000" w:themeColor="text1"/>
                <w:szCs w:val="21"/>
              </w:rPr>
              <w:t>，本项目建设前后区域噪声级增高量在3-5</w:t>
            </w:r>
            <w:r>
              <w:rPr>
                <w:rFonts w:ascii="Times New Roman" w:hAnsi="Times New Roman" w:cs="Times New Roman"/>
                <w:color w:val="000000" w:themeColor="text1"/>
                <w:szCs w:val="21"/>
              </w:rPr>
              <w:t>dB（A）（含5dB（A））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59" w:type="dxa"/>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二级</w:t>
            </w:r>
          </w:p>
        </w:tc>
        <w:tc>
          <w:tcPr>
            <w:tcW w:w="5386" w:type="dxa"/>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建设项目所处的声环境功能区为GB3096规定的1类、2类地区，或建设项目建设前后评价范围内敏感目标噪声级增高量达3dB（A）</w:t>
            </w:r>
            <w:r>
              <w:rPr>
                <w:rFonts w:ascii="Times New Roman" w:hAnsi="Times New Roman" w:eastAsia="仿宋_GB2312" w:cs="Times New Roman"/>
                <w:color w:val="000000" w:themeColor="text1"/>
                <w:szCs w:val="21"/>
              </w:rPr>
              <w:t>~</w:t>
            </w:r>
            <w:r>
              <w:rPr>
                <w:rFonts w:ascii="Times New Roman" w:hAnsi="Times New Roman" w:cs="Times New Roman"/>
                <w:color w:val="000000" w:themeColor="text1"/>
                <w:szCs w:val="21"/>
              </w:rPr>
              <w:t>5dB（A）（含5dB（A）），或受噪声影响人口数量增加较多</w:t>
            </w:r>
          </w:p>
        </w:tc>
        <w:tc>
          <w:tcPr>
            <w:tcW w:w="2177" w:type="dxa"/>
            <w:vMerge w:val="continue"/>
            <w:vAlign w:val="center"/>
          </w:tcPr>
          <w:p>
            <w:pPr>
              <w:jc w:val="center"/>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59" w:type="dxa"/>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三级</w:t>
            </w:r>
          </w:p>
        </w:tc>
        <w:tc>
          <w:tcPr>
            <w:tcW w:w="5386" w:type="dxa"/>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建设项目所处的声环境功能区为GB3096规定的3类、4类地区，或建设项目建设前后评价范围内敏感目标噪声级增高量在3dB（A）以下（</w:t>
            </w:r>
            <w:r>
              <w:rPr>
                <w:rFonts w:hint="eastAsia" w:ascii="Times New Roman" w:hAnsi="Times New Roman" w:cs="Times New Roman"/>
                <w:color w:val="000000" w:themeColor="text1"/>
                <w:szCs w:val="21"/>
              </w:rPr>
              <w:t>不含</w:t>
            </w:r>
            <w:r>
              <w:rPr>
                <w:rFonts w:ascii="Times New Roman" w:hAnsi="Times New Roman" w:cs="Times New Roman"/>
                <w:color w:val="000000" w:themeColor="text1"/>
                <w:szCs w:val="21"/>
              </w:rPr>
              <w:t>3dB（A）），且受影响人口数量人口变化不大</w:t>
            </w:r>
          </w:p>
        </w:tc>
        <w:tc>
          <w:tcPr>
            <w:tcW w:w="2177" w:type="dxa"/>
            <w:vMerge w:val="continue"/>
            <w:vAlign w:val="center"/>
          </w:tcPr>
          <w:p>
            <w:pPr>
              <w:jc w:val="center"/>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345" w:type="dxa"/>
            <w:gridSpan w:val="2"/>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本项目声环境评价工作等级</w:t>
            </w:r>
          </w:p>
        </w:tc>
        <w:tc>
          <w:tcPr>
            <w:tcW w:w="2177" w:type="dxa"/>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二</w:t>
            </w:r>
            <w:r>
              <w:rPr>
                <w:rFonts w:ascii="Times New Roman" w:hAnsi="Times New Roman" w:cs="Times New Roman"/>
                <w:color w:val="000000" w:themeColor="text1"/>
                <w:szCs w:val="21"/>
              </w:rPr>
              <w:t>级</w:t>
            </w:r>
          </w:p>
        </w:tc>
      </w:tr>
    </w:tbl>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rPr>
        <w:t>根据《环境影响评价技术导则  声环境》（HJ2.4－2009），确定</w:t>
      </w:r>
      <w:r>
        <w:rPr>
          <w:rFonts w:hint="eastAsia" w:ascii="Times New Roman" w:hAnsi="Times New Roman" w:cs="Times New Roman"/>
          <w:color w:val="000000" w:themeColor="text1"/>
          <w:sz w:val="24"/>
        </w:rPr>
        <w:t>本项目</w:t>
      </w:r>
      <w:r>
        <w:rPr>
          <w:rFonts w:ascii="Times New Roman" w:hAnsi="Times New Roman" w:cs="Times New Roman"/>
          <w:color w:val="000000" w:themeColor="text1"/>
          <w:sz w:val="24"/>
        </w:rPr>
        <w:t>声环境评价工作等级为</w:t>
      </w:r>
      <w:r>
        <w:rPr>
          <w:rFonts w:hint="eastAsia" w:ascii="Times New Roman" w:hAnsi="Times New Roman" w:cs="Times New Roman"/>
          <w:color w:val="000000" w:themeColor="text1"/>
          <w:sz w:val="24"/>
        </w:rPr>
        <w:t>二</w:t>
      </w:r>
      <w:r>
        <w:rPr>
          <w:rFonts w:ascii="Times New Roman" w:hAnsi="Times New Roman" w:cs="Times New Roman"/>
          <w:color w:val="000000" w:themeColor="text1"/>
          <w:sz w:val="24"/>
        </w:rPr>
        <w:t>级。</w:t>
      </w:r>
    </w:p>
    <w:p>
      <w:pPr>
        <w:pStyle w:val="3"/>
        <w:spacing w:before="0" w:after="0" w:line="360" w:lineRule="auto"/>
        <w:rPr>
          <w:rFonts w:ascii="Times New Roman" w:hAnsi="Times New Roman" w:cs="Times New Roman"/>
          <w:sz w:val="28"/>
          <w:szCs w:val="28"/>
        </w:rPr>
      </w:pPr>
      <w:bookmarkStart w:id="15" w:name="_Toc13725343"/>
      <w:r>
        <w:rPr>
          <w:rFonts w:ascii="Times New Roman" w:hAnsi="Times New Roman" w:cs="Times New Roman"/>
          <w:sz w:val="28"/>
          <w:szCs w:val="28"/>
        </w:rPr>
        <w:t>2.</w:t>
      </w:r>
      <w:r>
        <w:rPr>
          <w:rFonts w:hint="eastAsia" w:ascii="Times New Roman" w:hAnsi="Times New Roman" w:cs="Times New Roman"/>
          <w:sz w:val="28"/>
          <w:szCs w:val="28"/>
        </w:rPr>
        <w:t>6</w:t>
      </w:r>
      <w:r>
        <w:rPr>
          <w:rFonts w:ascii="Times New Roman" w:hAnsi="Times New Roman" w:cs="Times New Roman"/>
          <w:sz w:val="28"/>
          <w:szCs w:val="28"/>
        </w:rPr>
        <w:t>评价范围</w:t>
      </w:r>
      <w:bookmarkEnd w:id="15"/>
    </w:p>
    <w:p>
      <w:pPr>
        <w:autoSpaceDE w:val="0"/>
        <w:autoSpaceDN w:val="0"/>
        <w:adjustRightInd w:val="0"/>
        <w:spacing w:line="360" w:lineRule="auto"/>
        <w:ind w:firstLine="360" w:firstLineChars="150"/>
        <w:jc w:val="left"/>
        <w:rPr>
          <w:rFonts w:ascii="Times New Roman" w:hAnsi="Times New Roman" w:cs="Times New Roman"/>
          <w:kern w:val="0"/>
          <w:sz w:val="24"/>
          <w:szCs w:val="24"/>
        </w:rPr>
      </w:pPr>
      <w:r>
        <w:rPr>
          <w:rFonts w:ascii="Times New Roman" w:hAnsi="Times New Roman" w:cs="Times New Roman"/>
          <w:kern w:val="0"/>
          <w:sz w:val="24"/>
          <w:szCs w:val="24"/>
        </w:rPr>
        <w:t>（1）大气环境</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依据《环境影响评价技术导则</w:t>
      </w:r>
      <w:r>
        <w:rPr>
          <w:rFonts w:hint="eastAsia" w:ascii="Times New Roman" w:hAnsi="Times New Roman" w:cs="Times New Roman"/>
          <w:color w:val="000000" w:themeColor="text1"/>
          <w:kern w:val="0"/>
          <w:sz w:val="24"/>
          <w:szCs w:val="24"/>
        </w:rPr>
        <w:t xml:space="preserve"> </w:t>
      </w:r>
      <w:r>
        <w:rPr>
          <w:rFonts w:ascii="Times New Roman" w:hAnsi="Times New Roman" w:cs="Times New Roman"/>
          <w:color w:val="000000" w:themeColor="text1"/>
          <w:kern w:val="0"/>
          <w:sz w:val="24"/>
          <w:szCs w:val="24"/>
        </w:rPr>
        <w:t>大气环境》（HJ2.2-20</w:t>
      </w:r>
      <w:r>
        <w:rPr>
          <w:rFonts w:hint="eastAsia" w:ascii="Times New Roman" w:hAnsi="Times New Roman" w:cs="Times New Roman"/>
          <w:color w:val="000000" w:themeColor="text1"/>
          <w:kern w:val="0"/>
          <w:sz w:val="24"/>
          <w:szCs w:val="24"/>
        </w:rPr>
        <w:t>1</w:t>
      </w:r>
      <w:r>
        <w:rPr>
          <w:rFonts w:ascii="Times New Roman" w:hAnsi="Times New Roman" w:cs="Times New Roman"/>
          <w:color w:val="000000" w:themeColor="text1"/>
          <w:kern w:val="0"/>
          <w:sz w:val="24"/>
          <w:szCs w:val="24"/>
        </w:rPr>
        <w:t>8）中对评价范围的规定，并考虑厂址所在区域的环境质量现状、气候、气象特征，以及外排废气污染源排污特征，确定以</w:t>
      </w:r>
      <w:r>
        <w:rPr>
          <w:rFonts w:hint="eastAsia" w:ascii="Times New Roman" w:hAnsi="Times New Roman" w:cs="Times New Roman"/>
          <w:color w:val="000000" w:themeColor="text1"/>
          <w:kern w:val="0"/>
          <w:sz w:val="24"/>
          <w:szCs w:val="24"/>
        </w:rPr>
        <w:t>污染源</w:t>
      </w:r>
      <w:r>
        <w:rPr>
          <w:rFonts w:ascii="Times New Roman" w:hAnsi="Times New Roman" w:cs="Times New Roman"/>
          <w:color w:val="000000" w:themeColor="text1"/>
          <w:kern w:val="0"/>
          <w:sz w:val="24"/>
          <w:szCs w:val="24"/>
        </w:rPr>
        <w:t>为中心，</w:t>
      </w:r>
      <w:r>
        <w:rPr>
          <w:rFonts w:hint="eastAsia" w:ascii="Times New Roman" w:hAnsi="Times New Roman" w:cs="Times New Roman"/>
          <w:color w:val="000000" w:themeColor="text1"/>
          <w:kern w:val="0"/>
          <w:sz w:val="24"/>
          <w:szCs w:val="24"/>
        </w:rPr>
        <w:t>边长5</w:t>
      </w:r>
      <w:r>
        <w:rPr>
          <w:rFonts w:ascii="Times New Roman" w:hAnsi="Times New Roman" w:cs="Times New Roman"/>
          <w:color w:val="000000" w:themeColor="text1"/>
          <w:kern w:val="0"/>
          <w:sz w:val="24"/>
          <w:szCs w:val="24"/>
        </w:rPr>
        <w:t>km区域</w:t>
      </w:r>
      <w:r>
        <w:rPr>
          <w:rFonts w:hint="eastAsia" w:ascii="Times New Roman" w:hAnsi="Times New Roman" w:cs="Times New Roman"/>
          <w:color w:val="000000" w:themeColor="text1"/>
          <w:kern w:val="0"/>
          <w:sz w:val="24"/>
          <w:szCs w:val="24"/>
        </w:rPr>
        <w:t>范围</w:t>
      </w:r>
      <w:r>
        <w:rPr>
          <w:rFonts w:ascii="Times New Roman" w:hAnsi="Times New Roman" w:cs="Times New Roman"/>
          <w:color w:val="000000" w:themeColor="text1"/>
          <w:kern w:val="0"/>
          <w:sz w:val="24"/>
          <w:szCs w:val="24"/>
        </w:rPr>
        <w:t>。</w:t>
      </w:r>
    </w:p>
    <w:p>
      <w:pPr>
        <w:autoSpaceDE w:val="0"/>
        <w:autoSpaceDN w:val="0"/>
        <w:adjustRightInd w:val="0"/>
        <w:spacing w:line="360" w:lineRule="auto"/>
        <w:ind w:firstLine="360" w:firstLineChars="150"/>
        <w:jc w:val="left"/>
        <w:rPr>
          <w:rFonts w:ascii="Times New Roman" w:hAnsi="Times New Roman" w:cs="Times New Roman"/>
          <w:kern w:val="0"/>
          <w:sz w:val="24"/>
          <w:szCs w:val="24"/>
        </w:rPr>
      </w:pPr>
      <w:r>
        <w:rPr>
          <w:rFonts w:ascii="Times New Roman" w:hAnsi="Times New Roman" w:cs="Times New Roman"/>
          <w:kern w:val="0"/>
          <w:sz w:val="24"/>
          <w:szCs w:val="24"/>
        </w:rPr>
        <w:t>（2）声环境</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建设项目厂界外</w:t>
      </w:r>
      <w:r>
        <w:rPr>
          <w:rFonts w:hint="eastAsia" w:ascii="Times New Roman" w:hAnsi="Times New Roman" w:cs="Times New Roman"/>
          <w:color w:val="000000" w:themeColor="text1"/>
          <w:kern w:val="0"/>
          <w:sz w:val="24"/>
          <w:szCs w:val="24"/>
        </w:rPr>
        <w:t>200</w:t>
      </w:r>
      <w:r>
        <w:rPr>
          <w:rFonts w:ascii="Times New Roman" w:hAnsi="Times New Roman" w:cs="Times New Roman"/>
          <w:color w:val="000000" w:themeColor="text1"/>
          <w:kern w:val="0"/>
          <w:sz w:val="24"/>
          <w:szCs w:val="24"/>
        </w:rPr>
        <w:t>m</w:t>
      </w:r>
      <w:r>
        <w:rPr>
          <w:rFonts w:hint="eastAsia" w:ascii="Times New Roman" w:hAnsi="Times New Roman" w:cs="Times New Roman"/>
          <w:color w:val="000000" w:themeColor="text1"/>
          <w:kern w:val="0"/>
          <w:sz w:val="24"/>
          <w:szCs w:val="24"/>
        </w:rPr>
        <w:t>范围</w:t>
      </w:r>
      <w:r>
        <w:rPr>
          <w:rFonts w:ascii="Times New Roman" w:hAnsi="Times New Roman" w:cs="Times New Roman"/>
          <w:color w:val="000000" w:themeColor="text1"/>
          <w:kern w:val="0"/>
          <w:sz w:val="24"/>
          <w:szCs w:val="24"/>
        </w:rPr>
        <w:t>。</w:t>
      </w:r>
    </w:p>
    <w:p>
      <w:pPr>
        <w:autoSpaceDE w:val="0"/>
        <w:autoSpaceDN w:val="0"/>
        <w:adjustRightInd w:val="0"/>
        <w:spacing w:line="360" w:lineRule="auto"/>
        <w:ind w:firstLine="360" w:firstLineChars="15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（3）</w:t>
      </w:r>
      <w:r>
        <w:rPr>
          <w:rFonts w:hint="eastAsia" w:ascii="Times New Roman" w:hAnsi="Times New Roman" w:cs="Times New Roman"/>
          <w:color w:val="000000" w:themeColor="text1"/>
          <w:kern w:val="0"/>
          <w:sz w:val="24"/>
          <w:szCs w:val="24"/>
        </w:rPr>
        <w:t>地表</w:t>
      </w:r>
      <w:r>
        <w:rPr>
          <w:rFonts w:ascii="Times New Roman" w:hAnsi="Times New Roman" w:cs="Times New Roman"/>
          <w:color w:val="000000" w:themeColor="text1"/>
          <w:kern w:val="0"/>
          <w:sz w:val="24"/>
          <w:szCs w:val="24"/>
        </w:rPr>
        <w:t>水环境</w:t>
      </w:r>
    </w:p>
    <w:p>
      <w:pPr>
        <w:autoSpaceDE w:val="0"/>
        <w:autoSpaceDN w:val="0"/>
        <w:adjustRightInd w:val="0"/>
        <w:spacing w:line="360" w:lineRule="auto"/>
        <w:ind w:firstLine="360" w:firstLineChars="150"/>
        <w:jc w:val="left"/>
        <w:rPr>
          <w:rFonts w:ascii="Times New Roman" w:hAnsi="Times New Roman" w:cs="Times New Roman"/>
          <w:color w:val="000000" w:themeColor="text1"/>
          <w:kern w:val="0"/>
          <w:sz w:val="24"/>
          <w:szCs w:val="24"/>
        </w:rPr>
      </w:pPr>
      <w:r>
        <w:rPr>
          <w:rFonts w:hint="eastAsia" w:ascii="Times New Roman" w:hAnsi="Times New Roman" w:cs="Times New Roman"/>
          <w:color w:val="000000" w:themeColor="text1"/>
          <w:kern w:val="0"/>
          <w:sz w:val="24"/>
          <w:szCs w:val="24"/>
        </w:rPr>
        <w:t>本项目主要为医疗废水、生活污水和食堂废水。</w:t>
      </w:r>
      <w:r>
        <w:rPr>
          <w:rFonts w:ascii="Times New Roman" w:hAnsi="Times New Roman" w:cs="Times New Roman"/>
          <w:color w:val="000000" w:themeColor="text1"/>
          <w:kern w:val="0"/>
          <w:sz w:val="24"/>
          <w:szCs w:val="24"/>
        </w:rPr>
        <w:t>食堂废水经隔油池</w:t>
      </w:r>
      <w:r>
        <w:rPr>
          <w:rFonts w:hint="eastAsia" w:ascii="Times New Roman" w:hAnsi="Times New Roman" w:cs="Times New Roman"/>
          <w:color w:val="000000" w:themeColor="text1"/>
          <w:kern w:val="0"/>
          <w:sz w:val="24"/>
          <w:szCs w:val="24"/>
        </w:rPr>
        <w:t>预处理后，与医疗废水、生活污水一并进入</w:t>
      </w:r>
      <w:r>
        <w:rPr>
          <w:rFonts w:ascii="Times New Roman" w:hAnsi="Times New Roman" w:cs="Times New Roman"/>
          <w:color w:val="000000" w:themeColor="text1"/>
          <w:kern w:val="0"/>
          <w:sz w:val="24"/>
          <w:szCs w:val="24"/>
        </w:rPr>
        <w:t>化粪池处理后排入医院污水处理站处理，</w:t>
      </w:r>
      <w:r>
        <w:rPr>
          <w:rFonts w:hint="eastAsia" w:ascii="Times New Roman" w:hAnsi="Times New Roman" w:cs="Times New Roman"/>
          <w:color w:val="000000" w:themeColor="text1"/>
          <w:kern w:val="0"/>
          <w:sz w:val="24"/>
          <w:szCs w:val="24"/>
        </w:rPr>
        <w:t>最终排入银定庄污水处理厂。</w:t>
      </w:r>
    </w:p>
    <w:p>
      <w:pPr>
        <w:autoSpaceDE w:val="0"/>
        <w:autoSpaceDN w:val="0"/>
        <w:adjustRightInd w:val="0"/>
        <w:spacing w:line="360" w:lineRule="auto"/>
        <w:ind w:firstLine="480" w:firstLineChars="20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根据《环境影响评价技术导则  地</w:t>
      </w:r>
      <w:r>
        <w:rPr>
          <w:rFonts w:hint="eastAsia" w:ascii="Times New Roman" w:hAnsi="Times New Roman" w:cs="Times New Roman"/>
          <w:color w:val="000000" w:themeColor="text1"/>
          <w:kern w:val="0"/>
          <w:sz w:val="24"/>
          <w:szCs w:val="24"/>
        </w:rPr>
        <w:t>表</w:t>
      </w:r>
      <w:r>
        <w:rPr>
          <w:rFonts w:ascii="Times New Roman" w:hAnsi="Times New Roman" w:cs="Times New Roman"/>
          <w:color w:val="000000" w:themeColor="text1"/>
          <w:kern w:val="0"/>
          <w:sz w:val="24"/>
          <w:szCs w:val="24"/>
        </w:rPr>
        <w:t>水环境》（HJ/T2.3-</w:t>
      </w:r>
      <w:r>
        <w:rPr>
          <w:rFonts w:hint="eastAsia" w:ascii="Times New Roman" w:hAnsi="Times New Roman" w:cs="Times New Roman"/>
          <w:color w:val="000000" w:themeColor="text1"/>
          <w:kern w:val="0"/>
          <w:sz w:val="24"/>
          <w:szCs w:val="24"/>
        </w:rPr>
        <w:t>2018</w:t>
      </w:r>
      <w:r>
        <w:rPr>
          <w:rFonts w:ascii="Times New Roman" w:hAnsi="Times New Roman" w:cs="Times New Roman"/>
          <w:color w:val="000000" w:themeColor="text1"/>
          <w:kern w:val="0"/>
          <w:sz w:val="24"/>
          <w:szCs w:val="24"/>
        </w:rPr>
        <w:t>）中对地</w:t>
      </w:r>
      <w:r>
        <w:rPr>
          <w:rFonts w:hint="eastAsia" w:ascii="Times New Roman" w:hAnsi="Times New Roman" w:cs="Times New Roman"/>
          <w:color w:val="000000" w:themeColor="text1"/>
          <w:kern w:val="0"/>
          <w:sz w:val="24"/>
          <w:szCs w:val="24"/>
        </w:rPr>
        <w:t>表</w:t>
      </w:r>
      <w:r>
        <w:rPr>
          <w:rFonts w:ascii="Times New Roman" w:hAnsi="Times New Roman" w:cs="Times New Roman"/>
          <w:color w:val="000000" w:themeColor="text1"/>
          <w:kern w:val="0"/>
          <w:sz w:val="24"/>
          <w:szCs w:val="24"/>
        </w:rPr>
        <w:t>水环境影响评价工作分级要求，确定本项目地</w:t>
      </w:r>
      <w:r>
        <w:rPr>
          <w:rFonts w:hint="eastAsia" w:ascii="Times New Roman" w:hAnsi="Times New Roman" w:cs="Times New Roman"/>
          <w:color w:val="000000" w:themeColor="text1"/>
          <w:kern w:val="0"/>
          <w:sz w:val="24"/>
          <w:szCs w:val="24"/>
        </w:rPr>
        <w:t>表</w:t>
      </w:r>
      <w:r>
        <w:rPr>
          <w:rFonts w:ascii="Times New Roman" w:hAnsi="Times New Roman" w:cs="Times New Roman"/>
          <w:color w:val="000000" w:themeColor="text1"/>
          <w:kern w:val="0"/>
          <w:sz w:val="24"/>
          <w:szCs w:val="24"/>
        </w:rPr>
        <w:t>水环境</w:t>
      </w:r>
      <w:r>
        <w:rPr>
          <w:rFonts w:hint="eastAsia" w:ascii="Times New Roman" w:hAnsi="Times New Roman" w:cs="Times New Roman"/>
          <w:color w:val="000000" w:themeColor="text1"/>
          <w:kern w:val="0"/>
          <w:sz w:val="24"/>
          <w:szCs w:val="24"/>
        </w:rPr>
        <w:t>评价</w:t>
      </w:r>
      <w:r>
        <w:rPr>
          <w:rFonts w:ascii="Times New Roman" w:hAnsi="Times New Roman" w:cs="Times New Roman"/>
          <w:color w:val="000000" w:themeColor="text1"/>
          <w:kern w:val="0"/>
          <w:sz w:val="24"/>
          <w:szCs w:val="24"/>
        </w:rPr>
        <w:t>范围</w:t>
      </w:r>
      <w:r>
        <w:rPr>
          <w:rFonts w:hint="eastAsia" w:ascii="Times New Roman" w:hAnsi="Times New Roman" w:cs="Times New Roman"/>
          <w:color w:val="000000" w:themeColor="text1"/>
          <w:kern w:val="0"/>
          <w:sz w:val="24"/>
          <w:szCs w:val="24"/>
        </w:rPr>
        <w:t>为医院污水排放口</w:t>
      </w:r>
      <w:r>
        <w:rPr>
          <w:rFonts w:ascii="Times New Roman" w:hAnsi="Times New Roman" w:cs="Times New Roman"/>
          <w:color w:val="000000" w:themeColor="text1"/>
          <w:kern w:val="0"/>
          <w:sz w:val="24"/>
          <w:szCs w:val="24"/>
        </w:rPr>
        <w:t>。</w:t>
      </w:r>
    </w:p>
    <w:p>
      <w:pPr>
        <w:autoSpaceDE w:val="0"/>
        <w:autoSpaceDN w:val="0"/>
        <w:adjustRightInd w:val="0"/>
        <w:spacing w:line="360" w:lineRule="auto"/>
        <w:ind w:firstLine="360" w:firstLineChars="150"/>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（4）地下水环境</w:t>
      </w:r>
    </w:p>
    <w:p>
      <w:pPr>
        <w:spacing w:line="360" w:lineRule="auto"/>
        <w:ind w:firstLine="480" w:firstLineChars="200"/>
        <w:rPr>
          <w:rFonts w:ascii="Times New Roman" w:hAnsi="Times New Roman" w:cs="Times New Roman" w:eastAsiaTheme="majorEastAsia"/>
          <w:color w:val="000000" w:themeColor="text1"/>
          <w:kern w:val="0"/>
          <w:sz w:val="24"/>
        </w:rPr>
      </w:pPr>
      <w:bookmarkStart w:id="16" w:name="_Toc500955294"/>
      <w:r>
        <w:rPr>
          <w:rFonts w:ascii="Times New Roman" w:cs="Times New Roman" w:eastAsiaTheme="majorEastAsia"/>
          <w:color w:val="000000" w:themeColor="text1"/>
          <w:kern w:val="0"/>
          <w:sz w:val="24"/>
        </w:rPr>
        <w:t>以厂区自西北向东南方向（地下水流向）为轴线，轴线长</w:t>
      </w:r>
      <w:r>
        <w:rPr>
          <w:rFonts w:ascii="Times New Roman" w:hAnsi="Times New Roman" w:cs="Times New Roman" w:eastAsiaTheme="majorEastAsia"/>
          <w:color w:val="000000" w:themeColor="text1"/>
          <w:kern w:val="0"/>
          <w:sz w:val="24"/>
        </w:rPr>
        <w:t>2.0km</w:t>
      </w:r>
      <w:r>
        <w:rPr>
          <w:rFonts w:ascii="Times New Roman" w:cs="Times New Roman" w:eastAsiaTheme="majorEastAsia"/>
          <w:color w:val="000000" w:themeColor="text1"/>
          <w:kern w:val="0"/>
          <w:sz w:val="24"/>
        </w:rPr>
        <w:t>（厂区上游方向</w:t>
      </w:r>
      <w:r>
        <w:rPr>
          <w:rFonts w:ascii="Times New Roman" w:hAnsi="Times New Roman" w:cs="Times New Roman" w:eastAsiaTheme="majorEastAsia"/>
          <w:color w:val="000000" w:themeColor="text1"/>
          <w:kern w:val="0"/>
          <w:sz w:val="24"/>
        </w:rPr>
        <w:t>0.5km</w:t>
      </w:r>
      <w:r>
        <w:rPr>
          <w:rFonts w:ascii="Times New Roman" w:cs="Times New Roman" w:eastAsiaTheme="majorEastAsia"/>
          <w:color w:val="000000" w:themeColor="text1"/>
          <w:kern w:val="0"/>
          <w:sz w:val="24"/>
        </w:rPr>
        <w:t>，下游</w:t>
      </w:r>
      <w:r>
        <w:rPr>
          <w:rFonts w:ascii="Times New Roman" w:hAnsi="Times New Roman" w:cs="Times New Roman" w:eastAsiaTheme="majorEastAsia"/>
          <w:color w:val="000000" w:themeColor="text1"/>
          <w:kern w:val="0"/>
          <w:sz w:val="24"/>
        </w:rPr>
        <w:t>1.5km</w:t>
      </w:r>
      <w:r>
        <w:rPr>
          <w:rFonts w:ascii="Times New Roman" w:cs="Times New Roman" w:eastAsiaTheme="majorEastAsia"/>
          <w:color w:val="000000" w:themeColor="text1"/>
          <w:kern w:val="0"/>
          <w:sz w:val="24"/>
        </w:rPr>
        <w:t>），两侧方向各</w:t>
      </w:r>
      <w:r>
        <w:rPr>
          <w:rFonts w:ascii="Times New Roman" w:hAnsi="Times New Roman" w:cs="Times New Roman" w:eastAsiaTheme="majorEastAsia"/>
          <w:color w:val="000000" w:themeColor="text1"/>
          <w:kern w:val="0"/>
          <w:sz w:val="24"/>
        </w:rPr>
        <w:t>1.5km</w:t>
      </w:r>
      <w:r>
        <w:rPr>
          <w:rFonts w:ascii="Times New Roman" w:cs="Times New Roman" w:eastAsiaTheme="majorEastAsia"/>
          <w:color w:val="000000" w:themeColor="text1"/>
          <w:kern w:val="0"/>
          <w:sz w:val="24"/>
        </w:rPr>
        <w:t>，面积为</w:t>
      </w:r>
      <w:r>
        <w:rPr>
          <w:rFonts w:ascii="Times New Roman" w:hAnsi="Times New Roman" w:cs="Times New Roman" w:eastAsiaTheme="majorEastAsia"/>
          <w:color w:val="000000" w:themeColor="text1"/>
          <w:kern w:val="0"/>
          <w:sz w:val="24"/>
        </w:rPr>
        <w:t>6km</w:t>
      </w:r>
      <w:r>
        <w:rPr>
          <w:rFonts w:ascii="Times New Roman" w:hAnsi="Times New Roman" w:cs="Times New Roman" w:eastAsiaTheme="majorEastAsia"/>
          <w:color w:val="000000" w:themeColor="text1"/>
          <w:kern w:val="0"/>
          <w:sz w:val="24"/>
          <w:vertAlign w:val="superscript"/>
        </w:rPr>
        <w:t>2</w:t>
      </w:r>
      <w:r>
        <w:rPr>
          <w:rFonts w:ascii="Times New Roman" w:hAnsi="Times New Roman" w:cs="Times New Roman" w:eastAsiaTheme="majorEastAsia"/>
          <w:color w:val="000000" w:themeColor="text1"/>
          <w:kern w:val="0"/>
          <w:sz w:val="24"/>
        </w:rPr>
        <w:t xml:space="preserve"> </w:t>
      </w:r>
      <w:r>
        <w:rPr>
          <w:rFonts w:ascii="Times New Roman" w:cs="Times New Roman" w:eastAsiaTheme="majorEastAsia"/>
          <w:color w:val="000000" w:themeColor="text1"/>
          <w:kern w:val="0"/>
          <w:sz w:val="24"/>
        </w:rPr>
        <w:t>的区域。</w:t>
      </w:r>
    </w:p>
    <w:p>
      <w:pPr>
        <w:pStyle w:val="3"/>
        <w:spacing w:before="0" w:after="0" w:line="360" w:lineRule="auto"/>
        <w:rPr>
          <w:rFonts w:ascii="Times New Roman" w:hAnsi="Times New Roman" w:cs="Times New Roman"/>
          <w:b w:val="0"/>
          <w:sz w:val="24"/>
          <w:szCs w:val="24"/>
        </w:rPr>
      </w:pPr>
      <w:bookmarkStart w:id="17" w:name="_Toc13725344"/>
      <w:r>
        <w:rPr>
          <w:rFonts w:hint="eastAsia" w:ascii="Times New Roman" w:hAnsi="Times New Roman" w:cs="Times New Roman"/>
          <w:sz w:val="28"/>
          <w:szCs w:val="28"/>
        </w:rPr>
        <w:t>2.7</w:t>
      </w:r>
      <w:r>
        <w:rPr>
          <w:rFonts w:ascii="Times New Roman" w:hAnsi="Times New Roman" w:cs="Times New Roman"/>
          <w:sz w:val="28"/>
          <w:szCs w:val="28"/>
        </w:rPr>
        <w:t>评价内容与评价重点</w:t>
      </w:r>
      <w:bookmarkEnd w:id="16"/>
      <w:bookmarkEnd w:id="17"/>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2.7</w:t>
      </w:r>
      <w:r>
        <w:rPr>
          <w:rFonts w:ascii="Times New Roman" w:hAnsi="Times New Roman" w:cs="Times New Roman"/>
          <w:sz w:val="24"/>
          <w:szCs w:val="24"/>
        </w:rPr>
        <w:t>.1 评价内容</w:t>
      </w:r>
    </w:p>
    <w:p>
      <w:pPr>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根据评价的一般要求、项目的排污特点以及周边环境特征，将本次评价的主要工作内容列于表2-11。</w:t>
      </w:r>
    </w:p>
    <w:p>
      <w:pPr>
        <w:spacing w:line="360" w:lineRule="auto"/>
        <w:ind w:firstLine="480"/>
        <w:jc w:val="center"/>
        <w:rPr>
          <w:rFonts w:ascii="宋体" w:hAnsi="Times New Roman" w:eastAsia="宋体" w:cs="宋体"/>
          <w:b/>
          <w:kern w:val="0"/>
          <w:sz w:val="24"/>
          <w:szCs w:val="24"/>
        </w:rPr>
      </w:pPr>
      <w:r>
        <w:rPr>
          <w:rFonts w:hint="eastAsia" w:ascii="宋体" w:hAnsi="Times New Roman" w:eastAsia="宋体" w:cs="宋体"/>
          <w:b/>
          <w:kern w:val="0"/>
          <w:sz w:val="24"/>
          <w:szCs w:val="24"/>
        </w:rPr>
        <w:t>表</w:t>
      </w:r>
      <w:r>
        <w:rPr>
          <w:rFonts w:ascii="Times New Roman" w:hAnsi="Times New Roman" w:eastAsia="宋体" w:cs="Times New Roman"/>
          <w:b/>
          <w:kern w:val="0"/>
          <w:sz w:val="24"/>
          <w:szCs w:val="24"/>
        </w:rPr>
        <w:t>2-1</w:t>
      </w:r>
      <w:r>
        <w:rPr>
          <w:rFonts w:hint="eastAsia" w:ascii="Times New Roman" w:hAnsi="Times New Roman" w:eastAsia="宋体" w:cs="Times New Roman"/>
          <w:b/>
          <w:kern w:val="0"/>
          <w:sz w:val="24"/>
          <w:szCs w:val="24"/>
        </w:rPr>
        <w:t>1</w:t>
      </w:r>
      <w:r>
        <w:rPr>
          <w:rFonts w:hint="eastAsia" w:ascii="宋体" w:hAnsi="Times New Roman" w:eastAsia="宋体" w:cs="宋体"/>
          <w:b/>
          <w:kern w:val="0"/>
          <w:sz w:val="24"/>
          <w:szCs w:val="24"/>
        </w:rPr>
        <w:t xml:space="preserve"> 评价内容一览表</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701"/>
        <w:gridCol w:w="6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75" w:type="dxa"/>
            <w:vAlign w:val="center"/>
          </w:tcPr>
          <w:p>
            <w:pPr>
              <w:jc w:val="center"/>
              <w:rPr>
                <w:rFonts w:ascii="Times New Roman" w:hAnsi="Times New Roman" w:cs="Times New Roman"/>
                <w:bCs/>
                <w:szCs w:val="21"/>
              </w:rPr>
            </w:pPr>
            <w:r>
              <w:rPr>
                <w:rFonts w:hint="eastAsia" w:ascii="Times New Roman" w:hAnsi="Times New Roman" w:cs="Times New Roman"/>
                <w:bCs/>
                <w:szCs w:val="21"/>
              </w:rPr>
              <w:t>序号</w:t>
            </w:r>
          </w:p>
        </w:tc>
        <w:tc>
          <w:tcPr>
            <w:tcW w:w="1701" w:type="dxa"/>
            <w:vAlign w:val="center"/>
          </w:tcPr>
          <w:p>
            <w:pPr>
              <w:jc w:val="center"/>
              <w:rPr>
                <w:rFonts w:ascii="Times New Roman" w:hAnsi="Times New Roman" w:cs="Times New Roman"/>
                <w:bCs/>
                <w:szCs w:val="21"/>
              </w:rPr>
            </w:pPr>
            <w:r>
              <w:rPr>
                <w:rFonts w:hint="eastAsia" w:ascii="Times New Roman" w:hAnsi="Times New Roman" w:cs="Times New Roman"/>
                <w:bCs/>
                <w:szCs w:val="21"/>
              </w:rPr>
              <w:t>项目</w:t>
            </w:r>
          </w:p>
        </w:tc>
        <w:tc>
          <w:tcPr>
            <w:tcW w:w="6146" w:type="dxa"/>
            <w:vAlign w:val="center"/>
          </w:tcPr>
          <w:p>
            <w:pPr>
              <w:jc w:val="center"/>
              <w:rPr>
                <w:rFonts w:ascii="Times New Roman" w:hAnsi="Times New Roman" w:cs="Times New Roman"/>
                <w:bCs/>
                <w:szCs w:val="21"/>
              </w:rPr>
            </w:pPr>
            <w:r>
              <w:rPr>
                <w:rFonts w:hint="eastAsia" w:ascii="Times New Roman" w:hAnsi="Times New Roman" w:cs="Times New Roman"/>
                <w:bCs/>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75" w:type="dxa"/>
            <w:vAlign w:val="center"/>
          </w:tcPr>
          <w:p>
            <w:pPr>
              <w:jc w:val="center"/>
              <w:rPr>
                <w:rFonts w:ascii="Times New Roman" w:hAnsi="Times New Roman" w:cs="Times New Roman"/>
                <w:bCs/>
                <w:szCs w:val="21"/>
              </w:rPr>
            </w:pPr>
            <w:r>
              <w:rPr>
                <w:rFonts w:hint="eastAsia" w:ascii="Times New Roman" w:hAnsi="Times New Roman" w:cs="Times New Roman"/>
                <w:bCs/>
                <w:szCs w:val="21"/>
              </w:rPr>
              <w:t>1</w:t>
            </w:r>
          </w:p>
        </w:tc>
        <w:tc>
          <w:tcPr>
            <w:tcW w:w="1701" w:type="dxa"/>
            <w:vAlign w:val="center"/>
          </w:tcPr>
          <w:p>
            <w:pPr>
              <w:jc w:val="center"/>
              <w:rPr>
                <w:rFonts w:ascii="Times New Roman" w:hAnsi="Times New Roman" w:cs="Times New Roman"/>
                <w:szCs w:val="21"/>
              </w:rPr>
            </w:pPr>
            <w:r>
              <w:rPr>
                <w:rFonts w:hint="eastAsia" w:ascii="Times New Roman" w:hAnsi="Times New Roman" w:cs="Times New Roman"/>
                <w:szCs w:val="21"/>
              </w:rPr>
              <w:t>工程分析</w:t>
            </w:r>
          </w:p>
        </w:tc>
        <w:tc>
          <w:tcPr>
            <w:tcW w:w="6146" w:type="dxa"/>
            <w:vAlign w:val="center"/>
          </w:tcPr>
          <w:p>
            <w:pPr>
              <w:jc w:val="center"/>
              <w:rPr>
                <w:rFonts w:ascii="Times New Roman" w:hAnsi="Times New Roman" w:cs="Times New Roman"/>
                <w:szCs w:val="21"/>
              </w:rPr>
            </w:pPr>
            <w:r>
              <w:rPr>
                <w:rFonts w:hint="eastAsia" w:ascii="Times New Roman" w:hAnsi="Times New Roman" w:cs="Times New Roman"/>
                <w:szCs w:val="21"/>
              </w:rPr>
              <w:t>分析项目的工程基本情况、原辅材料及能源消耗、主要生产设备及设施、污水处理工艺流程及排污节点分析、公用工程、辅助工程、污染源强及拟采取的治理措施；项目污染物排放量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75" w:type="dxa"/>
            <w:vAlign w:val="center"/>
          </w:tcPr>
          <w:p>
            <w:pPr>
              <w:jc w:val="center"/>
              <w:rPr>
                <w:rFonts w:ascii="Times New Roman" w:hAnsi="Times New Roman" w:cs="Times New Roman"/>
                <w:bCs/>
                <w:szCs w:val="21"/>
              </w:rPr>
            </w:pPr>
            <w:r>
              <w:rPr>
                <w:rFonts w:hint="eastAsia" w:ascii="Times New Roman" w:hAnsi="Times New Roman" w:cs="Times New Roman"/>
                <w:bCs/>
                <w:szCs w:val="21"/>
              </w:rPr>
              <w:t>2</w:t>
            </w:r>
          </w:p>
        </w:tc>
        <w:tc>
          <w:tcPr>
            <w:tcW w:w="1701" w:type="dxa"/>
            <w:vAlign w:val="center"/>
          </w:tcPr>
          <w:p>
            <w:pPr>
              <w:jc w:val="center"/>
              <w:rPr>
                <w:rFonts w:ascii="Times New Roman" w:hAnsi="Times New Roman" w:cs="Times New Roman"/>
                <w:bCs/>
                <w:szCs w:val="21"/>
              </w:rPr>
            </w:pPr>
            <w:r>
              <w:rPr>
                <w:rFonts w:hint="eastAsia" w:ascii="Times New Roman" w:hAnsi="Times New Roman" w:cs="Times New Roman"/>
                <w:szCs w:val="21"/>
              </w:rPr>
              <w:t>环境现状调查与评价</w:t>
            </w:r>
          </w:p>
        </w:tc>
        <w:tc>
          <w:tcPr>
            <w:tcW w:w="6146" w:type="dxa"/>
            <w:vAlign w:val="center"/>
          </w:tcPr>
          <w:p>
            <w:pPr>
              <w:jc w:val="center"/>
              <w:rPr>
                <w:rFonts w:ascii="Times New Roman" w:hAnsi="Times New Roman" w:cs="Times New Roman"/>
                <w:szCs w:val="21"/>
              </w:rPr>
            </w:pPr>
            <w:r>
              <w:rPr>
                <w:rFonts w:hint="eastAsia" w:ascii="Times New Roman" w:hAnsi="Times New Roman" w:cs="Times New Roman"/>
                <w:szCs w:val="21"/>
              </w:rPr>
              <w:t>自然环境概况、环境功能区划、环境质量及区域污染源调查；环境空气、地下水、声现状与评价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75" w:type="dxa"/>
            <w:vAlign w:val="center"/>
          </w:tcPr>
          <w:p>
            <w:pPr>
              <w:jc w:val="center"/>
              <w:rPr>
                <w:rFonts w:ascii="Times New Roman" w:hAnsi="Times New Roman" w:cs="Times New Roman"/>
                <w:bCs/>
                <w:szCs w:val="21"/>
              </w:rPr>
            </w:pPr>
            <w:r>
              <w:rPr>
                <w:rFonts w:hint="eastAsia" w:ascii="Times New Roman" w:hAnsi="Times New Roman" w:cs="Times New Roman"/>
                <w:bCs/>
                <w:szCs w:val="21"/>
              </w:rPr>
              <w:t>3</w:t>
            </w:r>
          </w:p>
        </w:tc>
        <w:tc>
          <w:tcPr>
            <w:tcW w:w="1701" w:type="dxa"/>
            <w:vAlign w:val="center"/>
          </w:tcPr>
          <w:p>
            <w:pPr>
              <w:jc w:val="center"/>
              <w:rPr>
                <w:rFonts w:ascii="Times New Roman" w:hAnsi="Times New Roman" w:cs="Times New Roman"/>
                <w:bCs/>
                <w:szCs w:val="21"/>
              </w:rPr>
            </w:pPr>
            <w:r>
              <w:rPr>
                <w:rFonts w:hint="eastAsia" w:ascii="Times New Roman" w:hAnsi="Times New Roman" w:cs="Times New Roman"/>
                <w:szCs w:val="21"/>
              </w:rPr>
              <w:t>环境影响预测与评价</w:t>
            </w:r>
          </w:p>
        </w:tc>
        <w:tc>
          <w:tcPr>
            <w:tcW w:w="6146" w:type="dxa"/>
            <w:vAlign w:val="center"/>
          </w:tcPr>
          <w:p>
            <w:pPr>
              <w:jc w:val="center"/>
              <w:rPr>
                <w:rFonts w:ascii="Times New Roman" w:hAnsi="Times New Roman" w:cs="Times New Roman"/>
                <w:szCs w:val="21"/>
              </w:rPr>
            </w:pPr>
            <w:r>
              <w:rPr>
                <w:rFonts w:hint="eastAsia" w:ascii="Times New Roman" w:hAnsi="Times New Roman" w:cs="Times New Roman"/>
                <w:szCs w:val="21"/>
              </w:rPr>
              <w:t>施工期简要环境分析；大气环境影响评价、地下水环境影响评价、声环境影响评价、固废对环境的影响分析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75" w:type="dxa"/>
            <w:vAlign w:val="center"/>
          </w:tcPr>
          <w:p>
            <w:pPr>
              <w:jc w:val="center"/>
              <w:rPr>
                <w:rFonts w:ascii="Times New Roman" w:hAnsi="Times New Roman" w:cs="Times New Roman"/>
                <w:bCs/>
                <w:szCs w:val="21"/>
              </w:rPr>
            </w:pPr>
            <w:r>
              <w:rPr>
                <w:rFonts w:hint="eastAsia" w:ascii="Times New Roman" w:hAnsi="Times New Roman" w:cs="Times New Roman"/>
                <w:bCs/>
                <w:szCs w:val="21"/>
              </w:rPr>
              <w:t>4</w:t>
            </w:r>
          </w:p>
        </w:tc>
        <w:tc>
          <w:tcPr>
            <w:tcW w:w="1701" w:type="dxa"/>
            <w:vAlign w:val="center"/>
          </w:tcPr>
          <w:p>
            <w:pPr>
              <w:jc w:val="center"/>
              <w:rPr>
                <w:rFonts w:ascii="Times New Roman" w:hAnsi="Times New Roman" w:cs="Times New Roman"/>
                <w:szCs w:val="21"/>
              </w:rPr>
            </w:pPr>
            <w:r>
              <w:rPr>
                <w:rFonts w:hint="eastAsia" w:ascii="Times New Roman" w:hAnsi="Times New Roman" w:cs="Times New Roman"/>
                <w:szCs w:val="21"/>
              </w:rPr>
              <w:t>环境保护措施及其可行性论证</w:t>
            </w:r>
          </w:p>
        </w:tc>
        <w:tc>
          <w:tcPr>
            <w:tcW w:w="6146" w:type="dxa"/>
            <w:vAlign w:val="center"/>
          </w:tcPr>
          <w:p>
            <w:pPr>
              <w:jc w:val="center"/>
              <w:rPr>
                <w:rFonts w:ascii="Times New Roman" w:hAnsi="Times New Roman" w:cs="Times New Roman"/>
                <w:szCs w:val="21"/>
              </w:rPr>
            </w:pPr>
            <w:r>
              <w:rPr>
                <w:rFonts w:hint="eastAsia" w:ascii="Times New Roman" w:hAnsi="Times New Roman" w:cs="Times New Roman"/>
                <w:szCs w:val="21"/>
              </w:rPr>
              <w:t>从技术经济方面针对废气、废水、噪声治理措施及固体废物处置措施可行性进行分析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75" w:type="dxa"/>
            <w:vAlign w:val="center"/>
          </w:tcPr>
          <w:p>
            <w:pPr>
              <w:jc w:val="center"/>
              <w:rPr>
                <w:rFonts w:ascii="Times New Roman" w:hAnsi="Times New Roman" w:cs="Times New Roman"/>
                <w:bCs/>
                <w:szCs w:val="21"/>
              </w:rPr>
            </w:pPr>
            <w:r>
              <w:rPr>
                <w:rFonts w:hint="eastAsia" w:ascii="Times New Roman" w:hAnsi="Times New Roman" w:cs="Times New Roman"/>
                <w:bCs/>
                <w:szCs w:val="21"/>
              </w:rPr>
              <w:t>5</w:t>
            </w:r>
          </w:p>
        </w:tc>
        <w:tc>
          <w:tcPr>
            <w:tcW w:w="1701" w:type="dxa"/>
            <w:vAlign w:val="center"/>
          </w:tcPr>
          <w:p>
            <w:pPr>
              <w:jc w:val="center"/>
              <w:rPr>
                <w:rFonts w:ascii="Times New Roman" w:hAnsi="Times New Roman" w:cs="Times New Roman"/>
                <w:bCs/>
                <w:szCs w:val="21"/>
              </w:rPr>
            </w:pPr>
            <w:r>
              <w:rPr>
                <w:rFonts w:hint="eastAsia" w:ascii="Times New Roman" w:hAnsi="Times New Roman" w:cs="Times New Roman"/>
                <w:szCs w:val="21"/>
              </w:rPr>
              <w:t>环境影响经济损益分析</w:t>
            </w:r>
          </w:p>
        </w:tc>
        <w:tc>
          <w:tcPr>
            <w:tcW w:w="6146" w:type="dxa"/>
            <w:vAlign w:val="center"/>
          </w:tcPr>
          <w:p>
            <w:pPr>
              <w:jc w:val="center"/>
              <w:rPr>
                <w:rFonts w:ascii="Times New Roman" w:hAnsi="Times New Roman" w:cs="Times New Roman"/>
                <w:szCs w:val="21"/>
              </w:rPr>
            </w:pPr>
            <w:r>
              <w:rPr>
                <w:rFonts w:hint="eastAsia" w:ascii="Times New Roman" w:hAnsi="Times New Roman" w:cs="Times New Roman"/>
                <w:szCs w:val="21"/>
              </w:rPr>
              <w:t>从社会效益、经济效益、环境效益三方面分析项目建设的必要性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75" w:type="dxa"/>
            <w:vAlign w:val="center"/>
          </w:tcPr>
          <w:p>
            <w:pPr>
              <w:jc w:val="center"/>
              <w:rPr>
                <w:rFonts w:ascii="Times New Roman" w:hAnsi="Times New Roman" w:cs="Times New Roman"/>
                <w:bCs/>
                <w:szCs w:val="21"/>
              </w:rPr>
            </w:pPr>
            <w:r>
              <w:rPr>
                <w:rFonts w:hint="eastAsia" w:ascii="Times New Roman" w:hAnsi="Times New Roman" w:cs="Times New Roman"/>
                <w:bCs/>
                <w:szCs w:val="21"/>
              </w:rPr>
              <w:t>6</w:t>
            </w:r>
          </w:p>
        </w:tc>
        <w:tc>
          <w:tcPr>
            <w:tcW w:w="1701" w:type="dxa"/>
            <w:vAlign w:val="center"/>
          </w:tcPr>
          <w:p>
            <w:pPr>
              <w:jc w:val="center"/>
              <w:rPr>
                <w:rFonts w:ascii="Times New Roman" w:hAnsi="Times New Roman" w:cs="Times New Roman"/>
                <w:bCs/>
                <w:szCs w:val="21"/>
              </w:rPr>
            </w:pPr>
            <w:r>
              <w:rPr>
                <w:rFonts w:hint="eastAsia" w:ascii="Times New Roman" w:hAnsi="Times New Roman" w:cs="Times New Roman"/>
                <w:szCs w:val="21"/>
              </w:rPr>
              <w:t>环境管理与环境监测计划</w:t>
            </w:r>
          </w:p>
        </w:tc>
        <w:tc>
          <w:tcPr>
            <w:tcW w:w="6146" w:type="dxa"/>
            <w:vAlign w:val="center"/>
          </w:tcPr>
          <w:p>
            <w:pPr>
              <w:jc w:val="center"/>
              <w:rPr>
                <w:rFonts w:ascii="Times New Roman" w:hAnsi="Times New Roman" w:cs="Times New Roman"/>
                <w:szCs w:val="21"/>
              </w:rPr>
            </w:pPr>
            <w:r>
              <w:rPr>
                <w:rFonts w:hint="eastAsia" w:ascii="Times New Roman" w:hAnsi="Times New Roman" w:cs="Times New Roman"/>
                <w:szCs w:val="21"/>
              </w:rPr>
              <w:t>制定环境管理与监测计划，列出污染物排放清单及环境保护措施清单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75" w:type="dxa"/>
            <w:vAlign w:val="center"/>
          </w:tcPr>
          <w:p>
            <w:pPr>
              <w:jc w:val="center"/>
              <w:rPr>
                <w:rFonts w:ascii="Times New Roman" w:hAnsi="Times New Roman" w:cs="Times New Roman"/>
                <w:bCs/>
                <w:szCs w:val="21"/>
              </w:rPr>
            </w:pPr>
            <w:r>
              <w:rPr>
                <w:rFonts w:hint="eastAsia" w:ascii="Times New Roman" w:hAnsi="Times New Roman" w:cs="Times New Roman"/>
                <w:bCs/>
                <w:szCs w:val="21"/>
              </w:rPr>
              <w:t>7</w:t>
            </w:r>
          </w:p>
        </w:tc>
        <w:tc>
          <w:tcPr>
            <w:tcW w:w="1701" w:type="dxa"/>
            <w:vAlign w:val="center"/>
          </w:tcPr>
          <w:p>
            <w:pPr>
              <w:jc w:val="center"/>
              <w:rPr>
                <w:rFonts w:ascii="Times New Roman" w:hAnsi="Times New Roman" w:cs="Times New Roman"/>
                <w:bCs/>
                <w:szCs w:val="21"/>
              </w:rPr>
            </w:pPr>
            <w:r>
              <w:rPr>
                <w:rFonts w:hint="eastAsia" w:ascii="Times New Roman" w:hAnsi="Times New Roman" w:cs="Times New Roman"/>
                <w:szCs w:val="21"/>
              </w:rPr>
              <w:t>结论</w:t>
            </w:r>
          </w:p>
        </w:tc>
        <w:tc>
          <w:tcPr>
            <w:tcW w:w="6146" w:type="dxa"/>
            <w:vAlign w:val="center"/>
          </w:tcPr>
          <w:p>
            <w:pPr>
              <w:jc w:val="center"/>
              <w:rPr>
                <w:rFonts w:ascii="Times New Roman" w:hAnsi="Times New Roman" w:cs="Times New Roman"/>
                <w:bCs/>
                <w:szCs w:val="21"/>
              </w:rPr>
            </w:pPr>
            <w:r>
              <w:rPr>
                <w:rFonts w:hint="eastAsia" w:ascii="Times New Roman" w:hAnsi="Times New Roman" w:cs="Times New Roman"/>
                <w:szCs w:val="21"/>
              </w:rPr>
              <w:t>从环保角度分析，明确给出工程建设是否可行的结论</w:t>
            </w:r>
          </w:p>
        </w:tc>
      </w:tr>
    </w:tbl>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2.7.2</w:t>
      </w:r>
      <w:r>
        <w:rPr>
          <w:rFonts w:ascii="Times New Roman" w:hAnsi="Times New Roman" w:cs="Times New Roman"/>
          <w:sz w:val="24"/>
          <w:szCs w:val="24"/>
        </w:rPr>
        <w:t xml:space="preserve"> 评价重点</w:t>
      </w:r>
    </w:p>
    <w:p>
      <w:pPr>
        <w:spacing w:line="360" w:lineRule="auto"/>
        <w:ind w:firstLine="480" w:firstLineChars="20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根据本项目污染物排放特点及</w:t>
      </w:r>
      <w:r>
        <w:rPr>
          <w:rFonts w:hint="eastAsia" w:ascii="Times New Roman" w:hAnsi="Times New Roman" w:cs="Times New Roman"/>
          <w:bCs/>
          <w:color w:val="000000" w:themeColor="text1"/>
          <w:sz w:val="24"/>
          <w:szCs w:val="24"/>
        </w:rPr>
        <w:t>区域环境概况，本评价突出如下重点：</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（1）工程分析部分根据项目水质特点，选择合理污水处理工艺。</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2）医院运营期要以污水处理站产生的恶臭、废水、固废对周围环境的影响分析为重点；并进行有关排污总量控制和环保措施的可行性论证，在此基础上，提出减缓环境影响的措施和对策，以及必要的环境监测与管理计划，为项目建设、工程设计与环境管理提供信息和依据。</w:t>
      </w:r>
    </w:p>
    <w:p>
      <w:pPr>
        <w:pStyle w:val="3"/>
        <w:spacing w:before="0" w:after="0" w:line="360" w:lineRule="auto"/>
        <w:rPr>
          <w:rFonts w:ascii="Times New Roman" w:hAnsi="Times New Roman" w:cs="Times New Roman"/>
          <w:sz w:val="28"/>
          <w:szCs w:val="28"/>
        </w:rPr>
      </w:pPr>
      <w:bookmarkStart w:id="18" w:name="_Toc500955297"/>
      <w:bookmarkStart w:id="19" w:name="_Toc13725345"/>
      <w:r>
        <w:rPr>
          <w:rFonts w:hint="eastAsia" w:ascii="Times New Roman" w:hAnsi="Times New Roman" w:cs="Times New Roman"/>
          <w:sz w:val="28"/>
          <w:szCs w:val="28"/>
        </w:rPr>
        <w:t>2.8</w:t>
      </w:r>
      <w:r>
        <w:rPr>
          <w:rFonts w:ascii="Times New Roman" w:hAnsi="Times New Roman" w:cs="Times New Roman"/>
          <w:sz w:val="28"/>
          <w:szCs w:val="28"/>
        </w:rPr>
        <w:t>环境功能区划</w:t>
      </w:r>
      <w:bookmarkEnd w:id="18"/>
      <w:bookmarkEnd w:id="19"/>
    </w:p>
    <w:p>
      <w:pPr>
        <w:pStyle w:val="45"/>
        <w:ind w:firstLine="480"/>
        <w:rPr>
          <w:rFonts w:ascii="Times New Roman"/>
        </w:rPr>
      </w:pPr>
      <w:r>
        <w:rPr>
          <w:rFonts w:hint="eastAsia" w:ascii="Times New Roman"/>
        </w:rPr>
        <w:t>（1）大气环境功能区划</w:t>
      </w:r>
    </w:p>
    <w:p>
      <w:pPr>
        <w:pStyle w:val="45"/>
        <w:ind w:firstLine="480"/>
        <w:rPr>
          <w:rFonts w:ascii="Times New Roman"/>
        </w:rPr>
      </w:pPr>
      <w:r>
        <w:rPr>
          <w:rFonts w:ascii="Times New Roman"/>
        </w:rPr>
        <w:t>本项目处于环境空气质量功能区分类中</w:t>
      </w:r>
      <w:r>
        <w:rPr>
          <w:rFonts w:hint="eastAsia" w:hAnsi="宋体"/>
        </w:rPr>
        <w:t>二</w:t>
      </w:r>
      <w:r>
        <w:rPr>
          <w:rFonts w:ascii="Times New Roman"/>
        </w:rPr>
        <w:t>类区</w:t>
      </w:r>
      <w:r>
        <w:rPr>
          <w:rFonts w:hint="eastAsia" w:ascii="Times New Roman"/>
        </w:rPr>
        <w:t>。</w:t>
      </w:r>
    </w:p>
    <w:p>
      <w:pPr>
        <w:pStyle w:val="45"/>
        <w:ind w:firstLine="480"/>
        <w:rPr>
          <w:rFonts w:ascii="Times New Roman"/>
        </w:rPr>
      </w:pPr>
      <w:r>
        <w:rPr>
          <w:rFonts w:hint="eastAsia" w:ascii="Times New Roman"/>
        </w:rPr>
        <w:t>（2）地下水环境功能区划</w:t>
      </w:r>
    </w:p>
    <w:p>
      <w:pPr>
        <w:pStyle w:val="45"/>
        <w:ind w:firstLine="480"/>
        <w:rPr>
          <w:rFonts w:ascii="Times New Roman"/>
        </w:rPr>
      </w:pPr>
      <w:r>
        <w:rPr>
          <w:rFonts w:ascii="Times New Roman"/>
        </w:rPr>
        <w:t>项目所处区域地下水主要为生活饮用水，</w:t>
      </w:r>
      <w:r>
        <w:rPr>
          <w:rFonts w:hint="eastAsia" w:ascii="Times New Roman"/>
        </w:rPr>
        <w:t>位于地下水质量功能区分类中</w:t>
      </w:r>
      <w:r>
        <w:rPr>
          <w:rFonts w:hint="eastAsia" w:hAnsi="宋体" w:cs="宋体"/>
        </w:rPr>
        <w:t>Ⅲ</w:t>
      </w:r>
      <w:r>
        <w:rPr>
          <w:rFonts w:ascii="Times New Roman"/>
        </w:rPr>
        <w:t>类。</w:t>
      </w:r>
    </w:p>
    <w:p>
      <w:pPr>
        <w:pStyle w:val="45"/>
        <w:ind w:firstLine="480"/>
        <w:rPr>
          <w:rFonts w:ascii="Times New Roman"/>
        </w:rPr>
      </w:pPr>
      <w:r>
        <w:rPr>
          <w:rFonts w:hint="eastAsia" w:ascii="Times New Roman"/>
        </w:rPr>
        <w:t>（3）声环境功能区划</w:t>
      </w:r>
    </w:p>
    <w:p>
      <w:pPr>
        <w:pStyle w:val="45"/>
        <w:ind w:firstLine="480"/>
        <w:rPr>
          <w:rFonts w:ascii="Times New Roman"/>
          <w:color w:val="000000" w:themeColor="text1"/>
        </w:rPr>
      </w:pPr>
      <w:r>
        <w:rPr>
          <w:rFonts w:hint="eastAsia" w:ascii="Times New Roman"/>
          <w:color w:val="000000" w:themeColor="text1"/>
        </w:rPr>
        <w:t>根据《保定市主城区1-3类声环境功能区划图（2016年）》，</w:t>
      </w:r>
      <w:r>
        <w:rPr>
          <w:rFonts w:ascii="Times New Roman"/>
          <w:color w:val="000000" w:themeColor="text1"/>
        </w:rPr>
        <w:t>本项目</w:t>
      </w:r>
      <w:r>
        <w:rPr>
          <w:rFonts w:hint="eastAsia" w:ascii="Times New Roman"/>
          <w:color w:val="000000" w:themeColor="text1"/>
        </w:rPr>
        <w:t>处于</w:t>
      </w:r>
      <w:r>
        <w:rPr>
          <w:rFonts w:ascii="Times New Roman"/>
          <w:color w:val="000000" w:themeColor="text1"/>
        </w:rPr>
        <w:t>声环境质量功能区分类中</w:t>
      </w:r>
      <w:r>
        <w:rPr>
          <w:rFonts w:hint="eastAsia" w:ascii="Times New Roman"/>
          <w:color w:val="000000" w:themeColor="text1"/>
        </w:rPr>
        <w:t>1</w:t>
      </w:r>
      <w:r>
        <w:rPr>
          <w:rFonts w:ascii="Times New Roman"/>
          <w:color w:val="000000" w:themeColor="text1"/>
        </w:rPr>
        <w:t>类区。</w:t>
      </w:r>
    </w:p>
    <w:p>
      <w:pPr>
        <w:pStyle w:val="45"/>
        <w:ind w:firstLine="480"/>
        <w:rPr>
          <w:rFonts w:ascii="Times New Roman"/>
          <w:color w:val="000000" w:themeColor="text1"/>
        </w:rPr>
      </w:pPr>
      <w:r>
        <w:rPr>
          <w:rFonts w:hint="eastAsia" w:ascii="Times New Roman"/>
          <w:color w:val="000000" w:themeColor="text1"/>
        </w:rPr>
        <w:t>项目声环境功能区划图见附图6。</w:t>
      </w:r>
    </w:p>
    <w:p>
      <w:pPr>
        <w:pStyle w:val="3"/>
        <w:spacing w:before="0" w:after="0" w:line="360" w:lineRule="auto"/>
        <w:rPr>
          <w:rFonts w:ascii="Times New Roman" w:hAnsi="Times New Roman" w:cs="Times New Roman"/>
          <w:sz w:val="28"/>
          <w:szCs w:val="28"/>
        </w:rPr>
      </w:pPr>
      <w:bookmarkStart w:id="20" w:name="_Toc13725346"/>
      <w:r>
        <w:rPr>
          <w:rFonts w:hint="eastAsia" w:ascii="Times New Roman" w:hAnsi="Times New Roman" w:cs="Times New Roman"/>
          <w:sz w:val="28"/>
          <w:szCs w:val="28"/>
        </w:rPr>
        <w:t>2.9环境保护目标</w:t>
      </w:r>
      <w:bookmarkEnd w:id="20"/>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sz w:val="24"/>
          <w:szCs w:val="24"/>
        </w:rPr>
        <w:t>项目所在地为平原地带，土地性质为</w:t>
      </w:r>
      <w:r>
        <w:rPr>
          <w:rFonts w:hint="eastAsia" w:ascii="Times New Roman" w:hAnsi="Times New Roman" w:eastAsia="宋体" w:cs="Times New Roman"/>
          <w:sz w:val="24"/>
          <w:szCs w:val="24"/>
        </w:rPr>
        <w:t>医疗卫生设施用地</w:t>
      </w:r>
      <w:r>
        <w:rPr>
          <w:rFonts w:ascii="Times New Roman" w:hAnsi="Times New Roman" w:eastAsia="宋体" w:cs="Times New Roman"/>
          <w:sz w:val="24"/>
          <w:szCs w:val="24"/>
        </w:rPr>
        <w:t>。周围其主要环境保护对象及目标主要为本工程所在地周围居民区等，</w:t>
      </w:r>
      <w:r>
        <w:rPr>
          <w:rFonts w:ascii="Times New Roman" w:hAnsi="宋体" w:eastAsia="宋体" w:cs="Times New Roman"/>
          <w:sz w:val="24"/>
          <w:szCs w:val="24"/>
        </w:rPr>
        <w:t>依据各环境要素评价范围、厂址周围环境敏感点分布情况及各环境功能区的环境功能要求</w:t>
      </w:r>
      <w:r>
        <w:rPr>
          <w:rFonts w:hint="eastAsia" w:ascii="Times New Roman" w:hAnsi="Times New Roman" w:eastAsia="宋体" w:cs="Times New Roman"/>
          <w:bCs/>
          <w:sz w:val="24"/>
          <w:szCs w:val="24"/>
        </w:rPr>
        <w:t>，确定本次评价营运期的主要保护目标及保护级别，见表2-12。</w:t>
      </w:r>
    </w:p>
    <w:p>
      <w:pPr>
        <w:spacing w:line="360" w:lineRule="auto"/>
        <w:ind w:firstLine="480"/>
        <w:jc w:val="center"/>
        <w:rPr>
          <w:rFonts w:ascii="宋体" w:hAnsi="Times New Roman" w:eastAsia="宋体" w:cs="宋体"/>
          <w:b/>
          <w:kern w:val="0"/>
          <w:sz w:val="24"/>
          <w:szCs w:val="24"/>
        </w:rPr>
      </w:pPr>
    </w:p>
    <w:p>
      <w:pPr>
        <w:spacing w:line="360" w:lineRule="auto"/>
        <w:ind w:firstLine="480"/>
        <w:jc w:val="center"/>
        <w:rPr>
          <w:rFonts w:ascii="宋体" w:hAnsi="Times New Roman" w:eastAsia="宋体" w:cs="宋体"/>
          <w:b/>
          <w:kern w:val="0"/>
          <w:sz w:val="24"/>
          <w:szCs w:val="24"/>
        </w:rPr>
      </w:pPr>
    </w:p>
    <w:p>
      <w:pPr>
        <w:spacing w:line="360" w:lineRule="auto"/>
        <w:ind w:firstLine="480"/>
        <w:jc w:val="center"/>
        <w:rPr>
          <w:rFonts w:ascii="宋体" w:hAnsi="Times New Roman" w:eastAsia="宋体" w:cs="宋体"/>
          <w:b/>
          <w:kern w:val="0"/>
          <w:sz w:val="24"/>
          <w:szCs w:val="24"/>
        </w:rPr>
      </w:pPr>
    </w:p>
    <w:p>
      <w:pPr>
        <w:spacing w:line="360" w:lineRule="auto"/>
        <w:ind w:firstLine="480"/>
        <w:jc w:val="center"/>
        <w:rPr>
          <w:rFonts w:ascii="宋体" w:hAnsi="Times New Roman" w:eastAsia="宋体" w:cs="宋体"/>
          <w:b/>
          <w:kern w:val="0"/>
          <w:sz w:val="24"/>
          <w:szCs w:val="24"/>
        </w:rPr>
      </w:pPr>
    </w:p>
    <w:p>
      <w:pPr>
        <w:spacing w:line="360" w:lineRule="auto"/>
        <w:ind w:firstLine="480"/>
        <w:jc w:val="center"/>
        <w:rPr>
          <w:rFonts w:ascii="宋体" w:hAnsi="Times New Roman" w:eastAsia="宋体" w:cs="宋体"/>
          <w:b/>
          <w:kern w:val="0"/>
          <w:sz w:val="24"/>
          <w:szCs w:val="24"/>
        </w:rPr>
      </w:pPr>
    </w:p>
    <w:p>
      <w:pPr>
        <w:spacing w:line="360" w:lineRule="auto"/>
        <w:ind w:firstLine="480"/>
        <w:jc w:val="center"/>
        <w:rPr>
          <w:rFonts w:ascii="宋体" w:hAnsi="Times New Roman" w:eastAsia="宋体" w:cs="宋体"/>
          <w:b/>
          <w:kern w:val="0"/>
          <w:sz w:val="24"/>
          <w:szCs w:val="24"/>
        </w:rPr>
      </w:pPr>
    </w:p>
    <w:p>
      <w:pPr>
        <w:spacing w:line="360" w:lineRule="auto"/>
        <w:ind w:firstLine="480"/>
        <w:jc w:val="center"/>
        <w:rPr>
          <w:rFonts w:ascii="宋体" w:hAnsi="Times New Roman" w:eastAsia="宋体" w:cs="宋体"/>
          <w:b/>
          <w:kern w:val="0"/>
          <w:sz w:val="24"/>
          <w:szCs w:val="24"/>
        </w:rPr>
      </w:pPr>
    </w:p>
    <w:p>
      <w:pPr>
        <w:spacing w:line="360" w:lineRule="auto"/>
        <w:ind w:firstLine="480"/>
        <w:jc w:val="center"/>
        <w:rPr>
          <w:rFonts w:ascii="宋体" w:hAnsi="Times New Roman" w:eastAsia="宋体" w:cs="宋体"/>
          <w:b/>
          <w:kern w:val="0"/>
          <w:sz w:val="24"/>
          <w:szCs w:val="24"/>
        </w:rPr>
      </w:pPr>
    </w:p>
    <w:p>
      <w:pPr>
        <w:spacing w:line="360" w:lineRule="auto"/>
        <w:ind w:firstLine="480"/>
        <w:jc w:val="center"/>
        <w:rPr>
          <w:rFonts w:ascii="宋体" w:hAnsi="Times New Roman" w:eastAsia="宋体" w:cs="宋体"/>
          <w:b/>
          <w:kern w:val="0"/>
          <w:sz w:val="24"/>
          <w:szCs w:val="24"/>
        </w:rPr>
      </w:pPr>
    </w:p>
    <w:p>
      <w:pPr>
        <w:spacing w:line="360" w:lineRule="auto"/>
        <w:ind w:firstLine="480"/>
        <w:jc w:val="center"/>
        <w:rPr>
          <w:rFonts w:ascii="宋体" w:hAnsi="Times New Roman" w:eastAsia="宋体" w:cs="宋体"/>
          <w:b/>
          <w:kern w:val="0"/>
          <w:sz w:val="24"/>
          <w:szCs w:val="24"/>
        </w:rPr>
      </w:pPr>
    </w:p>
    <w:p>
      <w:pPr>
        <w:spacing w:line="360" w:lineRule="auto"/>
        <w:ind w:firstLine="480"/>
        <w:jc w:val="center"/>
        <w:rPr>
          <w:rFonts w:ascii="宋体" w:hAnsi="Times New Roman" w:eastAsia="宋体" w:cs="宋体"/>
          <w:b/>
          <w:kern w:val="0"/>
          <w:sz w:val="24"/>
          <w:szCs w:val="24"/>
        </w:rPr>
      </w:pPr>
    </w:p>
    <w:p>
      <w:pPr>
        <w:spacing w:line="360" w:lineRule="auto"/>
        <w:ind w:firstLine="480"/>
        <w:jc w:val="center"/>
        <w:rPr>
          <w:rFonts w:ascii="宋体" w:hAnsi="Times New Roman" w:eastAsia="宋体" w:cs="宋体"/>
          <w:b/>
          <w:kern w:val="0"/>
          <w:sz w:val="24"/>
          <w:szCs w:val="24"/>
        </w:rPr>
      </w:pPr>
    </w:p>
    <w:p>
      <w:pPr>
        <w:spacing w:line="360" w:lineRule="auto"/>
        <w:ind w:firstLine="480"/>
        <w:jc w:val="center"/>
        <w:rPr>
          <w:rFonts w:ascii="宋体" w:hAnsi="Times New Roman" w:eastAsia="宋体" w:cs="宋体"/>
          <w:b/>
          <w:kern w:val="0"/>
          <w:sz w:val="24"/>
          <w:szCs w:val="24"/>
        </w:rPr>
      </w:pPr>
    </w:p>
    <w:p>
      <w:pPr>
        <w:spacing w:line="360" w:lineRule="auto"/>
        <w:ind w:firstLine="480"/>
        <w:jc w:val="center"/>
        <w:rPr>
          <w:rFonts w:ascii="宋体" w:hAnsi="Times New Roman" w:eastAsia="宋体" w:cs="宋体"/>
          <w:b/>
          <w:kern w:val="0"/>
          <w:sz w:val="24"/>
          <w:szCs w:val="24"/>
        </w:rPr>
      </w:pPr>
    </w:p>
    <w:p>
      <w:pPr>
        <w:spacing w:line="360" w:lineRule="auto"/>
        <w:ind w:firstLine="480"/>
        <w:jc w:val="center"/>
        <w:rPr>
          <w:rFonts w:ascii="宋体" w:hAnsi="Times New Roman" w:eastAsia="宋体" w:cs="宋体"/>
          <w:b/>
          <w:kern w:val="0"/>
          <w:sz w:val="24"/>
          <w:szCs w:val="24"/>
        </w:rPr>
      </w:pPr>
    </w:p>
    <w:p>
      <w:pPr>
        <w:spacing w:line="360" w:lineRule="auto"/>
        <w:ind w:firstLine="480"/>
        <w:jc w:val="center"/>
        <w:rPr>
          <w:rFonts w:ascii="宋体" w:hAnsi="Times New Roman" w:eastAsia="宋体" w:cs="宋体"/>
          <w:b/>
          <w:kern w:val="0"/>
          <w:sz w:val="24"/>
          <w:szCs w:val="24"/>
        </w:rPr>
      </w:pPr>
    </w:p>
    <w:p>
      <w:pPr>
        <w:spacing w:line="360" w:lineRule="auto"/>
        <w:ind w:firstLine="480"/>
        <w:jc w:val="center"/>
        <w:rPr>
          <w:rFonts w:ascii="宋体" w:hAnsi="Times New Roman" w:eastAsia="宋体" w:cs="宋体"/>
          <w:b/>
          <w:kern w:val="0"/>
          <w:sz w:val="24"/>
          <w:szCs w:val="24"/>
        </w:rPr>
      </w:pPr>
    </w:p>
    <w:p>
      <w:pPr>
        <w:spacing w:line="360" w:lineRule="auto"/>
        <w:ind w:firstLine="480"/>
        <w:jc w:val="center"/>
        <w:rPr>
          <w:rFonts w:ascii="宋体" w:hAnsi="Times New Roman" w:eastAsia="宋体" w:cs="宋体"/>
          <w:b/>
          <w:kern w:val="0"/>
          <w:sz w:val="24"/>
          <w:szCs w:val="24"/>
        </w:rPr>
      </w:pPr>
    </w:p>
    <w:p>
      <w:pPr>
        <w:spacing w:line="360" w:lineRule="auto"/>
        <w:ind w:firstLine="480"/>
        <w:jc w:val="center"/>
        <w:rPr>
          <w:rFonts w:ascii="宋体" w:hAnsi="Times New Roman" w:eastAsia="宋体" w:cs="宋体"/>
          <w:b/>
          <w:kern w:val="0"/>
          <w:sz w:val="24"/>
          <w:szCs w:val="24"/>
        </w:rPr>
      </w:pPr>
    </w:p>
    <w:p>
      <w:pPr>
        <w:spacing w:line="360" w:lineRule="auto"/>
        <w:ind w:firstLine="480"/>
        <w:jc w:val="center"/>
        <w:rPr>
          <w:rFonts w:ascii="宋体" w:hAnsi="Times New Roman" w:eastAsia="宋体" w:cs="宋体"/>
          <w:b/>
          <w:kern w:val="0"/>
          <w:sz w:val="24"/>
          <w:szCs w:val="24"/>
        </w:rPr>
      </w:pPr>
    </w:p>
    <w:p>
      <w:pPr>
        <w:spacing w:line="360" w:lineRule="auto"/>
        <w:ind w:firstLine="480"/>
        <w:jc w:val="center"/>
        <w:rPr>
          <w:rFonts w:ascii="宋体" w:hAnsi="Times New Roman" w:eastAsia="宋体" w:cs="宋体"/>
          <w:b/>
          <w:kern w:val="0"/>
          <w:sz w:val="24"/>
          <w:szCs w:val="24"/>
        </w:rPr>
      </w:pPr>
    </w:p>
    <w:p>
      <w:pPr>
        <w:spacing w:line="360" w:lineRule="auto"/>
        <w:ind w:firstLine="480"/>
        <w:jc w:val="center"/>
        <w:rPr>
          <w:rFonts w:ascii="宋体" w:hAnsi="Times New Roman" w:eastAsia="宋体" w:cs="宋体"/>
          <w:b/>
          <w:kern w:val="0"/>
          <w:sz w:val="24"/>
          <w:szCs w:val="24"/>
        </w:rPr>
      </w:pPr>
    </w:p>
    <w:p>
      <w:pPr>
        <w:spacing w:line="360" w:lineRule="auto"/>
        <w:ind w:firstLine="480"/>
        <w:jc w:val="center"/>
        <w:rPr>
          <w:rFonts w:ascii="宋体" w:hAnsi="Times New Roman" w:eastAsia="宋体" w:cs="宋体"/>
          <w:b/>
          <w:kern w:val="0"/>
          <w:sz w:val="24"/>
          <w:szCs w:val="24"/>
        </w:rPr>
      </w:pPr>
      <w:r>
        <w:rPr>
          <w:rFonts w:ascii="宋体" w:hAnsi="Times New Roman" w:eastAsia="宋体" w:cs="宋体"/>
          <w:b/>
          <w:kern w:val="0"/>
          <w:sz w:val="24"/>
          <w:szCs w:val="24"/>
        </w:rPr>
        <w:t>表</w:t>
      </w:r>
      <w:r>
        <w:rPr>
          <w:rFonts w:ascii="Times New Roman" w:hAnsi="Times New Roman" w:eastAsia="宋体" w:cs="Times New Roman"/>
          <w:b/>
          <w:kern w:val="0"/>
          <w:sz w:val="24"/>
          <w:szCs w:val="24"/>
        </w:rPr>
        <w:t>2-1</w:t>
      </w:r>
      <w:r>
        <w:rPr>
          <w:rFonts w:hint="eastAsia" w:ascii="Times New Roman" w:hAnsi="Times New Roman" w:eastAsia="宋体" w:cs="Times New Roman"/>
          <w:b/>
          <w:kern w:val="0"/>
          <w:sz w:val="24"/>
          <w:szCs w:val="24"/>
        </w:rPr>
        <w:t>2</w:t>
      </w:r>
      <w:r>
        <w:rPr>
          <w:rFonts w:hint="eastAsia" w:ascii="宋体" w:hAnsi="Times New Roman" w:eastAsia="宋体" w:cs="宋体"/>
          <w:b/>
          <w:kern w:val="0"/>
          <w:sz w:val="24"/>
          <w:szCs w:val="24"/>
        </w:rPr>
        <w:t xml:space="preserve"> </w:t>
      </w:r>
      <w:r>
        <w:rPr>
          <w:rFonts w:ascii="宋体" w:hAnsi="Times New Roman" w:eastAsia="宋体" w:cs="宋体"/>
          <w:b/>
          <w:kern w:val="0"/>
          <w:sz w:val="24"/>
          <w:szCs w:val="24"/>
        </w:rPr>
        <w:t>主要保护对象及保护级别</w:t>
      </w:r>
    </w:p>
    <w:tbl>
      <w:tblPr>
        <w:tblStyle w:val="27"/>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0"/>
        <w:gridCol w:w="1267"/>
        <w:gridCol w:w="2408"/>
        <w:gridCol w:w="669"/>
        <w:gridCol w:w="1093"/>
        <w:gridCol w:w="667"/>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580"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环境</w:t>
            </w:r>
          </w:p>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要素</w:t>
            </w:r>
          </w:p>
        </w:tc>
        <w:tc>
          <w:tcPr>
            <w:tcW w:w="1267"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保护对象</w:t>
            </w:r>
          </w:p>
        </w:tc>
        <w:tc>
          <w:tcPr>
            <w:tcW w:w="2408"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坐标</w:t>
            </w:r>
          </w:p>
        </w:tc>
        <w:tc>
          <w:tcPr>
            <w:tcW w:w="669"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方位</w:t>
            </w:r>
          </w:p>
        </w:tc>
        <w:tc>
          <w:tcPr>
            <w:tcW w:w="1093"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距厂区最近距离（m）</w:t>
            </w:r>
          </w:p>
        </w:tc>
        <w:tc>
          <w:tcPr>
            <w:tcW w:w="667"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功能</w:t>
            </w:r>
          </w:p>
        </w:tc>
        <w:tc>
          <w:tcPr>
            <w:tcW w:w="1632"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580" w:type="dxa"/>
            <w:vMerge w:val="restart"/>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环境</w:t>
            </w:r>
          </w:p>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空气</w:t>
            </w:r>
          </w:p>
        </w:tc>
        <w:tc>
          <w:tcPr>
            <w:tcW w:w="1267"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文景苑小区</w:t>
            </w:r>
          </w:p>
        </w:tc>
        <w:tc>
          <w:tcPr>
            <w:tcW w:w="2408"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东经115°30′18.05″ 、</w:t>
            </w:r>
          </w:p>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北纬38°53′04.75″</w:t>
            </w:r>
          </w:p>
        </w:tc>
        <w:tc>
          <w:tcPr>
            <w:tcW w:w="669"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w:t>
            </w:r>
          </w:p>
        </w:tc>
        <w:tc>
          <w:tcPr>
            <w:tcW w:w="1093"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紧邻</w:t>
            </w:r>
          </w:p>
        </w:tc>
        <w:tc>
          <w:tcPr>
            <w:tcW w:w="667" w:type="dxa"/>
            <w:vMerge w:val="restart"/>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居住区</w:t>
            </w:r>
          </w:p>
        </w:tc>
        <w:tc>
          <w:tcPr>
            <w:tcW w:w="1632" w:type="dxa"/>
            <w:vMerge w:val="restart"/>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580" w:type="dxa"/>
            <w:vMerge w:val="continue"/>
            <w:vAlign w:val="center"/>
          </w:tcPr>
          <w:p>
            <w:pPr>
              <w:jc w:val="center"/>
              <w:rPr>
                <w:rFonts w:ascii="Times New Roman" w:hAnsi="Times New Roman" w:eastAsia="宋体" w:cs="Times New Roman"/>
                <w:color w:val="000000" w:themeColor="text1"/>
                <w:szCs w:val="21"/>
              </w:rPr>
            </w:pPr>
          </w:p>
        </w:tc>
        <w:tc>
          <w:tcPr>
            <w:tcW w:w="1267"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中央司法警官学院</w:t>
            </w:r>
          </w:p>
        </w:tc>
        <w:tc>
          <w:tcPr>
            <w:tcW w:w="2408"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东经115°30′25.95″ 、</w:t>
            </w:r>
          </w:p>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北纬38°53′00.42″</w:t>
            </w:r>
          </w:p>
        </w:tc>
        <w:tc>
          <w:tcPr>
            <w:tcW w:w="669"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E</w:t>
            </w:r>
          </w:p>
        </w:tc>
        <w:tc>
          <w:tcPr>
            <w:tcW w:w="1093"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紧邻</w:t>
            </w:r>
          </w:p>
        </w:tc>
        <w:tc>
          <w:tcPr>
            <w:tcW w:w="667" w:type="dxa"/>
            <w:vMerge w:val="continue"/>
            <w:vAlign w:val="center"/>
          </w:tcPr>
          <w:p>
            <w:pPr>
              <w:jc w:val="center"/>
              <w:rPr>
                <w:rFonts w:ascii="Times New Roman" w:hAnsi="Times New Roman" w:eastAsia="宋体" w:cs="Times New Roman"/>
                <w:color w:val="000000" w:themeColor="text1"/>
                <w:szCs w:val="21"/>
              </w:rPr>
            </w:pPr>
          </w:p>
        </w:tc>
        <w:tc>
          <w:tcPr>
            <w:tcW w:w="1632" w:type="dxa"/>
            <w:vMerge w:val="continue"/>
            <w:vAlign w:val="center"/>
          </w:tcPr>
          <w:p>
            <w:pPr>
              <w:jc w:val="center"/>
              <w:rPr>
                <w:rFonts w:ascii="Times New Roman" w:hAnsi="Times New Roman" w:eastAsia="宋体"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580" w:type="dxa"/>
            <w:vMerge w:val="continue"/>
            <w:vAlign w:val="center"/>
          </w:tcPr>
          <w:p>
            <w:pPr>
              <w:jc w:val="center"/>
              <w:rPr>
                <w:rFonts w:ascii="Times New Roman" w:hAnsi="Times New Roman" w:eastAsia="宋体" w:cs="Times New Roman"/>
                <w:color w:val="000000" w:themeColor="text1"/>
                <w:szCs w:val="21"/>
              </w:rPr>
            </w:pPr>
          </w:p>
        </w:tc>
        <w:tc>
          <w:tcPr>
            <w:tcW w:w="1267"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华北电力大学</w:t>
            </w:r>
          </w:p>
        </w:tc>
        <w:tc>
          <w:tcPr>
            <w:tcW w:w="2408"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东经115°30′27.45″ 、</w:t>
            </w:r>
          </w:p>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北纬38°53′09.81″</w:t>
            </w:r>
          </w:p>
        </w:tc>
        <w:tc>
          <w:tcPr>
            <w:tcW w:w="669"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N</w:t>
            </w:r>
          </w:p>
        </w:tc>
        <w:tc>
          <w:tcPr>
            <w:tcW w:w="1093"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50</w:t>
            </w:r>
          </w:p>
        </w:tc>
        <w:tc>
          <w:tcPr>
            <w:tcW w:w="667" w:type="dxa"/>
            <w:vMerge w:val="continue"/>
            <w:vAlign w:val="center"/>
          </w:tcPr>
          <w:p>
            <w:pPr>
              <w:jc w:val="center"/>
              <w:rPr>
                <w:rFonts w:ascii="Times New Roman" w:hAnsi="Times New Roman" w:eastAsia="宋体" w:cs="Times New Roman"/>
                <w:color w:val="000000" w:themeColor="text1"/>
                <w:szCs w:val="21"/>
              </w:rPr>
            </w:pPr>
          </w:p>
        </w:tc>
        <w:tc>
          <w:tcPr>
            <w:tcW w:w="1632" w:type="dxa"/>
            <w:vMerge w:val="continue"/>
            <w:vAlign w:val="center"/>
          </w:tcPr>
          <w:p>
            <w:pPr>
              <w:jc w:val="center"/>
              <w:rPr>
                <w:rFonts w:ascii="Times New Roman" w:hAnsi="Times New Roman" w:eastAsia="宋体"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580" w:type="dxa"/>
            <w:vMerge w:val="continue"/>
            <w:vAlign w:val="center"/>
          </w:tcPr>
          <w:p>
            <w:pPr>
              <w:jc w:val="center"/>
              <w:rPr>
                <w:rFonts w:ascii="Times New Roman" w:hAnsi="Times New Roman" w:eastAsia="宋体" w:cs="Times New Roman"/>
                <w:color w:val="000000" w:themeColor="text1"/>
                <w:szCs w:val="21"/>
              </w:rPr>
            </w:pPr>
          </w:p>
        </w:tc>
        <w:tc>
          <w:tcPr>
            <w:tcW w:w="1267"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红星花园小区</w:t>
            </w:r>
          </w:p>
        </w:tc>
        <w:tc>
          <w:tcPr>
            <w:tcW w:w="2408"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东经115°30′14.10″ 、</w:t>
            </w:r>
          </w:p>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北纬38°53′52.93″</w:t>
            </w:r>
          </w:p>
        </w:tc>
        <w:tc>
          <w:tcPr>
            <w:tcW w:w="669"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S</w:t>
            </w:r>
          </w:p>
        </w:tc>
        <w:tc>
          <w:tcPr>
            <w:tcW w:w="1093"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220</w:t>
            </w:r>
          </w:p>
        </w:tc>
        <w:tc>
          <w:tcPr>
            <w:tcW w:w="667" w:type="dxa"/>
            <w:vMerge w:val="continue"/>
            <w:vAlign w:val="center"/>
          </w:tcPr>
          <w:p>
            <w:pPr>
              <w:jc w:val="center"/>
              <w:rPr>
                <w:rFonts w:ascii="Times New Roman" w:hAnsi="Times New Roman" w:eastAsia="宋体" w:cs="Times New Roman"/>
                <w:color w:val="000000" w:themeColor="text1"/>
                <w:szCs w:val="21"/>
              </w:rPr>
            </w:pPr>
          </w:p>
        </w:tc>
        <w:tc>
          <w:tcPr>
            <w:tcW w:w="1632" w:type="dxa"/>
            <w:vMerge w:val="continue"/>
            <w:vAlign w:val="center"/>
          </w:tcPr>
          <w:p>
            <w:pPr>
              <w:jc w:val="center"/>
              <w:rPr>
                <w:rFonts w:ascii="Times New Roman" w:hAnsi="Times New Roman" w:eastAsia="宋体"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580" w:type="dxa"/>
            <w:vMerge w:val="continue"/>
            <w:vAlign w:val="center"/>
          </w:tcPr>
          <w:p>
            <w:pPr>
              <w:jc w:val="center"/>
              <w:rPr>
                <w:rFonts w:ascii="Times New Roman" w:hAnsi="Times New Roman" w:eastAsia="宋体" w:cs="Times New Roman"/>
                <w:color w:val="000000" w:themeColor="text1"/>
                <w:szCs w:val="21"/>
              </w:rPr>
            </w:pPr>
          </w:p>
        </w:tc>
        <w:tc>
          <w:tcPr>
            <w:tcW w:w="1267"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保定市城区</w:t>
            </w:r>
          </w:p>
        </w:tc>
        <w:tc>
          <w:tcPr>
            <w:tcW w:w="2408"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东经115°29′45.10″ 、</w:t>
            </w:r>
          </w:p>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北纬38°53′09.61″</w:t>
            </w:r>
          </w:p>
        </w:tc>
        <w:tc>
          <w:tcPr>
            <w:tcW w:w="669"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N、S、W</w:t>
            </w:r>
          </w:p>
        </w:tc>
        <w:tc>
          <w:tcPr>
            <w:tcW w:w="1093"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140</w:t>
            </w:r>
          </w:p>
        </w:tc>
        <w:tc>
          <w:tcPr>
            <w:tcW w:w="667" w:type="dxa"/>
            <w:vMerge w:val="continue"/>
            <w:vAlign w:val="center"/>
          </w:tcPr>
          <w:p>
            <w:pPr>
              <w:jc w:val="center"/>
              <w:rPr>
                <w:rFonts w:ascii="Times New Roman" w:hAnsi="Times New Roman" w:eastAsia="宋体" w:cs="Times New Roman"/>
                <w:color w:val="000000" w:themeColor="text1"/>
                <w:szCs w:val="21"/>
              </w:rPr>
            </w:pPr>
          </w:p>
        </w:tc>
        <w:tc>
          <w:tcPr>
            <w:tcW w:w="1632" w:type="dxa"/>
            <w:vMerge w:val="continue"/>
            <w:vAlign w:val="center"/>
          </w:tcPr>
          <w:p>
            <w:pPr>
              <w:jc w:val="center"/>
              <w:rPr>
                <w:rFonts w:ascii="Times New Roman" w:hAnsi="Times New Roman" w:eastAsia="宋体"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580" w:type="dxa"/>
            <w:vMerge w:val="continue"/>
            <w:vAlign w:val="center"/>
          </w:tcPr>
          <w:p>
            <w:pPr>
              <w:jc w:val="center"/>
              <w:rPr>
                <w:rFonts w:ascii="Times New Roman" w:hAnsi="Times New Roman" w:eastAsia="宋体" w:cs="Times New Roman"/>
                <w:color w:val="000000" w:themeColor="text1"/>
                <w:szCs w:val="21"/>
              </w:rPr>
            </w:pPr>
          </w:p>
        </w:tc>
        <w:tc>
          <w:tcPr>
            <w:tcW w:w="1267"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王庄村</w:t>
            </w:r>
          </w:p>
        </w:tc>
        <w:tc>
          <w:tcPr>
            <w:tcW w:w="2408"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东经115°30′46.00″ 、</w:t>
            </w:r>
          </w:p>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北纬38°53′08.16″</w:t>
            </w:r>
          </w:p>
        </w:tc>
        <w:tc>
          <w:tcPr>
            <w:tcW w:w="669"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E</w:t>
            </w:r>
          </w:p>
        </w:tc>
        <w:tc>
          <w:tcPr>
            <w:tcW w:w="1093"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170</w:t>
            </w:r>
          </w:p>
        </w:tc>
        <w:tc>
          <w:tcPr>
            <w:tcW w:w="667" w:type="dxa"/>
            <w:vMerge w:val="continue"/>
            <w:vAlign w:val="center"/>
          </w:tcPr>
          <w:p>
            <w:pPr>
              <w:jc w:val="center"/>
              <w:rPr>
                <w:rFonts w:ascii="Times New Roman" w:hAnsi="Times New Roman" w:eastAsia="宋体" w:cs="Times New Roman"/>
                <w:color w:val="000000" w:themeColor="text1"/>
                <w:szCs w:val="21"/>
              </w:rPr>
            </w:pPr>
          </w:p>
        </w:tc>
        <w:tc>
          <w:tcPr>
            <w:tcW w:w="1632" w:type="dxa"/>
            <w:vMerge w:val="continue"/>
            <w:vAlign w:val="center"/>
          </w:tcPr>
          <w:p>
            <w:pPr>
              <w:jc w:val="center"/>
              <w:rPr>
                <w:rFonts w:ascii="Times New Roman" w:hAnsi="Times New Roman" w:eastAsia="宋体"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580" w:type="dxa"/>
            <w:vMerge w:val="continue"/>
            <w:vAlign w:val="center"/>
          </w:tcPr>
          <w:p>
            <w:pPr>
              <w:jc w:val="center"/>
              <w:rPr>
                <w:rFonts w:ascii="Times New Roman" w:hAnsi="Times New Roman" w:eastAsia="宋体" w:cs="Times New Roman"/>
                <w:color w:val="000000" w:themeColor="text1"/>
                <w:szCs w:val="21"/>
              </w:rPr>
            </w:pPr>
          </w:p>
        </w:tc>
        <w:tc>
          <w:tcPr>
            <w:tcW w:w="1267"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前辛庄村</w:t>
            </w:r>
          </w:p>
        </w:tc>
        <w:tc>
          <w:tcPr>
            <w:tcW w:w="2408"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东经115°31′31.12″ 、</w:t>
            </w:r>
          </w:p>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北纬38°53′22.74″</w:t>
            </w:r>
          </w:p>
        </w:tc>
        <w:tc>
          <w:tcPr>
            <w:tcW w:w="669"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E</w:t>
            </w:r>
          </w:p>
        </w:tc>
        <w:tc>
          <w:tcPr>
            <w:tcW w:w="1093"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1520</w:t>
            </w:r>
          </w:p>
        </w:tc>
        <w:tc>
          <w:tcPr>
            <w:tcW w:w="667" w:type="dxa"/>
            <w:vMerge w:val="continue"/>
            <w:vAlign w:val="center"/>
          </w:tcPr>
          <w:p>
            <w:pPr>
              <w:jc w:val="center"/>
              <w:rPr>
                <w:rFonts w:ascii="Times New Roman" w:hAnsi="Times New Roman" w:eastAsia="宋体" w:cs="Times New Roman"/>
                <w:color w:val="000000" w:themeColor="text1"/>
                <w:szCs w:val="21"/>
              </w:rPr>
            </w:pPr>
          </w:p>
        </w:tc>
        <w:tc>
          <w:tcPr>
            <w:tcW w:w="1632" w:type="dxa"/>
            <w:vMerge w:val="continue"/>
            <w:vAlign w:val="center"/>
          </w:tcPr>
          <w:p>
            <w:pPr>
              <w:jc w:val="center"/>
              <w:rPr>
                <w:rFonts w:ascii="Times New Roman" w:hAnsi="Times New Roman" w:eastAsia="宋体"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580" w:type="dxa"/>
            <w:vMerge w:val="continue"/>
            <w:vAlign w:val="center"/>
          </w:tcPr>
          <w:p>
            <w:pPr>
              <w:jc w:val="center"/>
              <w:rPr>
                <w:rFonts w:ascii="Times New Roman" w:hAnsi="Times New Roman" w:eastAsia="宋体" w:cs="Times New Roman"/>
                <w:color w:val="000000" w:themeColor="text1"/>
                <w:szCs w:val="21"/>
              </w:rPr>
            </w:pPr>
          </w:p>
        </w:tc>
        <w:tc>
          <w:tcPr>
            <w:tcW w:w="1267"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头台村</w:t>
            </w:r>
          </w:p>
        </w:tc>
        <w:tc>
          <w:tcPr>
            <w:tcW w:w="2408"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东经115°31′22.46″ 、</w:t>
            </w:r>
          </w:p>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北纬38°53′51.31″</w:t>
            </w:r>
          </w:p>
        </w:tc>
        <w:tc>
          <w:tcPr>
            <w:tcW w:w="669"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NE</w:t>
            </w:r>
          </w:p>
        </w:tc>
        <w:tc>
          <w:tcPr>
            <w:tcW w:w="1093"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1670</w:t>
            </w:r>
          </w:p>
        </w:tc>
        <w:tc>
          <w:tcPr>
            <w:tcW w:w="667" w:type="dxa"/>
            <w:vMerge w:val="continue"/>
            <w:vAlign w:val="center"/>
          </w:tcPr>
          <w:p>
            <w:pPr>
              <w:jc w:val="center"/>
              <w:rPr>
                <w:rFonts w:ascii="Times New Roman" w:hAnsi="Times New Roman" w:eastAsia="宋体" w:cs="Times New Roman"/>
                <w:color w:val="000000" w:themeColor="text1"/>
                <w:szCs w:val="21"/>
              </w:rPr>
            </w:pPr>
          </w:p>
        </w:tc>
        <w:tc>
          <w:tcPr>
            <w:tcW w:w="1632" w:type="dxa"/>
            <w:vMerge w:val="continue"/>
            <w:vAlign w:val="center"/>
          </w:tcPr>
          <w:p>
            <w:pPr>
              <w:jc w:val="center"/>
              <w:rPr>
                <w:rFonts w:ascii="Times New Roman" w:hAnsi="Times New Roman" w:eastAsia="宋体"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580" w:type="dxa"/>
            <w:vMerge w:val="continue"/>
            <w:vAlign w:val="center"/>
          </w:tcPr>
          <w:p>
            <w:pPr>
              <w:jc w:val="center"/>
              <w:rPr>
                <w:rFonts w:ascii="Times New Roman" w:hAnsi="Times New Roman" w:eastAsia="宋体" w:cs="Times New Roman"/>
                <w:color w:val="000000" w:themeColor="text1"/>
                <w:szCs w:val="21"/>
              </w:rPr>
            </w:pPr>
          </w:p>
        </w:tc>
        <w:tc>
          <w:tcPr>
            <w:tcW w:w="1267"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梁庄村</w:t>
            </w:r>
          </w:p>
        </w:tc>
        <w:tc>
          <w:tcPr>
            <w:tcW w:w="2408"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东经115°31′47.68″ 、</w:t>
            </w:r>
          </w:p>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北纬38°52′41.65″</w:t>
            </w:r>
          </w:p>
        </w:tc>
        <w:tc>
          <w:tcPr>
            <w:tcW w:w="669"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E</w:t>
            </w:r>
          </w:p>
        </w:tc>
        <w:tc>
          <w:tcPr>
            <w:tcW w:w="1093"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1840</w:t>
            </w:r>
          </w:p>
        </w:tc>
        <w:tc>
          <w:tcPr>
            <w:tcW w:w="667" w:type="dxa"/>
            <w:vMerge w:val="continue"/>
            <w:vAlign w:val="center"/>
          </w:tcPr>
          <w:p>
            <w:pPr>
              <w:jc w:val="center"/>
              <w:rPr>
                <w:rFonts w:ascii="Times New Roman" w:hAnsi="Times New Roman" w:eastAsia="宋体" w:cs="Times New Roman"/>
                <w:color w:val="000000" w:themeColor="text1"/>
                <w:szCs w:val="21"/>
              </w:rPr>
            </w:pPr>
          </w:p>
        </w:tc>
        <w:tc>
          <w:tcPr>
            <w:tcW w:w="1632" w:type="dxa"/>
            <w:vMerge w:val="continue"/>
            <w:vAlign w:val="center"/>
          </w:tcPr>
          <w:p>
            <w:pPr>
              <w:jc w:val="center"/>
              <w:rPr>
                <w:rFonts w:ascii="Times New Roman" w:hAnsi="Times New Roman" w:eastAsia="宋体"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580" w:type="dxa"/>
            <w:vMerge w:val="continue"/>
            <w:vAlign w:val="center"/>
          </w:tcPr>
          <w:p>
            <w:pPr>
              <w:jc w:val="center"/>
              <w:rPr>
                <w:rFonts w:ascii="Times New Roman" w:hAnsi="Times New Roman" w:eastAsia="宋体" w:cs="Times New Roman"/>
                <w:color w:val="000000" w:themeColor="text1"/>
                <w:szCs w:val="21"/>
              </w:rPr>
            </w:pPr>
          </w:p>
        </w:tc>
        <w:tc>
          <w:tcPr>
            <w:tcW w:w="1267"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尚庄村</w:t>
            </w:r>
          </w:p>
        </w:tc>
        <w:tc>
          <w:tcPr>
            <w:tcW w:w="2408"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东经115°32′11.94″ 、</w:t>
            </w:r>
          </w:p>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北纬38°53′02.25″</w:t>
            </w:r>
          </w:p>
        </w:tc>
        <w:tc>
          <w:tcPr>
            <w:tcW w:w="669"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E</w:t>
            </w:r>
          </w:p>
        </w:tc>
        <w:tc>
          <w:tcPr>
            <w:tcW w:w="1093"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2300</w:t>
            </w:r>
          </w:p>
        </w:tc>
        <w:tc>
          <w:tcPr>
            <w:tcW w:w="667" w:type="dxa"/>
            <w:vMerge w:val="continue"/>
            <w:vAlign w:val="center"/>
          </w:tcPr>
          <w:p>
            <w:pPr>
              <w:jc w:val="center"/>
              <w:rPr>
                <w:rFonts w:ascii="Times New Roman" w:hAnsi="Times New Roman" w:eastAsia="宋体" w:cs="Times New Roman"/>
                <w:color w:val="000000" w:themeColor="text1"/>
                <w:szCs w:val="21"/>
              </w:rPr>
            </w:pPr>
          </w:p>
        </w:tc>
        <w:tc>
          <w:tcPr>
            <w:tcW w:w="1632" w:type="dxa"/>
            <w:vMerge w:val="continue"/>
            <w:vAlign w:val="center"/>
          </w:tcPr>
          <w:p>
            <w:pPr>
              <w:jc w:val="center"/>
              <w:rPr>
                <w:rFonts w:ascii="Times New Roman" w:hAnsi="Times New Roman" w:eastAsia="宋体"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580" w:type="dxa"/>
            <w:vMerge w:val="restart"/>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声环境</w:t>
            </w:r>
          </w:p>
        </w:tc>
        <w:tc>
          <w:tcPr>
            <w:tcW w:w="1267"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文景苑小区</w:t>
            </w:r>
          </w:p>
        </w:tc>
        <w:tc>
          <w:tcPr>
            <w:tcW w:w="2408"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东经115°30′18.05″ 、</w:t>
            </w:r>
          </w:p>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北纬38°53′04.75″</w:t>
            </w:r>
          </w:p>
        </w:tc>
        <w:tc>
          <w:tcPr>
            <w:tcW w:w="669"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w:t>
            </w:r>
          </w:p>
        </w:tc>
        <w:tc>
          <w:tcPr>
            <w:tcW w:w="1093"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紧邻</w:t>
            </w:r>
          </w:p>
        </w:tc>
        <w:tc>
          <w:tcPr>
            <w:tcW w:w="667" w:type="dxa"/>
            <w:vMerge w:val="restart"/>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居住区</w:t>
            </w:r>
          </w:p>
        </w:tc>
        <w:tc>
          <w:tcPr>
            <w:tcW w:w="1632" w:type="dxa"/>
            <w:vMerge w:val="restart"/>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声环境执行《声环境质量标准》（GB3096-2008）中1类功能区标准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580" w:type="dxa"/>
            <w:vMerge w:val="continue"/>
            <w:vAlign w:val="center"/>
          </w:tcPr>
          <w:p>
            <w:pPr>
              <w:jc w:val="center"/>
              <w:rPr>
                <w:rFonts w:ascii="Times New Roman" w:hAnsi="Times New Roman" w:eastAsia="宋体" w:cs="Times New Roman"/>
                <w:color w:val="000000" w:themeColor="text1"/>
                <w:szCs w:val="21"/>
              </w:rPr>
            </w:pPr>
          </w:p>
        </w:tc>
        <w:tc>
          <w:tcPr>
            <w:tcW w:w="1267"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中央司法警官学院</w:t>
            </w:r>
          </w:p>
        </w:tc>
        <w:tc>
          <w:tcPr>
            <w:tcW w:w="2408"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东经115°30′25.95″ 、</w:t>
            </w:r>
          </w:p>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北纬38°53′00.42″</w:t>
            </w:r>
          </w:p>
        </w:tc>
        <w:tc>
          <w:tcPr>
            <w:tcW w:w="669"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E</w:t>
            </w:r>
          </w:p>
        </w:tc>
        <w:tc>
          <w:tcPr>
            <w:tcW w:w="1093"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紧邻</w:t>
            </w:r>
          </w:p>
        </w:tc>
        <w:tc>
          <w:tcPr>
            <w:tcW w:w="667" w:type="dxa"/>
            <w:vMerge w:val="continue"/>
            <w:vAlign w:val="center"/>
          </w:tcPr>
          <w:p>
            <w:pPr>
              <w:jc w:val="center"/>
              <w:rPr>
                <w:rFonts w:ascii="Times New Roman" w:hAnsi="Times New Roman" w:eastAsia="宋体" w:cs="Times New Roman"/>
                <w:color w:val="000000" w:themeColor="text1"/>
                <w:szCs w:val="21"/>
              </w:rPr>
            </w:pPr>
          </w:p>
        </w:tc>
        <w:tc>
          <w:tcPr>
            <w:tcW w:w="1632" w:type="dxa"/>
            <w:vMerge w:val="continue"/>
            <w:vAlign w:val="center"/>
          </w:tcPr>
          <w:p>
            <w:pPr>
              <w:jc w:val="center"/>
              <w:rPr>
                <w:rFonts w:ascii="Times New Roman" w:hAnsi="Times New Roman" w:eastAsia="宋体"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580" w:type="dxa"/>
            <w:vMerge w:val="continue"/>
            <w:vAlign w:val="center"/>
          </w:tcPr>
          <w:p>
            <w:pPr>
              <w:jc w:val="center"/>
              <w:rPr>
                <w:rFonts w:ascii="Times New Roman" w:hAnsi="Times New Roman" w:eastAsia="宋体" w:cs="Times New Roman"/>
                <w:color w:val="000000" w:themeColor="text1"/>
                <w:szCs w:val="21"/>
              </w:rPr>
            </w:pPr>
          </w:p>
        </w:tc>
        <w:tc>
          <w:tcPr>
            <w:tcW w:w="1267"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华北电力大学</w:t>
            </w:r>
          </w:p>
        </w:tc>
        <w:tc>
          <w:tcPr>
            <w:tcW w:w="2408"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东经115°30′27.45″ 、</w:t>
            </w:r>
          </w:p>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北纬38°53′09.81″</w:t>
            </w:r>
          </w:p>
        </w:tc>
        <w:tc>
          <w:tcPr>
            <w:tcW w:w="669"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N</w:t>
            </w:r>
          </w:p>
        </w:tc>
        <w:tc>
          <w:tcPr>
            <w:tcW w:w="1093"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50</w:t>
            </w:r>
          </w:p>
        </w:tc>
        <w:tc>
          <w:tcPr>
            <w:tcW w:w="667" w:type="dxa"/>
            <w:vMerge w:val="continue"/>
            <w:vAlign w:val="center"/>
          </w:tcPr>
          <w:p>
            <w:pPr>
              <w:jc w:val="center"/>
              <w:rPr>
                <w:rFonts w:ascii="Times New Roman" w:hAnsi="Times New Roman" w:eastAsia="宋体" w:cs="Times New Roman"/>
                <w:color w:val="000000" w:themeColor="text1"/>
                <w:szCs w:val="21"/>
              </w:rPr>
            </w:pPr>
          </w:p>
        </w:tc>
        <w:tc>
          <w:tcPr>
            <w:tcW w:w="1632" w:type="dxa"/>
            <w:vMerge w:val="continue"/>
            <w:vAlign w:val="center"/>
          </w:tcPr>
          <w:p>
            <w:pPr>
              <w:jc w:val="center"/>
              <w:rPr>
                <w:rFonts w:ascii="Times New Roman" w:hAnsi="Times New Roman" w:eastAsia="宋体"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580" w:type="dxa"/>
            <w:vMerge w:val="continue"/>
            <w:vAlign w:val="center"/>
          </w:tcPr>
          <w:p>
            <w:pPr>
              <w:jc w:val="center"/>
              <w:rPr>
                <w:rFonts w:ascii="Times New Roman" w:hAnsi="Times New Roman" w:eastAsia="宋体" w:cs="Times New Roman"/>
                <w:color w:val="000000" w:themeColor="text1"/>
                <w:szCs w:val="21"/>
              </w:rPr>
            </w:pPr>
          </w:p>
        </w:tc>
        <w:tc>
          <w:tcPr>
            <w:tcW w:w="1267"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保定市城区</w:t>
            </w:r>
          </w:p>
        </w:tc>
        <w:tc>
          <w:tcPr>
            <w:tcW w:w="2408"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东经115°29′45.10″ 、</w:t>
            </w:r>
          </w:p>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北纬38°53′09.61″</w:t>
            </w:r>
          </w:p>
        </w:tc>
        <w:tc>
          <w:tcPr>
            <w:tcW w:w="669"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N、S、W</w:t>
            </w:r>
          </w:p>
        </w:tc>
        <w:tc>
          <w:tcPr>
            <w:tcW w:w="1093"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140</w:t>
            </w:r>
          </w:p>
        </w:tc>
        <w:tc>
          <w:tcPr>
            <w:tcW w:w="667" w:type="dxa"/>
            <w:vMerge w:val="continue"/>
            <w:vAlign w:val="center"/>
          </w:tcPr>
          <w:p>
            <w:pPr>
              <w:jc w:val="center"/>
              <w:rPr>
                <w:rFonts w:ascii="Times New Roman" w:hAnsi="Times New Roman" w:eastAsia="宋体" w:cs="Times New Roman"/>
                <w:color w:val="000000" w:themeColor="text1"/>
                <w:szCs w:val="21"/>
              </w:rPr>
            </w:pPr>
          </w:p>
        </w:tc>
        <w:tc>
          <w:tcPr>
            <w:tcW w:w="1632" w:type="dxa"/>
            <w:vMerge w:val="continue"/>
            <w:vAlign w:val="center"/>
          </w:tcPr>
          <w:p>
            <w:pPr>
              <w:jc w:val="center"/>
              <w:rPr>
                <w:rFonts w:ascii="Times New Roman" w:hAnsi="Times New Roman" w:eastAsia="宋体"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580" w:type="dxa"/>
            <w:vMerge w:val="continue"/>
            <w:vAlign w:val="center"/>
          </w:tcPr>
          <w:p>
            <w:pPr>
              <w:jc w:val="center"/>
              <w:rPr>
                <w:rFonts w:ascii="Times New Roman" w:hAnsi="Times New Roman" w:eastAsia="宋体" w:cs="Times New Roman"/>
                <w:color w:val="000000" w:themeColor="text1"/>
                <w:szCs w:val="21"/>
              </w:rPr>
            </w:pPr>
          </w:p>
        </w:tc>
        <w:tc>
          <w:tcPr>
            <w:tcW w:w="1267"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王庄村</w:t>
            </w:r>
          </w:p>
        </w:tc>
        <w:tc>
          <w:tcPr>
            <w:tcW w:w="2408"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东经115°30′46.00″ 、</w:t>
            </w:r>
          </w:p>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北纬38°53′08.16″</w:t>
            </w:r>
          </w:p>
        </w:tc>
        <w:tc>
          <w:tcPr>
            <w:tcW w:w="669"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E</w:t>
            </w:r>
          </w:p>
        </w:tc>
        <w:tc>
          <w:tcPr>
            <w:tcW w:w="1093"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170</w:t>
            </w:r>
          </w:p>
        </w:tc>
        <w:tc>
          <w:tcPr>
            <w:tcW w:w="667" w:type="dxa"/>
            <w:vMerge w:val="continue"/>
            <w:vAlign w:val="center"/>
          </w:tcPr>
          <w:p>
            <w:pPr>
              <w:jc w:val="center"/>
              <w:rPr>
                <w:rFonts w:ascii="Times New Roman" w:hAnsi="Times New Roman" w:eastAsia="宋体" w:cs="Times New Roman"/>
                <w:color w:val="000000" w:themeColor="text1"/>
                <w:szCs w:val="21"/>
              </w:rPr>
            </w:pPr>
          </w:p>
        </w:tc>
        <w:tc>
          <w:tcPr>
            <w:tcW w:w="1632" w:type="dxa"/>
            <w:vMerge w:val="continue"/>
            <w:vAlign w:val="center"/>
          </w:tcPr>
          <w:p>
            <w:pPr>
              <w:jc w:val="center"/>
              <w:rPr>
                <w:rFonts w:ascii="Times New Roman" w:hAnsi="Times New Roman" w:eastAsia="宋体"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580"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地下水</w:t>
            </w:r>
          </w:p>
        </w:tc>
        <w:tc>
          <w:tcPr>
            <w:tcW w:w="5437" w:type="dxa"/>
            <w:gridSpan w:val="4"/>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项目所在区域地下水</w:t>
            </w:r>
          </w:p>
        </w:tc>
        <w:tc>
          <w:tcPr>
            <w:tcW w:w="667" w:type="dxa"/>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生活饮用水</w:t>
            </w:r>
          </w:p>
        </w:tc>
        <w:tc>
          <w:tcPr>
            <w:tcW w:w="1632" w:type="dxa"/>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《地下水质量标准》</w:t>
            </w:r>
          </w:p>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（GB/T14848－2017）</w:t>
            </w:r>
            <w:r>
              <w:rPr>
                <w:rFonts w:ascii="Times New Roman" w:hAnsi="宋体" w:eastAsia="宋体" w:cs="Times New Roman"/>
                <w:color w:val="000000" w:themeColor="text1"/>
                <w:szCs w:val="21"/>
              </w:rPr>
              <w:t>Ⅲ</w:t>
            </w:r>
            <w:r>
              <w:rPr>
                <w:rFonts w:ascii="Times New Roman" w:hAnsi="Times New Roman" w:cs="Times New Roman"/>
                <w:color w:val="000000" w:themeColor="text1"/>
                <w:szCs w:val="21"/>
              </w:rPr>
              <w:t>类标准</w:t>
            </w:r>
          </w:p>
        </w:tc>
      </w:tr>
    </w:tbl>
    <w:p>
      <w:pPr>
        <w:pStyle w:val="3"/>
        <w:spacing w:before="0" w:after="0" w:line="360" w:lineRule="auto"/>
        <w:rPr>
          <w:rFonts w:ascii="Times New Roman" w:hAnsi="Times New Roman" w:cs="Times New Roman"/>
          <w:sz w:val="28"/>
          <w:szCs w:val="28"/>
        </w:rPr>
      </w:pPr>
      <w:bookmarkStart w:id="21" w:name="_Toc13725347"/>
      <w:r>
        <w:rPr>
          <w:rFonts w:ascii="Times New Roman" w:hAnsi="Times New Roman" w:cs="Times New Roman"/>
          <w:sz w:val="28"/>
          <w:szCs w:val="28"/>
        </w:rPr>
        <w:t>2.</w:t>
      </w:r>
      <w:r>
        <w:rPr>
          <w:rFonts w:hint="eastAsia" w:ascii="Times New Roman" w:hAnsi="Times New Roman" w:cs="Times New Roman"/>
          <w:sz w:val="28"/>
          <w:szCs w:val="28"/>
        </w:rPr>
        <w:t>10</w:t>
      </w:r>
      <w:r>
        <w:rPr>
          <w:rFonts w:ascii="Times New Roman" w:hAnsi="Times New Roman" w:cs="Times New Roman"/>
          <w:sz w:val="28"/>
          <w:szCs w:val="28"/>
        </w:rPr>
        <w:t>评价</w:t>
      </w:r>
      <w:r>
        <w:rPr>
          <w:rFonts w:hint="eastAsia" w:ascii="Times New Roman" w:hAnsi="Times New Roman" w:cs="Times New Roman"/>
          <w:sz w:val="28"/>
          <w:szCs w:val="28"/>
        </w:rPr>
        <w:t>标准</w:t>
      </w:r>
      <w:bookmarkEnd w:id="21"/>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2.10.1环境质量标准</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（1）大气环境：</w:t>
      </w:r>
    </w:p>
    <w:p>
      <w:pPr>
        <w:spacing w:line="360" w:lineRule="auto"/>
        <w:ind w:firstLine="494" w:firstLineChars="206"/>
        <w:rPr>
          <w:color w:val="000000" w:themeColor="text1"/>
          <w:sz w:val="24"/>
          <w:szCs w:val="24"/>
        </w:rPr>
      </w:pPr>
      <w:r>
        <w:rPr>
          <w:rFonts w:ascii="Times New Roman" w:hAnsi="Times New Roman" w:cs="Times New Roman"/>
          <w:sz w:val="24"/>
          <w:szCs w:val="24"/>
        </w:rPr>
        <w:t>PM</w:t>
      </w:r>
      <w:r>
        <w:rPr>
          <w:rFonts w:ascii="Times New Roman" w:hAnsi="Times New Roman" w:cs="Times New Roman"/>
          <w:sz w:val="24"/>
          <w:szCs w:val="24"/>
          <w:vertAlign w:val="subscript"/>
        </w:rPr>
        <w:t>10</w:t>
      </w:r>
      <w:r>
        <w:rPr>
          <w:rFonts w:ascii="Times New Roman" w:hAnsi="Times New Roman" w:cs="Times New Roman"/>
          <w:sz w:val="24"/>
          <w:szCs w:val="24"/>
        </w:rPr>
        <w:t>、PM</w:t>
      </w:r>
      <w:r>
        <w:rPr>
          <w:rFonts w:ascii="Times New Roman" w:hAnsi="Times New Roman" w:cs="Times New Roman"/>
          <w:sz w:val="24"/>
          <w:szCs w:val="24"/>
          <w:vertAlign w:val="subscript"/>
        </w:rPr>
        <w:t>2.5</w:t>
      </w:r>
      <w:r>
        <w:rPr>
          <w:rFonts w:ascii="Times New Roman" w:hAnsi="Times New Roman" w:cs="Times New Roman"/>
          <w:sz w:val="24"/>
          <w:szCs w:val="24"/>
        </w:rPr>
        <w:t>、SO</w:t>
      </w:r>
      <w:r>
        <w:rPr>
          <w:rFonts w:ascii="Times New Roman" w:hAnsi="Times New Roman" w:cs="Times New Roman"/>
          <w:sz w:val="24"/>
          <w:szCs w:val="24"/>
          <w:vertAlign w:val="subscript"/>
        </w:rPr>
        <w:t>2</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rPr>
        <w:t>、CO、O</w:t>
      </w:r>
      <w:r>
        <w:rPr>
          <w:rFonts w:ascii="Times New Roman" w:hAnsi="Times New Roman" w:cs="Times New Roman"/>
          <w:sz w:val="24"/>
          <w:szCs w:val="24"/>
          <w:vertAlign w:val="subscript"/>
        </w:rPr>
        <w:t>3</w:t>
      </w:r>
      <w:r>
        <w:rPr>
          <w:rFonts w:ascii="Times New Roman" w:hAnsi="Times New Roman" w:cs="Times New Roman"/>
          <w:sz w:val="24"/>
          <w:szCs w:val="24"/>
        </w:rPr>
        <w:t>执行《环境空气质量标准》 (GB3095-2012)二级标准；</w:t>
      </w:r>
      <w:r>
        <w:rPr>
          <w:rFonts w:hint="eastAsia" w:ascii="Times New Roman" w:hAnsi="Times New Roman" w:cs="Times New Roman"/>
          <w:sz w:val="24"/>
          <w:szCs w:val="24"/>
        </w:rPr>
        <w:t>氨和硫化氢执行</w:t>
      </w:r>
      <w:r>
        <w:rPr>
          <w:rFonts w:hint="eastAsia" w:hAnsi="宋体"/>
          <w:color w:val="000000" w:themeColor="text1"/>
          <w:sz w:val="24"/>
          <w:szCs w:val="24"/>
        </w:rPr>
        <w:t>《环境影响评价技术导则  大气环境》（HJ2.2-2018）附录D其他污染物空气质量浓度参考限值。</w:t>
      </w:r>
    </w:p>
    <w:p>
      <w:pPr>
        <w:overflowPunct w:val="0"/>
        <w:spacing w:line="360" w:lineRule="auto"/>
        <w:ind w:firstLine="482" w:firstLineChars="200"/>
        <w:jc w:val="center"/>
        <w:rPr>
          <w:rFonts w:ascii="Times New Roman" w:hAnsi="Times New Roman" w:eastAsia="宋体"/>
          <w:b/>
          <w:sz w:val="24"/>
          <w:szCs w:val="24"/>
        </w:rPr>
      </w:pPr>
      <w:r>
        <w:rPr>
          <w:rFonts w:ascii="Times New Roman" w:hAnsi="Times New Roman" w:eastAsia="宋体"/>
          <w:b/>
          <w:sz w:val="24"/>
          <w:szCs w:val="24"/>
        </w:rPr>
        <w:t>表2-</w:t>
      </w:r>
      <w:r>
        <w:rPr>
          <w:rFonts w:hint="eastAsia" w:ascii="Times New Roman" w:hAnsi="Times New Roman" w:eastAsia="宋体"/>
          <w:b/>
          <w:sz w:val="24"/>
          <w:szCs w:val="24"/>
        </w:rPr>
        <w:t>13</w:t>
      </w:r>
      <w:r>
        <w:rPr>
          <w:rFonts w:ascii="Times New Roman" w:hAnsi="Times New Roman" w:eastAsia="宋体"/>
          <w:b/>
          <w:sz w:val="24"/>
          <w:szCs w:val="24"/>
        </w:rPr>
        <w:t xml:space="preserve">  环境</w:t>
      </w:r>
      <w:r>
        <w:rPr>
          <w:rFonts w:hint="eastAsia" w:ascii="Times New Roman" w:hAnsi="Times New Roman" w:eastAsia="宋体"/>
          <w:b/>
          <w:sz w:val="24"/>
          <w:szCs w:val="24"/>
        </w:rPr>
        <w:t>空气</w:t>
      </w:r>
      <w:r>
        <w:rPr>
          <w:rFonts w:ascii="Times New Roman" w:hAnsi="Times New Roman" w:eastAsia="宋体"/>
          <w:b/>
          <w:sz w:val="24"/>
          <w:szCs w:val="24"/>
        </w:rPr>
        <w:t>质量标准及限值一览表</w:t>
      </w:r>
    </w:p>
    <w:tbl>
      <w:tblPr>
        <w:tblStyle w:val="27"/>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133"/>
        <w:gridCol w:w="1981"/>
        <w:gridCol w:w="854"/>
        <w:gridCol w:w="849"/>
        <w:gridCol w:w="25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6" w:type="dxa"/>
            <w:tcBorders>
              <w:top w:val="single" w:color="auto" w:sz="4" w:space="0"/>
              <w:left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项目</w:t>
            </w:r>
          </w:p>
        </w:tc>
        <w:tc>
          <w:tcPr>
            <w:tcW w:w="1133" w:type="dxa"/>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评价因子</w:t>
            </w:r>
          </w:p>
        </w:tc>
        <w:tc>
          <w:tcPr>
            <w:tcW w:w="2835" w:type="dxa"/>
            <w:gridSpan w:val="2"/>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标准限值</w:t>
            </w:r>
          </w:p>
        </w:tc>
        <w:tc>
          <w:tcPr>
            <w:tcW w:w="849" w:type="dxa"/>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单位</w:t>
            </w:r>
          </w:p>
        </w:tc>
        <w:tc>
          <w:tcPr>
            <w:tcW w:w="2599" w:type="dxa"/>
            <w:tcBorders>
              <w:top w:val="single" w:color="auto" w:sz="4" w:space="0"/>
              <w:bottom w:val="single" w:color="auto" w:sz="4" w:space="0"/>
              <w:right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6" w:type="dxa"/>
            <w:vMerge w:val="restart"/>
            <w:tcBorders>
              <w:top w:val="single" w:color="auto" w:sz="4" w:space="0"/>
              <w:left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大气环境</w:t>
            </w:r>
          </w:p>
        </w:tc>
        <w:tc>
          <w:tcPr>
            <w:tcW w:w="1133" w:type="dxa"/>
            <w:vMerge w:val="restart"/>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SO</w:t>
            </w:r>
            <w:r>
              <w:rPr>
                <w:rFonts w:ascii="Times New Roman" w:hAnsi="Times New Roman" w:eastAsia="宋体"/>
                <w:szCs w:val="21"/>
                <w:vertAlign w:val="subscript"/>
              </w:rPr>
              <w:t>2</w:t>
            </w:r>
          </w:p>
        </w:tc>
        <w:tc>
          <w:tcPr>
            <w:tcW w:w="1981" w:type="dxa"/>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年平均</w:t>
            </w:r>
          </w:p>
        </w:tc>
        <w:tc>
          <w:tcPr>
            <w:tcW w:w="854" w:type="dxa"/>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60</w:t>
            </w:r>
          </w:p>
        </w:tc>
        <w:tc>
          <w:tcPr>
            <w:tcW w:w="849" w:type="dxa"/>
            <w:vMerge w:val="restart"/>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μg/m</w:t>
            </w:r>
            <w:r>
              <w:rPr>
                <w:rFonts w:ascii="Times New Roman" w:hAnsi="Times New Roman" w:eastAsia="宋体"/>
                <w:szCs w:val="21"/>
                <w:vertAlign w:val="superscript"/>
              </w:rPr>
              <w:t>3</w:t>
            </w:r>
          </w:p>
        </w:tc>
        <w:tc>
          <w:tcPr>
            <w:tcW w:w="2599" w:type="dxa"/>
            <w:vMerge w:val="restart"/>
            <w:tcBorders>
              <w:top w:val="single" w:color="auto" w:sz="4" w:space="0"/>
              <w:bottom w:val="single" w:color="auto" w:sz="4" w:space="0"/>
              <w:right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6" w:type="dxa"/>
            <w:vMerge w:val="continue"/>
            <w:tcBorders>
              <w:left w:val="single" w:color="auto" w:sz="4" w:space="0"/>
            </w:tcBorders>
            <w:vAlign w:val="center"/>
          </w:tcPr>
          <w:p>
            <w:pPr>
              <w:overflowPunct w:val="0"/>
              <w:ind w:firstLine="420" w:firstLineChars="200"/>
              <w:jc w:val="center"/>
              <w:rPr>
                <w:rFonts w:ascii="Times New Roman" w:hAnsi="Times New Roman" w:eastAsia="宋体"/>
                <w:szCs w:val="21"/>
              </w:rPr>
            </w:pPr>
          </w:p>
        </w:tc>
        <w:tc>
          <w:tcPr>
            <w:tcW w:w="1133" w:type="dxa"/>
            <w:vMerge w:val="continue"/>
            <w:tcBorders>
              <w:top w:val="single" w:color="auto" w:sz="4" w:space="0"/>
              <w:bottom w:val="single" w:color="auto" w:sz="4" w:space="0"/>
            </w:tcBorders>
            <w:tcMar>
              <w:left w:w="0" w:type="dxa"/>
              <w:right w:w="0" w:type="dxa"/>
            </w:tcMar>
            <w:vAlign w:val="center"/>
          </w:tcPr>
          <w:p>
            <w:pPr>
              <w:overflowPunct w:val="0"/>
              <w:ind w:firstLine="420" w:firstLineChars="200"/>
              <w:jc w:val="center"/>
              <w:rPr>
                <w:rFonts w:ascii="Times New Roman" w:hAnsi="Times New Roman" w:eastAsia="宋体"/>
                <w:szCs w:val="21"/>
              </w:rPr>
            </w:pPr>
          </w:p>
        </w:tc>
        <w:tc>
          <w:tcPr>
            <w:tcW w:w="1981" w:type="dxa"/>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24小时平均</w:t>
            </w:r>
          </w:p>
        </w:tc>
        <w:tc>
          <w:tcPr>
            <w:tcW w:w="854" w:type="dxa"/>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150</w:t>
            </w:r>
          </w:p>
        </w:tc>
        <w:tc>
          <w:tcPr>
            <w:tcW w:w="849" w:type="dxa"/>
            <w:vMerge w:val="continue"/>
            <w:tcBorders>
              <w:top w:val="single" w:color="auto" w:sz="4" w:space="0"/>
              <w:bottom w:val="single" w:color="auto" w:sz="4" w:space="0"/>
            </w:tcBorders>
            <w:vAlign w:val="center"/>
          </w:tcPr>
          <w:p>
            <w:pPr>
              <w:overflowPunct w:val="0"/>
              <w:jc w:val="center"/>
              <w:rPr>
                <w:rFonts w:ascii="Times New Roman" w:hAnsi="Times New Roman" w:eastAsia="宋体"/>
                <w:szCs w:val="21"/>
              </w:rPr>
            </w:pPr>
          </w:p>
        </w:tc>
        <w:tc>
          <w:tcPr>
            <w:tcW w:w="2599" w:type="dxa"/>
            <w:vMerge w:val="continue"/>
            <w:tcBorders>
              <w:top w:val="single" w:color="auto" w:sz="4" w:space="0"/>
              <w:bottom w:val="single" w:color="auto" w:sz="4" w:space="0"/>
              <w:right w:val="single" w:color="auto" w:sz="4" w:space="0"/>
            </w:tcBorders>
            <w:vAlign w:val="center"/>
          </w:tcPr>
          <w:p>
            <w:pPr>
              <w:overflowPunct w:val="0"/>
              <w:ind w:firstLine="420" w:firstLineChars="200"/>
              <w:jc w:val="center"/>
              <w:rPr>
                <w:rFonts w:ascii="Times New Roman" w:hAnsi="Times New Roman"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6" w:type="dxa"/>
            <w:vMerge w:val="continue"/>
            <w:tcBorders>
              <w:left w:val="single" w:color="auto" w:sz="4" w:space="0"/>
            </w:tcBorders>
            <w:vAlign w:val="center"/>
          </w:tcPr>
          <w:p>
            <w:pPr>
              <w:overflowPunct w:val="0"/>
              <w:ind w:firstLine="420" w:firstLineChars="200"/>
              <w:jc w:val="center"/>
              <w:rPr>
                <w:rFonts w:ascii="Times New Roman" w:hAnsi="Times New Roman" w:eastAsia="宋体"/>
                <w:szCs w:val="21"/>
              </w:rPr>
            </w:pPr>
          </w:p>
        </w:tc>
        <w:tc>
          <w:tcPr>
            <w:tcW w:w="1133" w:type="dxa"/>
            <w:vMerge w:val="continue"/>
            <w:tcBorders>
              <w:top w:val="single" w:color="auto" w:sz="4" w:space="0"/>
              <w:bottom w:val="single" w:color="auto" w:sz="4" w:space="0"/>
            </w:tcBorders>
            <w:tcMar>
              <w:left w:w="0" w:type="dxa"/>
              <w:right w:w="0" w:type="dxa"/>
            </w:tcMar>
            <w:vAlign w:val="center"/>
          </w:tcPr>
          <w:p>
            <w:pPr>
              <w:overflowPunct w:val="0"/>
              <w:ind w:firstLine="420" w:firstLineChars="200"/>
              <w:jc w:val="center"/>
              <w:rPr>
                <w:rFonts w:ascii="Times New Roman" w:hAnsi="Times New Roman" w:eastAsia="宋体"/>
                <w:szCs w:val="21"/>
              </w:rPr>
            </w:pPr>
          </w:p>
        </w:tc>
        <w:tc>
          <w:tcPr>
            <w:tcW w:w="1981" w:type="dxa"/>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1小时平均</w:t>
            </w:r>
          </w:p>
        </w:tc>
        <w:tc>
          <w:tcPr>
            <w:tcW w:w="854" w:type="dxa"/>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500</w:t>
            </w:r>
          </w:p>
        </w:tc>
        <w:tc>
          <w:tcPr>
            <w:tcW w:w="849" w:type="dxa"/>
            <w:vMerge w:val="continue"/>
            <w:tcBorders>
              <w:top w:val="single" w:color="auto" w:sz="4" w:space="0"/>
              <w:bottom w:val="single" w:color="auto" w:sz="4" w:space="0"/>
            </w:tcBorders>
            <w:vAlign w:val="center"/>
          </w:tcPr>
          <w:p>
            <w:pPr>
              <w:overflowPunct w:val="0"/>
              <w:jc w:val="center"/>
              <w:rPr>
                <w:rFonts w:ascii="Times New Roman" w:hAnsi="Times New Roman" w:eastAsia="宋体"/>
                <w:szCs w:val="21"/>
              </w:rPr>
            </w:pPr>
          </w:p>
        </w:tc>
        <w:tc>
          <w:tcPr>
            <w:tcW w:w="2599" w:type="dxa"/>
            <w:vMerge w:val="continue"/>
            <w:tcBorders>
              <w:top w:val="single" w:color="auto" w:sz="4" w:space="0"/>
              <w:bottom w:val="single" w:color="auto" w:sz="4" w:space="0"/>
              <w:right w:val="single" w:color="auto" w:sz="4" w:space="0"/>
            </w:tcBorders>
            <w:vAlign w:val="center"/>
          </w:tcPr>
          <w:p>
            <w:pPr>
              <w:overflowPunct w:val="0"/>
              <w:ind w:firstLine="420" w:firstLineChars="200"/>
              <w:jc w:val="center"/>
              <w:rPr>
                <w:rFonts w:ascii="Times New Roman" w:hAnsi="Times New Roman"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6" w:type="dxa"/>
            <w:vMerge w:val="continue"/>
            <w:tcBorders>
              <w:left w:val="single" w:color="auto" w:sz="4" w:space="0"/>
            </w:tcBorders>
            <w:vAlign w:val="center"/>
          </w:tcPr>
          <w:p>
            <w:pPr>
              <w:overflowPunct w:val="0"/>
              <w:ind w:firstLine="420" w:firstLineChars="200"/>
              <w:jc w:val="center"/>
              <w:rPr>
                <w:rFonts w:ascii="Times New Roman" w:hAnsi="Times New Roman" w:eastAsia="宋体"/>
                <w:szCs w:val="21"/>
              </w:rPr>
            </w:pPr>
          </w:p>
        </w:tc>
        <w:tc>
          <w:tcPr>
            <w:tcW w:w="1133" w:type="dxa"/>
            <w:vMerge w:val="restart"/>
            <w:tcBorders>
              <w:top w:val="single" w:color="auto" w:sz="4" w:space="0"/>
              <w:bottom w:val="single" w:color="auto" w:sz="4" w:space="0"/>
            </w:tcBorders>
            <w:tcMar>
              <w:left w:w="0" w:type="dxa"/>
              <w:right w:w="0" w:type="dxa"/>
            </w:tcMar>
            <w:vAlign w:val="center"/>
          </w:tcPr>
          <w:p>
            <w:pPr>
              <w:jc w:val="center"/>
              <w:rPr>
                <w:rFonts w:ascii="Times New Roman" w:hAnsi="Times New Roman" w:eastAsia="宋体"/>
                <w:szCs w:val="21"/>
              </w:rPr>
            </w:pPr>
            <w:r>
              <w:rPr>
                <w:rFonts w:ascii="Times New Roman" w:hAnsi="Times New Roman" w:eastAsia="宋体"/>
                <w:szCs w:val="21"/>
              </w:rPr>
              <w:t>CO</w:t>
            </w:r>
          </w:p>
        </w:tc>
        <w:tc>
          <w:tcPr>
            <w:tcW w:w="1981" w:type="dxa"/>
            <w:tcBorders>
              <w:top w:val="single" w:color="auto" w:sz="4" w:space="0"/>
              <w:bottom w:val="single" w:color="auto" w:sz="4" w:space="0"/>
            </w:tcBorders>
            <w:vAlign w:val="center"/>
          </w:tcPr>
          <w:p>
            <w:pPr>
              <w:jc w:val="center"/>
              <w:rPr>
                <w:rFonts w:ascii="Times New Roman" w:hAnsi="Times New Roman" w:eastAsia="宋体"/>
                <w:szCs w:val="21"/>
              </w:rPr>
            </w:pPr>
            <w:r>
              <w:rPr>
                <w:rFonts w:ascii="Times New Roman" w:hAnsi="Times New Roman" w:eastAsia="宋体"/>
                <w:szCs w:val="21"/>
              </w:rPr>
              <w:t>24小时平均</w:t>
            </w:r>
          </w:p>
        </w:tc>
        <w:tc>
          <w:tcPr>
            <w:tcW w:w="854" w:type="dxa"/>
            <w:tcBorders>
              <w:top w:val="single" w:color="auto" w:sz="4" w:space="0"/>
              <w:bottom w:val="single" w:color="auto" w:sz="4" w:space="0"/>
            </w:tcBorders>
            <w:vAlign w:val="center"/>
          </w:tcPr>
          <w:p>
            <w:pPr>
              <w:jc w:val="center"/>
              <w:rPr>
                <w:rFonts w:ascii="Times New Roman" w:hAnsi="Times New Roman" w:eastAsia="宋体"/>
                <w:szCs w:val="21"/>
              </w:rPr>
            </w:pPr>
            <w:r>
              <w:rPr>
                <w:rFonts w:ascii="Times New Roman" w:hAnsi="Times New Roman" w:eastAsia="宋体"/>
                <w:szCs w:val="21"/>
              </w:rPr>
              <w:t>4</w:t>
            </w:r>
          </w:p>
        </w:tc>
        <w:tc>
          <w:tcPr>
            <w:tcW w:w="849" w:type="dxa"/>
            <w:vMerge w:val="restart"/>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mg/m</w:t>
            </w:r>
            <w:r>
              <w:rPr>
                <w:rFonts w:ascii="Times New Roman" w:hAnsi="Times New Roman" w:eastAsia="宋体"/>
                <w:szCs w:val="21"/>
                <w:vertAlign w:val="superscript"/>
              </w:rPr>
              <w:t>3</w:t>
            </w:r>
          </w:p>
        </w:tc>
        <w:tc>
          <w:tcPr>
            <w:tcW w:w="2599" w:type="dxa"/>
            <w:vMerge w:val="continue"/>
            <w:tcBorders>
              <w:top w:val="single" w:color="auto" w:sz="4" w:space="0"/>
              <w:bottom w:val="single" w:color="auto" w:sz="4" w:space="0"/>
              <w:right w:val="single" w:color="auto" w:sz="4" w:space="0"/>
            </w:tcBorders>
            <w:vAlign w:val="center"/>
          </w:tcPr>
          <w:p>
            <w:pPr>
              <w:overflowPunct w:val="0"/>
              <w:ind w:firstLine="420" w:firstLineChars="200"/>
              <w:jc w:val="center"/>
              <w:rPr>
                <w:rFonts w:ascii="Times New Roman" w:hAnsi="Times New Roman"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6" w:type="dxa"/>
            <w:vMerge w:val="continue"/>
            <w:tcBorders>
              <w:left w:val="single" w:color="auto" w:sz="4" w:space="0"/>
            </w:tcBorders>
            <w:vAlign w:val="center"/>
          </w:tcPr>
          <w:p>
            <w:pPr>
              <w:overflowPunct w:val="0"/>
              <w:ind w:firstLine="420" w:firstLineChars="200"/>
              <w:jc w:val="center"/>
              <w:rPr>
                <w:rFonts w:ascii="Times New Roman" w:hAnsi="Times New Roman" w:eastAsia="宋体"/>
                <w:szCs w:val="21"/>
              </w:rPr>
            </w:pPr>
          </w:p>
        </w:tc>
        <w:tc>
          <w:tcPr>
            <w:tcW w:w="1133" w:type="dxa"/>
            <w:vMerge w:val="continue"/>
            <w:tcBorders>
              <w:top w:val="single" w:color="auto" w:sz="4" w:space="0"/>
              <w:bottom w:val="single" w:color="auto" w:sz="4" w:space="0"/>
            </w:tcBorders>
            <w:tcMar>
              <w:left w:w="0" w:type="dxa"/>
              <w:right w:w="0" w:type="dxa"/>
            </w:tcMar>
            <w:vAlign w:val="center"/>
          </w:tcPr>
          <w:p>
            <w:pPr>
              <w:overflowPunct w:val="0"/>
              <w:ind w:firstLine="420" w:firstLineChars="200"/>
              <w:jc w:val="center"/>
              <w:rPr>
                <w:rFonts w:ascii="Times New Roman" w:hAnsi="Times New Roman" w:eastAsia="宋体"/>
                <w:szCs w:val="21"/>
              </w:rPr>
            </w:pPr>
          </w:p>
        </w:tc>
        <w:tc>
          <w:tcPr>
            <w:tcW w:w="1981" w:type="dxa"/>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1小时平均</w:t>
            </w:r>
          </w:p>
        </w:tc>
        <w:tc>
          <w:tcPr>
            <w:tcW w:w="854" w:type="dxa"/>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10</w:t>
            </w:r>
          </w:p>
        </w:tc>
        <w:tc>
          <w:tcPr>
            <w:tcW w:w="849" w:type="dxa"/>
            <w:vMerge w:val="continue"/>
            <w:tcBorders>
              <w:top w:val="single" w:color="auto" w:sz="4" w:space="0"/>
              <w:bottom w:val="single" w:color="auto" w:sz="4" w:space="0"/>
            </w:tcBorders>
            <w:vAlign w:val="center"/>
          </w:tcPr>
          <w:p>
            <w:pPr>
              <w:overflowPunct w:val="0"/>
              <w:jc w:val="center"/>
              <w:rPr>
                <w:rFonts w:ascii="Times New Roman" w:hAnsi="Times New Roman" w:eastAsia="宋体"/>
                <w:szCs w:val="21"/>
              </w:rPr>
            </w:pPr>
          </w:p>
        </w:tc>
        <w:tc>
          <w:tcPr>
            <w:tcW w:w="2599" w:type="dxa"/>
            <w:vMerge w:val="continue"/>
            <w:tcBorders>
              <w:top w:val="single" w:color="auto" w:sz="4" w:space="0"/>
              <w:bottom w:val="single" w:color="auto" w:sz="4" w:space="0"/>
              <w:right w:val="single" w:color="auto" w:sz="4" w:space="0"/>
            </w:tcBorders>
            <w:vAlign w:val="center"/>
          </w:tcPr>
          <w:p>
            <w:pPr>
              <w:overflowPunct w:val="0"/>
              <w:ind w:firstLine="420" w:firstLineChars="200"/>
              <w:jc w:val="center"/>
              <w:rPr>
                <w:rFonts w:ascii="Times New Roman" w:hAnsi="Times New Roman"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6" w:type="dxa"/>
            <w:vMerge w:val="continue"/>
            <w:tcBorders>
              <w:left w:val="single" w:color="auto" w:sz="4" w:space="0"/>
            </w:tcBorders>
            <w:vAlign w:val="center"/>
          </w:tcPr>
          <w:p>
            <w:pPr>
              <w:overflowPunct w:val="0"/>
              <w:ind w:firstLine="420" w:firstLineChars="200"/>
              <w:jc w:val="center"/>
              <w:rPr>
                <w:rFonts w:ascii="Times New Roman" w:hAnsi="Times New Roman" w:eastAsia="宋体"/>
                <w:szCs w:val="21"/>
              </w:rPr>
            </w:pPr>
          </w:p>
        </w:tc>
        <w:tc>
          <w:tcPr>
            <w:tcW w:w="1133" w:type="dxa"/>
            <w:vMerge w:val="restart"/>
            <w:tcBorders>
              <w:top w:val="single" w:color="auto" w:sz="4" w:space="0"/>
              <w:bottom w:val="single" w:color="auto" w:sz="4" w:space="0"/>
            </w:tcBorders>
            <w:tcMar>
              <w:left w:w="0" w:type="dxa"/>
              <w:right w:w="0" w:type="dxa"/>
            </w:tcMar>
            <w:vAlign w:val="center"/>
          </w:tcPr>
          <w:p>
            <w:pPr>
              <w:jc w:val="center"/>
              <w:rPr>
                <w:rFonts w:ascii="Times New Roman" w:hAnsi="Times New Roman" w:eastAsia="宋体"/>
                <w:szCs w:val="21"/>
              </w:rPr>
            </w:pPr>
            <w:r>
              <w:rPr>
                <w:rFonts w:ascii="Times New Roman" w:hAnsi="Times New Roman" w:eastAsia="宋体"/>
                <w:szCs w:val="21"/>
              </w:rPr>
              <w:t>O</w:t>
            </w:r>
            <w:r>
              <w:rPr>
                <w:rFonts w:ascii="Times New Roman" w:hAnsi="Times New Roman" w:eastAsia="宋体"/>
                <w:szCs w:val="21"/>
                <w:vertAlign w:val="subscript"/>
              </w:rPr>
              <w:t>3</w:t>
            </w:r>
          </w:p>
        </w:tc>
        <w:tc>
          <w:tcPr>
            <w:tcW w:w="1981" w:type="dxa"/>
            <w:tcBorders>
              <w:top w:val="single" w:color="auto" w:sz="4" w:space="0"/>
              <w:bottom w:val="single" w:color="auto" w:sz="4" w:space="0"/>
            </w:tcBorders>
            <w:vAlign w:val="center"/>
          </w:tcPr>
          <w:p>
            <w:pPr>
              <w:jc w:val="center"/>
              <w:rPr>
                <w:rFonts w:ascii="Times New Roman" w:hAnsi="Times New Roman" w:eastAsia="宋体"/>
                <w:szCs w:val="21"/>
              </w:rPr>
            </w:pPr>
            <w:r>
              <w:rPr>
                <w:rFonts w:ascii="Times New Roman" w:hAnsi="Times New Roman" w:eastAsia="宋体"/>
                <w:szCs w:val="21"/>
              </w:rPr>
              <w:t>日最大8小时平均</w:t>
            </w:r>
          </w:p>
        </w:tc>
        <w:tc>
          <w:tcPr>
            <w:tcW w:w="854" w:type="dxa"/>
            <w:tcBorders>
              <w:top w:val="single" w:color="auto" w:sz="4" w:space="0"/>
              <w:bottom w:val="single" w:color="auto" w:sz="4" w:space="0"/>
            </w:tcBorders>
            <w:vAlign w:val="center"/>
          </w:tcPr>
          <w:p>
            <w:pPr>
              <w:jc w:val="center"/>
              <w:rPr>
                <w:rFonts w:ascii="Times New Roman" w:hAnsi="Times New Roman" w:eastAsia="宋体"/>
                <w:szCs w:val="21"/>
              </w:rPr>
            </w:pPr>
            <w:r>
              <w:rPr>
                <w:rFonts w:ascii="Times New Roman" w:hAnsi="Times New Roman" w:eastAsia="宋体"/>
                <w:szCs w:val="21"/>
              </w:rPr>
              <w:t>160</w:t>
            </w:r>
          </w:p>
        </w:tc>
        <w:tc>
          <w:tcPr>
            <w:tcW w:w="849" w:type="dxa"/>
            <w:vMerge w:val="restart"/>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μg/m</w:t>
            </w:r>
            <w:r>
              <w:rPr>
                <w:rFonts w:ascii="Times New Roman" w:hAnsi="Times New Roman" w:eastAsia="宋体"/>
                <w:szCs w:val="21"/>
                <w:vertAlign w:val="superscript"/>
              </w:rPr>
              <w:t>3</w:t>
            </w:r>
          </w:p>
        </w:tc>
        <w:tc>
          <w:tcPr>
            <w:tcW w:w="2599" w:type="dxa"/>
            <w:vMerge w:val="continue"/>
            <w:tcBorders>
              <w:top w:val="single" w:color="auto" w:sz="4" w:space="0"/>
              <w:bottom w:val="single" w:color="auto" w:sz="4" w:space="0"/>
              <w:right w:val="single" w:color="auto" w:sz="4" w:space="0"/>
            </w:tcBorders>
            <w:vAlign w:val="center"/>
          </w:tcPr>
          <w:p>
            <w:pPr>
              <w:overflowPunct w:val="0"/>
              <w:ind w:firstLine="420" w:firstLineChars="200"/>
              <w:jc w:val="center"/>
              <w:rPr>
                <w:rFonts w:ascii="Times New Roman" w:hAnsi="Times New Roman"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6" w:type="dxa"/>
            <w:vMerge w:val="continue"/>
            <w:tcBorders>
              <w:left w:val="single" w:color="auto" w:sz="4" w:space="0"/>
            </w:tcBorders>
            <w:vAlign w:val="center"/>
          </w:tcPr>
          <w:p>
            <w:pPr>
              <w:overflowPunct w:val="0"/>
              <w:ind w:firstLine="420" w:firstLineChars="200"/>
              <w:jc w:val="center"/>
              <w:rPr>
                <w:rFonts w:ascii="Times New Roman" w:hAnsi="Times New Roman" w:eastAsia="宋体"/>
                <w:szCs w:val="21"/>
              </w:rPr>
            </w:pPr>
          </w:p>
        </w:tc>
        <w:tc>
          <w:tcPr>
            <w:tcW w:w="1133" w:type="dxa"/>
            <w:vMerge w:val="continue"/>
            <w:tcBorders>
              <w:top w:val="single" w:color="auto" w:sz="4" w:space="0"/>
              <w:bottom w:val="single" w:color="auto" w:sz="4" w:space="0"/>
            </w:tcBorders>
            <w:tcMar>
              <w:left w:w="0" w:type="dxa"/>
              <w:right w:w="0" w:type="dxa"/>
            </w:tcMar>
            <w:vAlign w:val="center"/>
          </w:tcPr>
          <w:p>
            <w:pPr>
              <w:overflowPunct w:val="0"/>
              <w:ind w:firstLine="420" w:firstLineChars="200"/>
              <w:jc w:val="center"/>
              <w:rPr>
                <w:rFonts w:ascii="Times New Roman" w:hAnsi="Times New Roman" w:eastAsia="宋体"/>
                <w:szCs w:val="21"/>
              </w:rPr>
            </w:pPr>
          </w:p>
        </w:tc>
        <w:tc>
          <w:tcPr>
            <w:tcW w:w="1981" w:type="dxa"/>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1小时平均</w:t>
            </w:r>
          </w:p>
        </w:tc>
        <w:tc>
          <w:tcPr>
            <w:tcW w:w="854" w:type="dxa"/>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200</w:t>
            </w:r>
          </w:p>
        </w:tc>
        <w:tc>
          <w:tcPr>
            <w:tcW w:w="849" w:type="dxa"/>
            <w:vMerge w:val="continue"/>
            <w:tcBorders>
              <w:top w:val="single" w:color="auto" w:sz="4" w:space="0"/>
              <w:bottom w:val="single" w:color="auto" w:sz="4" w:space="0"/>
            </w:tcBorders>
            <w:vAlign w:val="center"/>
          </w:tcPr>
          <w:p>
            <w:pPr>
              <w:overflowPunct w:val="0"/>
              <w:jc w:val="center"/>
              <w:rPr>
                <w:rFonts w:ascii="Times New Roman" w:hAnsi="Times New Roman" w:eastAsia="宋体"/>
                <w:szCs w:val="21"/>
              </w:rPr>
            </w:pPr>
          </w:p>
        </w:tc>
        <w:tc>
          <w:tcPr>
            <w:tcW w:w="2599" w:type="dxa"/>
            <w:vMerge w:val="continue"/>
            <w:tcBorders>
              <w:top w:val="single" w:color="auto" w:sz="4" w:space="0"/>
              <w:bottom w:val="single" w:color="auto" w:sz="4" w:space="0"/>
              <w:right w:val="single" w:color="auto" w:sz="4" w:space="0"/>
            </w:tcBorders>
            <w:vAlign w:val="center"/>
          </w:tcPr>
          <w:p>
            <w:pPr>
              <w:overflowPunct w:val="0"/>
              <w:ind w:firstLine="420" w:firstLineChars="200"/>
              <w:jc w:val="center"/>
              <w:rPr>
                <w:rFonts w:ascii="Times New Roman" w:hAnsi="Times New Roman"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6" w:type="dxa"/>
            <w:vMerge w:val="continue"/>
            <w:tcBorders>
              <w:left w:val="single" w:color="auto" w:sz="4" w:space="0"/>
            </w:tcBorders>
            <w:vAlign w:val="center"/>
          </w:tcPr>
          <w:p>
            <w:pPr>
              <w:overflowPunct w:val="0"/>
              <w:ind w:firstLine="420" w:firstLineChars="200"/>
              <w:jc w:val="center"/>
              <w:rPr>
                <w:rFonts w:ascii="Times New Roman" w:hAnsi="Times New Roman" w:eastAsia="宋体"/>
                <w:szCs w:val="21"/>
              </w:rPr>
            </w:pPr>
          </w:p>
        </w:tc>
        <w:tc>
          <w:tcPr>
            <w:tcW w:w="1133" w:type="dxa"/>
            <w:vMerge w:val="restart"/>
            <w:tcBorders>
              <w:top w:val="single" w:color="auto" w:sz="4" w:space="0"/>
              <w:bottom w:val="single" w:color="auto" w:sz="4" w:space="0"/>
            </w:tcBorders>
            <w:tcMar>
              <w:left w:w="0" w:type="dxa"/>
              <w:right w:w="0" w:type="dxa"/>
            </w:tcMar>
            <w:vAlign w:val="center"/>
          </w:tcPr>
          <w:p>
            <w:pPr>
              <w:jc w:val="center"/>
              <w:rPr>
                <w:rFonts w:ascii="Times New Roman" w:hAnsi="Times New Roman" w:eastAsia="宋体"/>
                <w:szCs w:val="21"/>
              </w:rPr>
            </w:pPr>
            <w:r>
              <w:rPr>
                <w:rFonts w:ascii="Times New Roman" w:hAnsi="Times New Roman" w:eastAsia="宋体"/>
                <w:szCs w:val="21"/>
              </w:rPr>
              <w:t>PM</w:t>
            </w:r>
            <w:r>
              <w:rPr>
                <w:rFonts w:ascii="Times New Roman" w:hAnsi="Times New Roman" w:eastAsia="宋体"/>
                <w:szCs w:val="21"/>
                <w:vertAlign w:val="subscript"/>
              </w:rPr>
              <w:t>10</w:t>
            </w:r>
          </w:p>
        </w:tc>
        <w:tc>
          <w:tcPr>
            <w:tcW w:w="1981" w:type="dxa"/>
            <w:tcBorders>
              <w:top w:val="single" w:color="auto" w:sz="4" w:space="0"/>
              <w:bottom w:val="single" w:color="auto" w:sz="4" w:space="0"/>
            </w:tcBorders>
            <w:vAlign w:val="center"/>
          </w:tcPr>
          <w:p>
            <w:pPr>
              <w:jc w:val="center"/>
              <w:rPr>
                <w:rFonts w:ascii="Times New Roman" w:hAnsi="Times New Roman" w:eastAsia="宋体"/>
                <w:szCs w:val="21"/>
              </w:rPr>
            </w:pPr>
            <w:r>
              <w:rPr>
                <w:rFonts w:ascii="Times New Roman" w:hAnsi="Times New Roman" w:eastAsia="宋体"/>
                <w:szCs w:val="21"/>
              </w:rPr>
              <w:t>年平均</w:t>
            </w:r>
          </w:p>
        </w:tc>
        <w:tc>
          <w:tcPr>
            <w:tcW w:w="854" w:type="dxa"/>
            <w:tcBorders>
              <w:top w:val="single" w:color="auto" w:sz="4" w:space="0"/>
              <w:bottom w:val="single" w:color="auto" w:sz="4" w:space="0"/>
            </w:tcBorders>
            <w:vAlign w:val="center"/>
          </w:tcPr>
          <w:p>
            <w:pPr>
              <w:jc w:val="center"/>
              <w:rPr>
                <w:rFonts w:ascii="Times New Roman" w:hAnsi="Times New Roman" w:eastAsia="宋体"/>
                <w:szCs w:val="21"/>
              </w:rPr>
            </w:pPr>
            <w:r>
              <w:rPr>
                <w:rFonts w:ascii="Times New Roman" w:hAnsi="Times New Roman" w:eastAsia="宋体"/>
                <w:szCs w:val="21"/>
              </w:rPr>
              <w:t>70</w:t>
            </w:r>
          </w:p>
        </w:tc>
        <w:tc>
          <w:tcPr>
            <w:tcW w:w="849" w:type="dxa"/>
            <w:vMerge w:val="restart"/>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μg/m</w:t>
            </w:r>
            <w:r>
              <w:rPr>
                <w:rFonts w:ascii="Times New Roman" w:hAnsi="Times New Roman" w:eastAsia="宋体"/>
                <w:szCs w:val="21"/>
                <w:vertAlign w:val="superscript"/>
              </w:rPr>
              <w:t>3</w:t>
            </w:r>
          </w:p>
        </w:tc>
        <w:tc>
          <w:tcPr>
            <w:tcW w:w="2599" w:type="dxa"/>
            <w:vMerge w:val="continue"/>
            <w:tcBorders>
              <w:top w:val="single" w:color="auto" w:sz="4" w:space="0"/>
              <w:bottom w:val="single" w:color="auto" w:sz="4" w:space="0"/>
              <w:right w:val="single" w:color="auto" w:sz="4" w:space="0"/>
            </w:tcBorders>
            <w:vAlign w:val="center"/>
          </w:tcPr>
          <w:p>
            <w:pPr>
              <w:overflowPunct w:val="0"/>
              <w:ind w:firstLine="420" w:firstLineChars="200"/>
              <w:jc w:val="center"/>
              <w:rPr>
                <w:rFonts w:ascii="Times New Roman" w:hAnsi="Times New Roman"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6" w:type="dxa"/>
            <w:vMerge w:val="continue"/>
            <w:tcBorders>
              <w:left w:val="single" w:color="auto" w:sz="4" w:space="0"/>
            </w:tcBorders>
            <w:vAlign w:val="center"/>
          </w:tcPr>
          <w:p>
            <w:pPr>
              <w:overflowPunct w:val="0"/>
              <w:ind w:firstLine="420" w:firstLineChars="200"/>
              <w:jc w:val="center"/>
              <w:rPr>
                <w:rFonts w:ascii="Times New Roman" w:hAnsi="Times New Roman" w:eastAsia="宋体"/>
                <w:szCs w:val="21"/>
              </w:rPr>
            </w:pPr>
          </w:p>
        </w:tc>
        <w:tc>
          <w:tcPr>
            <w:tcW w:w="1133" w:type="dxa"/>
            <w:vMerge w:val="continue"/>
            <w:tcBorders>
              <w:top w:val="single" w:color="auto" w:sz="4" w:space="0"/>
              <w:bottom w:val="single" w:color="auto" w:sz="4" w:space="0"/>
            </w:tcBorders>
            <w:tcMar>
              <w:left w:w="0" w:type="dxa"/>
              <w:right w:w="0" w:type="dxa"/>
            </w:tcMar>
            <w:vAlign w:val="center"/>
          </w:tcPr>
          <w:p>
            <w:pPr>
              <w:overflowPunct w:val="0"/>
              <w:ind w:firstLine="420" w:firstLineChars="200"/>
              <w:jc w:val="center"/>
              <w:rPr>
                <w:rFonts w:ascii="Times New Roman" w:hAnsi="Times New Roman" w:eastAsia="宋体"/>
                <w:szCs w:val="21"/>
              </w:rPr>
            </w:pPr>
          </w:p>
        </w:tc>
        <w:tc>
          <w:tcPr>
            <w:tcW w:w="1981" w:type="dxa"/>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24小时平均</w:t>
            </w:r>
          </w:p>
        </w:tc>
        <w:tc>
          <w:tcPr>
            <w:tcW w:w="854" w:type="dxa"/>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150</w:t>
            </w:r>
          </w:p>
        </w:tc>
        <w:tc>
          <w:tcPr>
            <w:tcW w:w="849" w:type="dxa"/>
            <w:vMerge w:val="continue"/>
            <w:tcBorders>
              <w:top w:val="single" w:color="auto" w:sz="4" w:space="0"/>
              <w:bottom w:val="single" w:color="auto" w:sz="4" w:space="0"/>
            </w:tcBorders>
            <w:vAlign w:val="center"/>
          </w:tcPr>
          <w:p>
            <w:pPr>
              <w:overflowPunct w:val="0"/>
              <w:jc w:val="center"/>
              <w:rPr>
                <w:rFonts w:ascii="Times New Roman" w:hAnsi="Times New Roman" w:eastAsia="宋体"/>
                <w:szCs w:val="21"/>
              </w:rPr>
            </w:pPr>
          </w:p>
        </w:tc>
        <w:tc>
          <w:tcPr>
            <w:tcW w:w="2599" w:type="dxa"/>
            <w:vMerge w:val="continue"/>
            <w:tcBorders>
              <w:top w:val="single" w:color="auto" w:sz="4" w:space="0"/>
              <w:bottom w:val="single" w:color="auto" w:sz="4" w:space="0"/>
              <w:right w:val="single" w:color="auto" w:sz="4" w:space="0"/>
            </w:tcBorders>
            <w:vAlign w:val="center"/>
          </w:tcPr>
          <w:p>
            <w:pPr>
              <w:overflowPunct w:val="0"/>
              <w:ind w:firstLine="420" w:firstLineChars="200"/>
              <w:jc w:val="center"/>
              <w:rPr>
                <w:rFonts w:ascii="Times New Roman" w:hAnsi="Times New Roman"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6" w:type="dxa"/>
            <w:vMerge w:val="continue"/>
            <w:tcBorders>
              <w:left w:val="single" w:color="auto" w:sz="4" w:space="0"/>
            </w:tcBorders>
            <w:vAlign w:val="center"/>
          </w:tcPr>
          <w:p>
            <w:pPr>
              <w:overflowPunct w:val="0"/>
              <w:ind w:firstLine="420" w:firstLineChars="200"/>
              <w:jc w:val="center"/>
              <w:rPr>
                <w:rFonts w:ascii="Times New Roman" w:hAnsi="Times New Roman" w:eastAsia="宋体"/>
                <w:szCs w:val="21"/>
              </w:rPr>
            </w:pPr>
          </w:p>
        </w:tc>
        <w:tc>
          <w:tcPr>
            <w:tcW w:w="1133" w:type="dxa"/>
            <w:vMerge w:val="restart"/>
            <w:tcBorders>
              <w:top w:val="single" w:color="auto" w:sz="4" w:space="0"/>
              <w:bottom w:val="single" w:color="auto" w:sz="4" w:space="0"/>
            </w:tcBorders>
            <w:tcMar>
              <w:left w:w="0" w:type="dxa"/>
              <w:right w:w="0" w:type="dxa"/>
            </w:tcMar>
            <w:vAlign w:val="center"/>
          </w:tcPr>
          <w:p>
            <w:pPr>
              <w:jc w:val="center"/>
              <w:rPr>
                <w:rFonts w:ascii="Times New Roman" w:hAnsi="Times New Roman" w:eastAsia="宋体"/>
                <w:szCs w:val="21"/>
              </w:rPr>
            </w:pPr>
            <w:r>
              <w:rPr>
                <w:rFonts w:ascii="Times New Roman" w:hAnsi="Times New Roman" w:eastAsia="宋体"/>
                <w:szCs w:val="21"/>
              </w:rPr>
              <w:t>PM</w:t>
            </w:r>
            <w:r>
              <w:rPr>
                <w:rFonts w:ascii="Times New Roman" w:hAnsi="Times New Roman" w:eastAsia="宋体"/>
                <w:szCs w:val="21"/>
                <w:vertAlign w:val="subscript"/>
              </w:rPr>
              <w:t>2.5</w:t>
            </w:r>
          </w:p>
        </w:tc>
        <w:tc>
          <w:tcPr>
            <w:tcW w:w="1981" w:type="dxa"/>
            <w:tcBorders>
              <w:top w:val="single" w:color="auto" w:sz="4" w:space="0"/>
              <w:bottom w:val="single" w:color="auto" w:sz="4" w:space="0"/>
            </w:tcBorders>
            <w:vAlign w:val="center"/>
          </w:tcPr>
          <w:p>
            <w:pPr>
              <w:jc w:val="center"/>
              <w:rPr>
                <w:rFonts w:ascii="Times New Roman" w:hAnsi="Times New Roman" w:eastAsia="宋体"/>
                <w:szCs w:val="21"/>
              </w:rPr>
            </w:pPr>
            <w:r>
              <w:rPr>
                <w:rFonts w:ascii="Times New Roman" w:hAnsi="Times New Roman" w:eastAsia="宋体"/>
                <w:szCs w:val="21"/>
              </w:rPr>
              <w:t>年平均</w:t>
            </w:r>
          </w:p>
        </w:tc>
        <w:tc>
          <w:tcPr>
            <w:tcW w:w="854" w:type="dxa"/>
            <w:tcBorders>
              <w:top w:val="single" w:color="auto" w:sz="4" w:space="0"/>
              <w:bottom w:val="single" w:color="auto" w:sz="4" w:space="0"/>
            </w:tcBorders>
            <w:vAlign w:val="center"/>
          </w:tcPr>
          <w:p>
            <w:pPr>
              <w:jc w:val="center"/>
              <w:rPr>
                <w:rFonts w:ascii="Times New Roman" w:hAnsi="Times New Roman" w:eastAsia="宋体"/>
                <w:szCs w:val="21"/>
              </w:rPr>
            </w:pPr>
            <w:r>
              <w:rPr>
                <w:rFonts w:ascii="Times New Roman" w:hAnsi="Times New Roman" w:eastAsia="宋体"/>
                <w:szCs w:val="21"/>
              </w:rPr>
              <w:t>35</w:t>
            </w:r>
          </w:p>
        </w:tc>
        <w:tc>
          <w:tcPr>
            <w:tcW w:w="849" w:type="dxa"/>
            <w:vMerge w:val="restart"/>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μg/m</w:t>
            </w:r>
            <w:r>
              <w:rPr>
                <w:rFonts w:ascii="Times New Roman" w:hAnsi="Times New Roman" w:eastAsia="宋体"/>
                <w:szCs w:val="21"/>
                <w:vertAlign w:val="superscript"/>
              </w:rPr>
              <w:t>3</w:t>
            </w:r>
          </w:p>
        </w:tc>
        <w:tc>
          <w:tcPr>
            <w:tcW w:w="2599" w:type="dxa"/>
            <w:vMerge w:val="continue"/>
            <w:tcBorders>
              <w:top w:val="single" w:color="auto" w:sz="4" w:space="0"/>
              <w:bottom w:val="single" w:color="auto" w:sz="4" w:space="0"/>
              <w:right w:val="single" w:color="auto" w:sz="4" w:space="0"/>
            </w:tcBorders>
            <w:vAlign w:val="center"/>
          </w:tcPr>
          <w:p>
            <w:pPr>
              <w:overflowPunct w:val="0"/>
              <w:ind w:firstLine="420" w:firstLineChars="200"/>
              <w:jc w:val="center"/>
              <w:rPr>
                <w:rFonts w:ascii="Times New Roman" w:hAnsi="Times New Roman"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6" w:type="dxa"/>
            <w:vMerge w:val="continue"/>
            <w:tcBorders>
              <w:left w:val="single" w:color="auto" w:sz="4" w:space="0"/>
            </w:tcBorders>
            <w:vAlign w:val="center"/>
          </w:tcPr>
          <w:p>
            <w:pPr>
              <w:overflowPunct w:val="0"/>
              <w:ind w:firstLine="420" w:firstLineChars="200"/>
              <w:jc w:val="center"/>
              <w:rPr>
                <w:rFonts w:ascii="Times New Roman" w:hAnsi="Times New Roman" w:eastAsia="宋体"/>
                <w:szCs w:val="21"/>
              </w:rPr>
            </w:pPr>
          </w:p>
        </w:tc>
        <w:tc>
          <w:tcPr>
            <w:tcW w:w="1133" w:type="dxa"/>
            <w:vMerge w:val="continue"/>
            <w:tcBorders>
              <w:top w:val="single" w:color="auto" w:sz="4" w:space="0"/>
              <w:bottom w:val="single" w:color="auto" w:sz="4" w:space="0"/>
            </w:tcBorders>
            <w:tcMar>
              <w:left w:w="0" w:type="dxa"/>
              <w:right w:w="0" w:type="dxa"/>
            </w:tcMar>
            <w:vAlign w:val="center"/>
          </w:tcPr>
          <w:p>
            <w:pPr>
              <w:overflowPunct w:val="0"/>
              <w:ind w:firstLine="420" w:firstLineChars="200"/>
              <w:jc w:val="center"/>
              <w:rPr>
                <w:rFonts w:ascii="Times New Roman" w:hAnsi="Times New Roman" w:eastAsia="宋体"/>
                <w:szCs w:val="21"/>
              </w:rPr>
            </w:pPr>
          </w:p>
        </w:tc>
        <w:tc>
          <w:tcPr>
            <w:tcW w:w="1981" w:type="dxa"/>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24小时平均</w:t>
            </w:r>
          </w:p>
        </w:tc>
        <w:tc>
          <w:tcPr>
            <w:tcW w:w="854" w:type="dxa"/>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75</w:t>
            </w:r>
          </w:p>
        </w:tc>
        <w:tc>
          <w:tcPr>
            <w:tcW w:w="849" w:type="dxa"/>
            <w:vMerge w:val="continue"/>
            <w:tcBorders>
              <w:top w:val="single" w:color="auto" w:sz="4" w:space="0"/>
              <w:bottom w:val="single" w:color="auto" w:sz="4" w:space="0"/>
            </w:tcBorders>
            <w:vAlign w:val="center"/>
          </w:tcPr>
          <w:p>
            <w:pPr>
              <w:overflowPunct w:val="0"/>
              <w:jc w:val="center"/>
              <w:rPr>
                <w:rFonts w:ascii="Times New Roman" w:hAnsi="Times New Roman" w:eastAsia="宋体"/>
                <w:szCs w:val="21"/>
              </w:rPr>
            </w:pPr>
          </w:p>
        </w:tc>
        <w:tc>
          <w:tcPr>
            <w:tcW w:w="2599" w:type="dxa"/>
            <w:vMerge w:val="continue"/>
            <w:tcBorders>
              <w:top w:val="single" w:color="auto" w:sz="4" w:space="0"/>
              <w:bottom w:val="single" w:color="auto" w:sz="4" w:space="0"/>
              <w:right w:val="single" w:color="auto" w:sz="4" w:space="0"/>
            </w:tcBorders>
            <w:vAlign w:val="center"/>
          </w:tcPr>
          <w:p>
            <w:pPr>
              <w:overflowPunct w:val="0"/>
              <w:ind w:firstLine="420" w:firstLineChars="200"/>
              <w:jc w:val="center"/>
              <w:rPr>
                <w:rFonts w:ascii="Times New Roman" w:hAnsi="Times New Roman"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6" w:type="dxa"/>
            <w:vMerge w:val="continue"/>
            <w:tcBorders>
              <w:left w:val="single" w:color="auto" w:sz="4" w:space="0"/>
            </w:tcBorders>
            <w:vAlign w:val="center"/>
          </w:tcPr>
          <w:p>
            <w:pPr>
              <w:overflowPunct w:val="0"/>
              <w:ind w:firstLine="420" w:firstLineChars="200"/>
              <w:jc w:val="center"/>
              <w:rPr>
                <w:rFonts w:ascii="Times New Roman" w:hAnsi="Times New Roman" w:eastAsia="宋体"/>
                <w:szCs w:val="21"/>
              </w:rPr>
            </w:pPr>
          </w:p>
        </w:tc>
        <w:tc>
          <w:tcPr>
            <w:tcW w:w="1133" w:type="dxa"/>
            <w:vMerge w:val="restart"/>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NO</w:t>
            </w:r>
            <w:r>
              <w:rPr>
                <w:rFonts w:ascii="Times New Roman" w:hAnsi="Times New Roman" w:eastAsia="宋体"/>
                <w:szCs w:val="21"/>
                <w:vertAlign w:val="subscript"/>
              </w:rPr>
              <w:t>2</w:t>
            </w:r>
          </w:p>
        </w:tc>
        <w:tc>
          <w:tcPr>
            <w:tcW w:w="1981" w:type="dxa"/>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年平均</w:t>
            </w:r>
          </w:p>
        </w:tc>
        <w:tc>
          <w:tcPr>
            <w:tcW w:w="854" w:type="dxa"/>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40</w:t>
            </w:r>
          </w:p>
        </w:tc>
        <w:tc>
          <w:tcPr>
            <w:tcW w:w="849" w:type="dxa"/>
            <w:vMerge w:val="restart"/>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μg/m</w:t>
            </w:r>
            <w:r>
              <w:rPr>
                <w:rFonts w:ascii="Times New Roman" w:hAnsi="Times New Roman" w:eastAsia="宋体"/>
                <w:szCs w:val="21"/>
                <w:vertAlign w:val="superscript"/>
              </w:rPr>
              <w:t>3</w:t>
            </w:r>
          </w:p>
        </w:tc>
        <w:tc>
          <w:tcPr>
            <w:tcW w:w="2599" w:type="dxa"/>
            <w:vMerge w:val="continue"/>
            <w:tcBorders>
              <w:top w:val="single" w:color="auto" w:sz="4" w:space="0"/>
              <w:bottom w:val="single" w:color="auto" w:sz="4" w:space="0"/>
              <w:right w:val="single" w:color="auto" w:sz="4" w:space="0"/>
            </w:tcBorders>
            <w:vAlign w:val="center"/>
          </w:tcPr>
          <w:p>
            <w:pPr>
              <w:overflowPunct w:val="0"/>
              <w:ind w:firstLine="420" w:firstLineChars="200"/>
              <w:jc w:val="center"/>
              <w:rPr>
                <w:rFonts w:ascii="Times New Roman" w:hAnsi="Times New Roman"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6" w:type="dxa"/>
            <w:vMerge w:val="continue"/>
            <w:tcBorders>
              <w:left w:val="single" w:color="auto" w:sz="4" w:space="0"/>
            </w:tcBorders>
            <w:vAlign w:val="center"/>
          </w:tcPr>
          <w:p>
            <w:pPr>
              <w:overflowPunct w:val="0"/>
              <w:ind w:firstLine="420" w:firstLineChars="200"/>
              <w:jc w:val="center"/>
              <w:rPr>
                <w:rFonts w:ascii="Times New Roman" w:hAnsi="Times New Roman" w:eastAsia="宋体"/>
                <w:szCs w:val="21"/>
              </w:rPr>
            </w:pPr>
          </w:p>
        </w:tc>
        <w:tc>
          <w:tcPr>
            <w:tcW w:w="1133" w:type="dxa"/>
            <w:vMerge w:val="continue"/>
            <w:tcBorders>
              <w:top w:val="single" w:color="auto" w:sz="4" w:space="0"/>
              <w:bottom w:val="single" w:color="auto" w:sz="4" w:space="0"/>
            </w:tcBorders>
            <w:vAlign w:val="center"/>
          </w:tcPr>
          <w:p>
            <w:pPr>
              <w:overflowPunct w:val="0"/>
              <w:ind w:firstLine="420" w:firstLineChars="200"/>
              <w:jc w:val="center"/>
              <w:rPr>
                <w:rFonts w:ascii="Times New Roman" w:hAnsi="Times New Roman" w:eastAsia="宋体"/>
                <w:szCs w:val="21"/>
              </w:rPr>
            </w:pPr>
          </w:p>
        </w:tc>
        <w:tc>
          <w:tcPr>
            <w:tcW w:w="1981" w:type="dxa"/>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24小时平均</w:t>
            </w:r>
          </w:p>
        </w:tc>
        <w:tc>
          <w:tcPr>
            <w:tcW w:w="854" w:type="dxa"/>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80</w:t>
            </w:r>
          </w:p>
        </w:tc>
        <w:tc>
          <w:tcPr>
            <w:tcW w:w="849" w:type="dxa"/>
            <w:vMerge w:val="continue"/>
            <w:tcBorders>
              <w:top w:val="single" w:color="auto" w:sz="4" w:space="0"/>
              <w:bottom w:val="single" w:color="auto" w:sz="4" w:space="0"/>
            </w:tcBorders>
            <w:vAlign w:val="center"/>
          </w:tcPr>
          <w:p>
            <w:pPr>
              <w:overflowPunct w:val="0"/>
              <w:jc w:val="center"/>
              <w:rPr>
                <w:rFonts w:ascii="Times New Roman" w:hAnsi="Times New Roman" w:eastAsia="宋体"/>
                <w:szCs w:val="21"/>
              </w:rPr>
            </w:pPr>
          </w:p>
        </w:tc>
        <w:tc>
          <w:tcPr>
            <w:tcW w:w="2599" w:type="dxa"/>
            <w:vMerge w:val="continue"/>
            <w:tcBorders>
              <w:top w:val="single" w:color="auto" w:sz="4" w:space="0"/>
              <w:bottom w:val="single" w:color="auto" w:sz="4" w:space="0"/>
              <w:right w:val="single" w:color="auto" w:sz="4" w:space="0"/>
            </w:tcBorders>
            <w:vAlign w:val="center"/>
          </w:tcPr>
          <w:p>
            <w:pPr>
              <w:overflowPunct w:val="0"/>
              <w:ind w:firstLine="420" w:firstLineChars="200"/>
              <w:jc w:val="center"/>
              <w:rPr>
                <w:rFonts w:ascii="Times New Roman" w:hAnsi="Times New Roman"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6" w:type="dxa"/>
            <w:vMerge w:val="continue"/>
            <w:tcBorders>
              <w:left w:val="single" w:color="auto" w:sz="4" w:space="0"/>
            </w:tcBorders>
            <w:vAlign w:val="center"/>
          </w:tcPr>
          <w:p>
            <w:pPr>
              <w:overflowPunct w:val="0"/>
              <w:ind w:firstLine="420" w:firstLineChars="200"/>
              <w:jc w:val="center"/>
              <w:rPr>
                <w:rFonts w:ascii="Times New Roman" w:hAnsi="Times New Roman" w:eastAsia="宋体"/>
                <w:szCs w:val="21"/>
              </w:rPr>
            </w:pPr>
          </w:p>
        </w:tc>
        <w:tc>
          <w:tcPr>
            <w:tcW w:w="1133" w:type="dxa"/>
            <w:vMerge w:val="continue"/>
            <w:tcBorders>
              <w:top w:val="single" w:color="auto" w:sz="4" w:space="0"/>
              <w:bottom w:val="single" w:color="auto" w:sz="4" w:space="0"/>
            </w:tcBorders>
            <w:vAlign w:val="center"/>
          </w:tcPr>
          <w:p>
            <w:pPr>
              <w:overflowPunct w:val="0"/>
              <w:ind w:firstLine="420" w:firstLineChars="200"/>
              <w:jc w:val="center"/>
              <w:rPr>
                <w:rFonts w:ascii="Times New Roman" w:hAnsi="Times New Roman" w:eastAsia="宋体"/>
                <w:szCs w:val="21"/>
              </w:rPr>
            </w:pPr>
          </w:p>
        </w:tc>
        <w:tc>
          <w:tcPr>
            <w:tcW w:w="1981" w:type="dxa"/>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1小时平均</w:t>
            </w:r>
          </w:p>
        </w:tc>
        <w:tc>
          <w:tcPr>
            <w:tcW w:w="854" w:type="dxa"/>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200</w:t>
            </w:r>
          </w:p>
        </w:tc>
        <w:tc>
          <w:tcPr>
            <w:tcW w:w="849" w:type="dxa"/>
            <w:vMerge w:val="continue"/>
            <w:tcBorders>
              <w:top w:val="single" w:color="auto" w:sz="4" w:space="0"/>
              <w:bottom w:val="single" w:color="auto" w:sz="4" w:space="0"/>
            </w:tcBorders>
            <w:vAlign w:val="center"/>
          </w:tcPr>
          <w:p>
            <w:pPr>
              <w:overflowPunct w:val="0"/>
              <w:jc w:val="center"/>
              <w:rPr>
                <w:rFonts w:ascii="Times New Roman" w:hAnsi="Times New Roman" w:eastAsia="宋体"/>
                <w:szCs w:val="21"/>
              </w:rPr>
            </w:pPr>
          </w:p>
        </w:tc>
        <w:tc>
          <w:tcPr>
            <w:tcW w:w="2599" w:type="dxa"/>
            <w:vMerge w:val="continue"/>
            <w:tcBorders>
              <w:top w:val="single" w:color="auto" w:sz="4" w:space="0"/>
              <w:bottom w:val="single" w:color="auto" w:sz="4" w:space="0"/>
              <w:right w:val="single" w:color="auto" w:sz="4" w:space="0"/>
            </w:tcBorders>
            <w:vAlign w:val="center"/>
          </w:tcPr>
          <w:p>
            <w:pPr>
              <w:overflowPunct w:val="0"/>
              <w:ind w:firstLine="420" w:firstLineChars="200"/>
              <w:jc w:val="center"/>
              <w:rPr>
                <w:rFonts w:ascii="Times New Roman" w:hAnsi="Times New Roman"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6" w:type="dxa"/>
            <w:vMerge w:val="continue"/>
            <w:tcBorders>
              <w:left w:val="single" w:color="auto" w:sz="4" w:space="0"/>
            </w:tcBorders>
            <w:vAlign w:val="center"/>
          </w:tcPr>
          <w:p>
            <w:pPr>
              <w:overflowPunct w:val="0"/>
              <w:jc w:val="center"/>
              <w:rPr>
                <w:rFonts w:ascii="Times New Roman" w:hAnsi="Times New Roman" w:eastAsia="宋体"/>
                <w:szCs w:val="21"/>
              </w:rPr>
            </w:pPr>
          </w:p>
        </w:tc>
        <w:tc>
          <w:tcPr>
            <w:tcW w:w="1133" w:type="dxa"/>
            <w:tcBorders>
              <w:top w:val="single" w:color="auto" w:sz="4" w:space="0"/>
              <w:bottom w:val="single" w:color="auto" w:sz="4" w:space="0"/>
            </w:tcBorders>
            <w:vAlign w:val="center"/>
          </w:tcPr>
          <w:p>
            <w:pPr>
              <w:jc w:val="center"/>
              <w:rPr>
                <w:color w:val="000000" w:themeColor="text1"/>
                <w:szCs w:val="21"/>
              </w:rPr>
            </w:pPr>
            <w:r>
              <w:rPr>
                <w:rFonts w:hint="eastAsia"/>
                <w:color w:val="000000" w:themeColor="text1"/>
                <w:szCs w:val="21"/>
              </w:rPr>
              <w:t>氨</w:t>
            </w:r>
          </w:p>
        </w:tc>
        <w:tc>
          <w:tcPr>
            <w:tcW w:w="1981" w:type="dxa"/>
            <w:tcBorders>
              <w:top w:val="single" w:color="auto" w:sz="4" w:space="0"/>
              <w:bottom w:val="single" w:color="auto" w:sz="4" w:space="0"/>
            </w:tcBorders>
            <w:vAlign w:val="center"/>
          </w:tcPr>
          <w:p>
            <w:pPr>
              <w:jc w:val="center"/>
              <w:rPr>
                <w:color w:val="000000" w:themeColor="text1"/>
                <w:szCs w:val="21"/>
              </w:rPr>
            </w:pPr>
            <w:r>
              <w:rPr>
                <w:color w:val="000000" w:themeColor="text1"/>
                <w:szCs w:val="21"/>
              </w:rPr>
              <w:t>1小时平均</w:t>
            </w:r>
          </w:p>
        </w:tc>
        <w:tc>
          <w:tcPr>
            <w:tcW w:w="854"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200</w:t>
            </w:r>
          </w:p>
        </w:tc>
        <w:tc>
          <w:tcPr>
            <w:tcW w:w="849" w:type="dxa"/>
            <w:tcBorders>
              <w:top w:val="single" w:color="auto" w:sz="4" w:space="0"/>
              <w:bottom w:val="single" w:color="auto" w:sz="4" w:space="0"/>
            </w:tcBorders>
            <w:vAlign w:val="center"/>
          </w:tcPr>
          <w:p>
            <w:pPr>
              <w:overflowPunct w:val="0"/>
              <w:jc w:val="center"/>
              <w:rPr>
                <w:rFonts w:ascii="Times New Roman" w:hAnsi="Times New Roman" w:eastAsia="宋体"/>
                <w:color w:val="000000" w:themeColor="text1"/>
                <w:szCs w:val="21"/>
                <w:highlight w:val="yellow"/>
              </w:rPr>
            </w:pPr>
            <w:r>
              <w:rPr>
                <w:rFonts w:ascii="Times New Roman" w:hAnsi="Times New Roman" w:eastAsia="宋体"/>
                <w:color w:val="000000" w:themeColor="text1"/>
                <w:szCs w:val="21"/>
              </w:rPr>
              <w:t>μg/m</w:t>
            </w:r>
            <w:r>
              <w:rPr>
                <w:rFonts w:ascii="Times New Roman" w:hAnsi="Times New Roman" w:eastAsia="宋体"/>
                <w:color w:val="000000" w:themeColor="text1"/>
                <w:szCs w:val="21"/>
                <w:vertAlign w:val="superscript"/>
              </w:rPr>
              <w:t>3</w:t>
            </w:r>
          </w:p>
        </w:tc>
        <w:tc>
          <w:tcPr>
            <w:tcW w:w="2599" w:type="dxa"/>
            <w:vMerge w:val="restart"/>
            <w:tcBorders>
              <w:top w:val="single" w:color="auto" w:sz="4" w:space="0"/>
              <w:right w:val="single" w:color="auto" w:sz="4" w:space="0"/>
            </w:tcBorders>
            <w:vAlign w:val="center"/>
          </w:tcPr>
          <w:p>
            <w:pPr>
              <w:overflowPunct w:val="0"/>
              <w:jc w:val="center"/>
              <w:rPr>
                <w:rFonts w:ascii="Times New Roman" w:hAnsi="Times New Roman" w:eastAsia="宋体" w:cs="Times New Roman"/>
                <w:color w:val="000000" w:themeColor="text1"/>
                <w:szCs w:val="21"/>
              </w:rPr>
            </w:pPr>
            <w:r>
              <w:rPr>
                <w:rFonts w:ascii="Times New Roman" w:cs="Times New Roman"/>
                <w:color w:val="000000" w:themeColor="text1"/>
                <w:szCs w:val="21"/>
              </w:rPr>
              <w:t>《环境影响评价技术导则</w:t>
            </w:r>
            <w:r>
              <w:rPr>
                <w:rFonts w:ascii="Times New Roman" w:hAnsi="Times New Roman" w:cs="Times New Roman"/>
                <w:color w:val="000000" w:themeColor="text1"/>
                <w:szCs w:val="21"/>
              </w:rPr>
              <w:t xml:space="preserve">  </w:t>
            </w:r>
            <w:r>
              <w:rPr>
                <w:rFonts w:ascii="Times New Roman" w:cs="Times New Roman"/>
                <w:color w:val="000000" w:themeColor="text1"/>
                <w:szCs w:val="21"/>
              </w:rPr>
              <w:t>大气环境》（</w:t>
            </w:r>
            <w:r>
              <w:rPr>
                <w:rFonts w:ascii="Times New Roman" w:hAnsi="Times New Roman" w:cs="Times New Roman"/>
                <w:color w:val="000000" w:themeColor="text1"/>
                <w:szCs w:val="21"/>
              </w:rPr>
              <w:t>HJ2.2-2018</w:t>
            </w:r>
            <w:r>
              <w:rPr>
                <w:rFonts w:ascii="Times New Roman" w:cs="Times New Roman"/>
                <w:color w:val="000000" w:themeColor="text1"/>
                <w:szCs w:val="21"/>
              </w:rPr>
              <w:t>）附录</w:t>
            </w:r>
            <w:r>
              <w:rPr>
                <w:rFonts w:ascii="Times New Roman" w:hAnsi="Times New Roman" w:cs="Times New Roman"/>
                <w:color w:val="000000" w:themeColor="text1"/>
                <w:szCs w:val="21"/>
              </w:rPr>
              <w:t>D</w:t>
            </w:r>
            <w:r>
              <w:rPr>
                <w:rFonts w:ascii="Times New Roman" w:cs="Times New Roman"/>
                <w:color w:val="000000" w:themeColor="text1"/>
                <w:szCs w:val="21"/>
              </w:rPr>
              <w:t>其他污染物空气质量浓度参考限值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6" w:type="dxa"/>
            <w:vMerge w:val="continue"/>
            <w:tcBorders>
              <w:left w:val="single" w:color="auto" w:sz="4" w:space="0"/>
              <w:bottom w:val="single" w:color="auto" w:sz="4" w:space="0"/>
            </w:tcBorders>
            <w:vAlign w:val="center"/>
          </w:tcPr>
          <w:p>
            <w:pPr>
              <w:overflowPunct w:val="0"/>
              <w:ind w:firstLine="420" w:firstLineChars="200"/>
              <w:jc w:val="center"/>
              <w:rPr>
                <w:rFonts w:ascii="Times New Roman" w:hAnsi="Times New Roman" w:eastAsia="宋体"/>
                <w:szCs w:val="21"/>
              </w:rPr>
            </w:pPr>
          </w:p>
        </w:tc>
        <w:tc>
          <w:tcPr>
            <w:tcW w:w="1133" w:type="dxa"/>
            <w:tcBorders>
              <w:top w:val="single" w:color="auto" w:sz="4" w:space="0"/>
              <w:bottom w:val="single" w:color="auto" w:sz="4" w:space="0"/>
            </w:tcBorders>
            <w:vAlign w:val="center"/>
          </w:tcPr>
          <w:p>
            <w:pPr>
              <w:jc w:val="center"/>
              <w:rPr>
                <w:color w:val="000000" w:themeColor="text1"/>
                <w:szCs w:val="21"/>
              </w:rPr>
            </w:pPr>
            <w:r>
              <w:rPr>
                <w:rFonts w:hint="eastAsia"/>
                <w:color w:val="000000" w:themeColor="text1"/>
                <w:szCs w:val="21"/>
              </w:rPr>
              <w:t>硫化氢</w:t>
            </w:r>
          </w:p>
        </w:tc>
        <w:tc>
          <w:tcPr>
            <w:tcW w:w="1981" w:type="dxa"/>
            <w:tcBorders>
              <w:top w:val="single" w:color="auto" w:sz="4" w:space="0"/>
              <w:bottom w:val="single" w:color="auto" w:sz="4" w:space="0"/>
            </w:tcBorders>
            <w:vAlign w:val="center"/>
          </w:tcPr>
          <w:p>
            <w:pPr>
              <w:jc w:val="center"/>
              <w:rPr>
                <w:color w:val="000000" w:themeColor="text1"/>
                <w:szCs w:val="21"/>
              </w:rPr>
            </w:pPr>
            <w:r>
              <w:rPr>
                <w:color w:val="000000" w:themeColor="text1"/>
                <w:szCs w:val="21"/>
              </w:rPr>
              <w:t>1小时平均</w:t>
            </w:r>
          </w:p>
        </w:tc>
        <w:tc>
          <w:tcPr>
            <w:tcW w:w="854"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10</w:t>
            </w:r>
          </w:p>
        </w:tc>
        <w:tc>
          <w:tcPr>
            <w:tcW w:w="849" w:type="dxa"/>
            <w:tcBorders>
              <w:top w:val="single" w:color="auto" w:sz="4" w:space="0"/>
              <w:bottom w:val="single" w:color="auto" w:sz="4" w:space="0"/>
            </w:tcBorders>
            <w:vAlign w:val="center"/>
          </w:tcPr>
          <w:p>
            <w:pPr>
              <w:overflowPunct w:val="0"/>
              <w:jc w:val="center"/>
              <w:rPr>
                <w:rFonts w:ascii="Times New Roman" w:hAnsi="Times New Roman" w:eastAsia="宋体"/>
                <w:color w:val="000000" w:themeColor="text1"/>
                <w:szCs w:val="21"/>
                <w:highlight w:val="yellow"/>
              </w:rPr>
            </w:pPr>
            <w:r>
              <w:rPr>
                <w:rFonts w:ascii="Times New Roman" w:hAnsi="Times New Roman" w:eastAsia="宋体"/>
                <w:color w:val="000000" w:themeColor="text1"/>
                <w:szCs w:val="21"/>
              </w:rPr>
              <w:t>μg/m</w:t>
            </w:r>
            <w:r>
              <w:rPr>
                <w:rFonts w:ascii="Times New Roman" w:hAnsi="Times New Roman" w:eastAsia="宋体"/>
                <w:color w:val="000000" w:themeColor="text1"/>
                <w:szCs w:val="21"/>
                <w:vertAlign w:val="superscript"/>
              </w:rPr>
              <w:t>3</w:t>
            </w:r>
          </w:p>
        </w:tc>
        <w:tc>
          <w:tcPr>
            <w:tcW w:w="2599" w:type="dxa"/>
            <w:vMerge w:val="continue"/>
            <w:tcBorders>
              <w:bottom w:val="single" w:color="auto" w:sz="4" w:space="0"/>
              <w:right w:val="single" w:color="auto" w:sz="4" w:space="0"/>
            </w:tcBorders>
            <w:vAlign w:val="center"/>
          </w:tcPr>
          <w:p>
            <w:pPr>
              <w:overflowPunct w:val="0"/>
              <w:jc w:val="center"/>
              <w:rPr>
                <w:rFonts w:ascii="Times New Roman" w:hAnsi="Times New Roman" w:eastAsia="宋体"/>
                <w:szCs w:val="21"/>
              </w:rPr>
            </w:pPr>
          </w:p>
        </w:tc>
      </w:tr>
    </w:tbl>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（2）地下水环境：</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地下水执行《地下水质量标准》（GB/T14848-2017）中Ⅲ类标准。</w:t>
      </w:r>
    </w:p>
    <w:p>
      <w:pPr>
        <w:overflowPunct w:val="0"/>
        <w:spacing w:line="360" w:lineRule="auto"/>
        <w:ind w:firstLine="482" w:firstLineChars="200"/>
        <w:jc w:val="center"/>
        <w:rPr>
          <w:rFonts w:ascii="Times New Roman" w:hAnsi="Times New Roman" w:eastAsia="宋体"/>
          <w:b/>
          <w:sz w:val="24"/>
          <w:szCs w:val="24"/>
        </w:rPr>
      </w:pPr>
    </w:p>
    <w:p>
      <w:pPr>
        <w:overflowPunct w:val="0"/>
        <w:spacing w:line="360" w:lineRule="auto"/>
        <w:ind w:firstLine="482" w:firstLineChars="200"/>
        <w:jc w:val="center"/>
        <w:rPr>
          <w:rFonts w:ascii="Times New Roman" w:hAnsi="Times New Roman" w:eastAsia="宋体"/>
          <w:b/>
          <w:sz w:val="24"/>
          <w:szCs w:val="24"/>
        </w:rPr>
      </w:pPr>
    </w:p>
    <w:p>
      <w:pPr>
        <w:overflowPunct w:val="0"/>
        <w:spacing w:line="360" w:lineRule="auto"/>
        <w:ind w:firstLine="482" w:firstLineChars="200"/>
        <w:jc w:val="center"/>
        <w:rPr>
          <w:rFonts w:ascii="Times New Roman" w:hAnsi="Times New Roman" w:eastAsia="宋体"/>
          <w:b/>
          <w:sz w:val="24"/>
          <w:szCs w:val="24"/>
        </w:rPr>
      </w:pPr>
    </w:p>
    <w:p>
      <w:pPr>
        <w:overflowPunct w:val="0"/>
        <w:spacing w:line="360" w:lineRule="auto"/>
        <w:ind w:firstLine="482" w:firstLineChars="200"/>
        <w:jc w:val="center"/>
        <w:rPr>
          <w:rFonts w:ascii="Times New Roman" w:hAnsi="Times New Roman" w:eastAsia="宋体"/>
          <w:b/>
          <w:sz w:val="24"/>
          <w:szCs w:val="24"/>
        </w:rPr>
      </w:pPr>
    </w:p>
    <w:p>
      <w:pPr>
        <w:overflowPunct w:val="0"/>
        <w:spacing w:line="360" w:lineRule="auto"/>
        <w:ind w:firstLine="482" w:firstLineChars="200"/>
        <w:jc w:val="center"/>
        <w:rPr>
          <w:rFonts w:ascii="Times New Roman" w:hAnsi="Times New Roman" w:eastAsia="宋体"/>
          <w:b/>
          <w:sz w:val="24"/>
          <w:szCs w:val="24"/>
        </w:rPr>
      </w:pPr>
    </w:p>
    <w:p>
      <w:pPr>
        <w:overflowPunct w:val="0"/>
        <w:spacing w:line="360" w:lineRule="auto"/>
        <w:ind w:firstLine="482" w:firstLineChars="200"/>
        <w:jc w:val="center"/>
        <w:rPr>
          <w:rFonts w:ascii="Times New Roman" w:hAnsi="Times New Roman" w:eastAsia="宋体"/>
          <w:b/>
          <w:sz w:val="24"/>
          <w:szCs w:val="24"/>
        </w:rPr>
      </w:pPr>
    </w:p>
    <w:p>
      <w:pPr>
        <w:overflowPunct w:val="0"/>
        <w:spacing w:line="360" w:lineRule="auto"/>
        <w:ind w:firstLine="482" w:firstLineChars="200"/>
        <w:jc w:val="center"/>
        <w:rPr>
          <w:rFonts w:ascii="Times New Roman" w:hAnsi="Times New Roman" w:eastAsia="宋体"/>
          <w:b/>
          <w:sz w:val="24"/>
          <w:szCs w:val="24"/>
        </w:rPr>
      </w:pPr>
    </w:p>
    <w:p>
      <w:pPr>
        <w:overflowPunct w:val="0"/>
        <w:spacing w:line="360" w:lineRule="auto"/>
        <w:ind w:firstLine="482" w:firstLineChars="200"/>
        <w:jc w:val="center"/>
        <w:rPr>
          <w:rFonts w:ascii="Times New Roman" w:hAnsi="Times New Roman" w:eastAsia="宋体"/>
          <w:b/>
          <w:sz w:val="24"/>
          <w:szCs w:val="24"/>
        </w:rPr>
      </w:pPr>
    </w:p>
    <w:p>
      <w:pPr>
        <w:overflowPunct w:val="0"/>
        <w:spacing w:line="360" w:lineRule="auto"/>
        <w:ind w:firstLine="482" w:firstLineChars="200"/>
        <w:jc w:val="center"/>
        <w:rPr>
          <w:rFonts w:ascii="Times New Roman" w:hAnsi="Times New Roman" w:eastAsia="宋体"/>
          <w:b/>
          <w:sz w:val="24"/>
          <w:szCs w:val="24"/>
        </w:rPr>
      </w:pPr>
    </w:p>
    <w:p>
      <w:pPr>
        <w:overflowPunct w:val="0"/>
        <w:spacing w:line="360" w:lineRule="auto"/>
        <w:rPr>
          <w:rFonts w:ascii="Times New Roman" w:hAnsi="Times New Roman" w:eastAsia="宋体"/>
          <w:b/>
          <w:sz w:val="24"/>
          <w:szCs w:val="24"/>
        </w:rPr>
      </w:pPr>
    </w:p>
    <w:p>
      <w:pPr>
        <w:overflowPunct w:val="0"/>
        <w:spacing w:line="360" w:lineRule="auto"/>
        <w:rPr>
          <w:rFonts w:ascii="Times New Roman" w:hAnsi="Times New Roman" w:eastAsia="宋体"/>
          <w:b/>
          <w:sz w:val="24"/>
          <w:szCs w:val="24"/>
        </w:rPr>
      </w:pPr>
    </w:p>
    <w:p>
      <w:pPr>
        <w:overflowPunct w:val="0"/>
        <w:spacing w:line="360" w:lineRule="auto"/>
        <w:ind w:firstLine="482" w:firstLineChars="200"/>
        <w:jc w:val="center"/>
        <w:rPr>
          <w:rFonts w:ascii="Times New Roman" w:hAnsi="Times New Roman" w:eastAsia="宋体"/>
          <w:b/>
          <w:sz w:val="24"/>
          <w:szCs w:val="24"/>
        </w:rPr>
      </w:pPr>
      <w:r>
        <w:rPr>
          <w:rFonts w:ascii="Times New Roman" w:hAnsi="Times New Roman" w:eastAsia="宋体"/>
          <w:b/>
          <w:sz w:val="24"/>
          <w:szCs w:val="24"/>
        </w:rPr>
        <w:t>表2-</w:t>
      </w:r>
      <w:r>
        <w:rPr>
          <w:rFonts w:hint="eastAsia" w:ascii="Times New Roman" w:hAnsi="Times New Roman" w:eastAsia="宋体"/>
          <w:b/>
          <w:sz w:val="24"/>
          <w:szCs w:val="24"/>
        </w:rPr>
        <w:t>14</w:t>
      </w:r>
      <w:r>
        <w:rPr>
          <w:rFonts w:ascii="Times New Roman" w:hAnsi="Times New Roman" w:eastAsia="宋体"/>
          <w:b/>
          <w:sz w:val="24"/>
          <w:szCs w:val="24"/>
        </w:rPr>
        <w:t xml:space="preserve">   </w:t>
      </w:r>
      <w:r>
        <w:rPr>
          <w:rFonts w:hint="eastAsia" w:ascii="Times New Roman" w:hAnsi="Times New Roman" w:eastAsia="宋体"/>
          <w:b/>
          <w:sz w:val="24"/>
          <w:szCs w:val="24"/>
        </w:rPr>
        <w:t>地下水</w:t>
      </w:r>
      <w:r>
        <w:rPr>
          <w:rFonts w:ascii="Times New Roman" w:hAnsi="Times New Roman" w:eastAsia="宋体"/>
          <w:b/>
          <w:sz w:val="24"/>
          <w:szCs w:val="24"/>
        </w:rPr>
        <w:t>环境质量标准及限值一览表</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1305"/>
        <w:gridCol w:w="2287"/>
        <w:gridCol w:w="1337"/>
        <w:gridCol w:w="2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55" w:type="dxa"/>
            <w:vAlign w:val="center"/>
          </w:tcPr>
          <w:p>
            <w:pPr>
              <w:overflowPunct w:val="0"/>
              <w:jc w:val="center"/>
              <w:rPr>
                <w:rFonts w:ascii="Times New Roman" w:hAnsi="Times New Roman" w:eastAsia="宋体"/>
                <w:szCs w:val="21"/>
              </w:rPr>
            </w:pPr>
            <w:r>
              <w:rPr>
                <w:rFonts w:ascii="Times New Roman" w:hAnsi="Times New Roman" w:eastAsia="宋体"/>
                <w:szCs w:val="21"/>
              </w:rPr>
              <w:t>项目</w:t>
            </w:r>
          </w:p>
        </w:tc>
        <w:tc>
          <w:tcPr>
            <w:tcW w:w="1305" w:type="dxa"/>
            <w:vAlign w:val="center"/>
          </w:tcPr>
          <w:p>
            <w:pPr>
              <w:overflowPunct w:val="0"/>
              <w:jc w:val="center"/>
              <w:rPr>
                <w:rFonts w:ascii="Times New Roman" w:hAnsi="Times New Roman" w:eastAsia="宋体"/>
                <w:szCs w:val="21"/>
              </w:rPr>
            </w:pPr>
            <w:r>
              <w:rPr>
                <w:rFonts w:ascii="Times New Roman" w:hAnsi="Times New Roman" w:eastAsia="宋体"/>
                <w:szCs w:val="21"/>
              </w:rPr>
              <w:t>评价因子</w:t>
            </w:r>
          </w:p>
        </w:tc>
        <w:tc>
          <w:tcPr>
            <w:tcW w:w="2287" w:type="dxa"/>
            <w:vAlign w:val="center"/>
          </w:tcPr>
          <w:p>
            <w:pPr>
              <w:overflowPunct w:val="0"/>
              <w:jc w:val="center"/>
              <w:rPr>
                <w:rFonts w:ascii="Times New Roman" w:hAnsi="Times New Roman" w:eastAsia="宋体"/>
                <w:szCs w:val="21"/>
              </w:rPr>
            </w:pPr>
            <w:r>
              <w:rPr>
                <w:rFonts w:ascii="Times New Roman" w:hAnsi="Times New Roman" w:eastAsia="宋体"/>
                <w:szCs w:val="21"/>
              </w:rPr>
              <w:t>标准限值</w:t>
            </w:r>
          </w:p>
        </w:tc>
        <w:tc>
          <w:tcPr>
            <w:tcW w:w="1337" w:type="dxa"/>
            <w:vAlign w:val="center"/>
          </w:tcPr>
          <w:p>
            <w:pPr>
              <w:overflowPunct w:val="0"/>
              <w:jc w:val="center"/>
              <w:rPr>
                <w:rFonts w:ascii="Times New Roman" w:hAnsi="Times New Roman" w:eastAsia="宋体"/>
                <w:szCs w:val="21"/>
              </w:rPr>
            </w:pPr>
            <w:r>
              <w:rPr>
                <w:rFonts w:ascii="Times New Roman" w:hAnsi="Times New Roman" w:eastAsia="宋体"/>
                <w:szCs w:val="21"/>
              </w:rPr>
              <w:t>单位</w:t>
            </w:r>
          </w:p>
        </w:tc>
        <w:tc>
          <w:tcPr>
            <w:tcW w:w="2338" w:type="dxa"/>
            <w:vAlign w:val="center"/>
          </w:tcPr>
          <w:p>
            <w:pPr>
              <w:overflowPunct w:val="0"/>
              <w:jc w:val="center"/>
              <w:rPr>
                <w:rFonts w:ascii="Times New Roman" w:hAnsi="Times New Roman" w:eastAsia="宋体"/>
                <w:szCs w:val="21"/>
              </w:rPr>
            </w:pPr>
            <w:r>
              <w:rPr>
                <w:rFonts w:ascii="Times New Roman" w:hAnsi="Times New Roman" w:eastAsia="宋体"/>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55" w:type="dxa"/>
            <w:vMerge w:val="restart"/>
            <w:vAlign w:val="center"/>
          </w:tcPr>
          <w:p>
            <w:pPr>
              <w:overflowPunct w:val="0"/>
              <w:jc w:val="center"/>
              <w:rPr>
                <w:rFonts w:ascii="Times New Roman" w:hAnsi="Times New Roman" w:eastAsia="宋体"/>
                <w:szCs w:val="21"/>
              </w:rPr>
            </w:pPr>
            <w:r>
              <w:rPr>
                <w:rFonts w:ascii="Times New Roman" w:hAnsi="Times New Roman" w:eastAsia="宋体"/>
                <w:szCs w:val="21"/>
              </w:rPr>
              <w:t>地下水环境</w:t>
            </w:r>
          </w:p>
        </w:tc>
        <w:tc>
          <w:tcPr>
            <w:tcW w:w="1305" w:type="dxa"/>
            <w:tcMar>
              <w:left w:w="0" w:type="dxa"/>
              <w:right w:w="0" w:type="dxa"/>
            </w:tcMar>
            <w:vAlign w:val="center"/>
          </w:tcPr>
          <w:p>
            <w:pPr>
              <w:overflowPunct w:val="0"/>
              <w:jc w:val="center"/>
              <w:rPr>
                <w:rFonts w:ascii="Times New Roman" w:hAnsi="Times New Roman" w:eastAsia="宋体"/>
                <w:szCs w:val="21"/>
              </w:rPr>
            </w:pPr>
            <w:r>
              <w:rPr>
                <w:rFonts w:ascii="Times New Roman" w:hAnsi="Times New Roman" w:eastAsia="宋体"/>
                <w:szCs w:val="21"/>
              </w:rPr>
              <w:t>pH</w:t>
            </w:r>
          </w:p>
        </w:tc>
        <w:tc>
          <w:tcPr>
            <w:tcW w:w="2287" w:type="dxa"/>
            <w:vAlign w:val="center"/>
          </w:tcPr>
          <w:p>
            <w:pPr>
              <w:overflowPunct w:val="0"/>
              <w:jc w:val="center"/>
              <w:rPr>
                <w:rFonts w:ascii="Times New Roman" w:hAnsi="Times New Roman" w:eastAsia="宋体"/>
                <w:szCs w:val="21"/>
              </w:rPr>
            </w:pPr>
            <w:r>
              <w:rPr>
                <w:rFonts w:ascii="Times New Roman" w:hAnsi="Times New Roman" w:eastAsia="宋体"/>
                <w:szCs w:val="21"/>
              </w:rPr>
              <w:t>6.5～8.5</w:t>
            </w:r>
          </w:p>
        </w:tc>
        <w:tc>
          <w:tcPr>
            <w:tcW w:w="1337" w:type="dxa"/>
            <w:vAlign w:val="center"/>
          </w:tcPr>
          <w:p>
            <w:pPr>
              <w:overflowPunct w:val="0"/>
              <w:jc w:val="center"/>
              <w:rPr>
                <w:rFonts w:ascii="Times New Roman" w:hAnsi="Times New Roman" w:eastAsia="宋体"/>
                <w:szCs w:val="21"/>
              </w:rPr>
            </w:pPr>
            <w:r>
              <w:rPr>
                <w:rFonts w:ascii="Times New Roman" w:hAnsi="Times New Roman" w:eastAsia="宋体"/>
                <w:szCs w:val="21"/>
              </w:rPr>
              <w:t>--</w:t>
            </w:r>
          </w:p>
        </w:tc>
        <w:tc>
          <w:tcPr>
            <w:tcW w:w="2338" w:type="dxa"/>
            <w:vMerge w:val="restart"/>
            <w:vAlign w:val="center"/>
          </w:tcPr>
          <w:p>
            <w:pPr>
              <w:overflowPunct w:val="0"/>
              <w:jc w:val="center"/>
              <w:rPr>
                <w:rFonts w:ascii="Times New Roman" w:hAnsi="Times New Roman" w:eastAsia="宋体"/>
                <w:szCs w:val="21"/>
              </w:rPr>
            </w:pPr>
            <w:r>
              <w:rPr>
                <w:rFonts w:ascii="Times New Roman" w:hAnsi="Times New Roman" w:eastAsia="宋体"/>
                <w:szCs w:val="21"/>
              </w:rPr>
              <w:t>《地下水质量标准》（GB/T14848-</w:t>
            </w:r>
            <w:r>
              <w:rPr>
                <w:rFonts w:hint="eastAsia" w:ascii="Times New Roman" w:hAnsi="Times New Roman" w:eastAsia="宋体"/>
                <w:szCs w:val="21"/>
              </w:rPr>
              <w:t>2017</w:t>
            </w:r>
            <w:r>
              <w:rPr>
                <w:rFonts w:ascii="Times New Roman" w:hAnsi="Times New Roman" w:eastAsia="宋体"/>
                <w:szCs w:val="21"/>
              </w:rPr>
              <w:t>）</w:t>
            </w:r>
            <w:r>
              <w:rPr>
                <w:rFonts w:hint="eastAsia" w:ascii="宋体" w:hAnsi="宋体" w:eastAsia="宋体" w:cs="宋体"/>
                <w:szCs w:val="21"/>
              </w:rPr>
              <w:t>Ⅲ</w:t>
            </w:r>
            <w:r>
              <w:rPr>
                <w:rFonts w:ascii="Times New Roman" w:hAnsi="Times New Roman" w:eastAsia="宋体"/>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55" w:type="dxa"/>
            <w:vMerge w:val="continue"/>
            <w:vAlign w:val="center"/>
          </w:tcPr>
          <w:p>
            <w:pPr>
              <w:overflowPunct w:val="0"/>
              <w:jc w:val="center"/>
              <w:rPr>
                <w:rFonts w:ascii="Times New Roman" w:hAnsi="Times New Roman" w:eastAsia="宋体"/>
                <w:szCs w:val="21"/>
              </w:rPr>
            </w:pPr>
          </w:p>
        </w:tc>
        <w:tc>
          <w:tcPr>
            <w:tcW w:w="1305" w:type="dxa"/>
            <w:tcMar>
              <w:left w:w="0" w:type="dxa"/>
              <w:right w:w="0" w:type="dxa"/>
            </w:tcMar>
            <w:vAlign w:val="center"/>
          </w:tcPr>
          <w:p>
            <w:pPr>
              <w:overflowPunct w:val="0"/>
              <w:jc w:val="center"/>
              <w:rPr>
                <w:rFonts w:ascii="Times New Roman" w:hAnsi="Times New Roman" w:eastAsia="宋体"/>
                <w:szCs w:val="21"/>
              </w:rPr>
            </w:pPr>
            <w:r>
              <w:rPr>
                <w:rFonts w:ascii="Times New Roman" w:hAnsi="Times New Roman" w:eastAsia="宋体"/>
                <w:szCs w:val="21"/>
              </w:rPr>
              <w:t>氨氮</w:t>
            </w:r>
          </w:p>
        </w:tc>
        <w:tc>
          <w:tcPr>
            <w:tcW w:w="2287" w:type="dxa"/>
            <w:vAlign w:val="center"/>
          </w:tcPr>
          <w:p>
            <w:pPr>
              <w:overflowPunct w:val="0"/>
              <w:jc w:val="center"/>
              <w:rPr>
                <w:rFonts w:ascii="Times New Roman" w:hAnsi="Times New Roman" w:eastAsia="宋体"/>
                <w:szCs w:val="21"/>
              </w:rPr>
            </w:pPr>
            <w:r>
              <w:rPr>
                <w:rFonts w:hint="eastAsia" w:ascii="宋体" w:hAnsi="宋体" w:eastAsia="宋体"/>
                <w:szCs w:val="21"/>
              </w:rPr>
              <w:t>≤</w:t>
            </w:r>
            <w:r>
              <w:rPr>
                <w:rFonts w:hint="eastAsia" w:ascii="Times New Roman" w:hAnsi="Times New Roman" w:eastAsia="宋体"/>
                <w:szCs w:val="21"/>
              </w:rPr>
              <w:t>0.50</w:t>
            </w:r>
          </w:p>
        </w:tc>
        <w:tc>
          <w:tcPr>
            <w:tcW w:w="1337" w:type="dxa"/>
            <w:vMerge w:val="restart"/>
            <w:vAlign w:val="center"/>
          </w:tcPr>
          <w:p>
            <w:pPr>
              <w:overflowPunct w:val="0"/>
              <w:jc w:val="center"/>
              <w:rPr>
                <w:rFonts w:ascii="Times New Roman" w:hAnsi="Times New Roman" w:eastAsia="宋体"/>
                <w:szCs w:val="21"/>
              </w:rPr>
            </w:pPr>
            <w:r>
              <w:rPr>
                <w:rFonts w:ascii="Times New Roman" w:hAnsi="Times New Roman" w:eastAsia="宋体"/>
                <w:szCs w:val="21"/>
              </w:rPr>
              <w:t>mg/L</w:t>
            </w:r>
          </w:p>
        </w:tc>
        <w:tc>
          <w:tcPr>
            <w:tcW w:w="2338" w:type="dxa"/>
            <w:vMerge w:val="continue"/>
            <w:vAlign w:val="center"/>
          </w:tcPr>
          <w:p>
            <w:pPr>
              <w:overflowPunct w:val="0"/>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55" w:type="dxa"/>
            <w:vMerge w:val="continue"/>
            <w:vAlign w:val="center"/>
          </w:tcPr>
          <w:p>
            <w:pPr>
              <w:overflowPunct w:val="0"/>
              <w:ind w:firstLine="420" w:firstLineChars="200"/>
              <w:jc w:val="center"/>
              <w:rPr>
                <w:rFonts w:ascii="Times New Roman" w:hAnsi="Times New Roman" w:eastAsia="宋体"/>
                <w:szCs w:val="21"/>
              </w:rPr>
            </w:pPr>
          </w:p>
        </w:tc>
        <w:tc>
          <w:tcPr>
            <w:tcW w:w="1305" w:type="dxa"/>
            <w:tcMar>
              <w:left w:w="0" w:type="dxa"/>
              <w:right w:w="0" w:type="dxa"/>
            </w:tcMar>
            <w:vAlign w:val="center"/>
          </w:tcPr>
          <w:p>
            <w:pPr>
              <w:overflowPunct w:val="0"/>
              <w:jc w:val="center"/>
              <w:rPr>
                <w:rFonts w:ascii="Times New Roman" w:hAnsi="Times New Roman" w:eastAsia="宋体"/>
                <w:szCs w:val="21"/>
              </w:rPr>
            </w:pPr>
            <w:r>
              <w:rPr>
                <w:rFonts w:ascii="Times New Roman" w:hAnsi="Times New Roman" w:eastAsia="宋体"/>
                <w:szCs w:val="21"/>
              </w:rPr>
              <w:t>硝酸盐氮</w:t>
            </w:r>
          </w:p>
        </w:tc>
        <w:tc>
          <w:tcPr>
            <w:tcW w:w="2287" w:type="dxa"/>
            <w:vAlign w:val="center"/>
          </w:tcPr>
          <w:p>
            <w:pPr>
              <w:overflowPunct w:val="0"/>
              <w:jc w:val="center"/>
              <w:rPr>
                <w:rFonts w:ascii="Times New Roman" w:hAnsi="Times New Roman" w:eastAsia="宋体"/>
                <w:szCs w:val="21"/>
              </w:rPr>
            </w:pPr>
            <w:r>
              <w:rPr>
                <w:rFonts w:hint="eastAsia" w:ascii="宋体" w:hAnsi="宋体" w:eastAsia="宋体"/>
                <w:szCs w:val="21"/>
              </w:rPr>
              <w:t>≤</w:t>
            </w:r>
            <w:r>
              <w:rPr>
                <w:rFonts w:ascii="Times New Roman" w:hAnsi="Times New Roman" w:eastAsia="宋体"/>
                <w:szCs w:val="21"/>
              </w:rPr>
              <w:t>20</w:t>
            </w:r>
            <w:r>
              <w:rPr>
                <w:rFonts w:hint="eastAsia" w:ascii="Times New Roman" w:hAnsi="Times New Roman" w:eastAsia="宋体"/>
                <w:szCs w:val="21"/>
              </w:rPr>
              <w:t>.0</w:t>
            </w:r>
          </w:p>
        </w:tc>
        <w:tc>
          <w:tcPr>
            <w:tcW w:w="1337" w:type="dxa"/>
            <w:vMerge w:val="continue"/>
            <w:vAlign w:val="center"/>
          </w:tcPr>
          <w:p>
            <w:pPr>
              <w:overflowPunct w:val="0"/>
              <w:jc w:val="center"/>
              <w:rPr>
                <w:rFonts w:ascii="Times New Roman" w:hAnsi="Times New Roman" w:eastAsia="宋体"/>
                <w:szCs w:val="21"/>
              </w:rPr>
            </w:pPr>
          </w:p>
        </w:tc>
        <w:tc>
          <w:tcPr>
            <w:tcW w:w="2338" w:type="dxa"/>
            <w:vMerge w:val="continue"/>
            <w:vAlign w:val="center"/>
          </w:tcPr>
          <w:p>
            <w:pPr>
              <w:overflowPunct w:val="0"/>
              <w:ind w:firstLine="420" w:firstLineChars="200"/>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55" w:type="dxa"/>
            <w:vMerge w:val="continue"/>
            <w:vAlign w:val="center"/>
          </w:tcPr>
          <w:p>
            <w:pPr>
              <w:overflowPunct w:val="0"/>
              <w:ind w:firstLine="420" w:firstLineChars="200"/>
              <w:jc w:val="center"/>
              <w:rPr>
                <w:rFonts w:ascii="Times New Roman" w:hAnsi="Times New Roman" w:eastAsia="宋体"/>
                <w:szCs w:val="21"/>
              </w:rPr>
            </w:pPr>
          </w:p>
        </w:tc>
        <w:tc>
          <w:tcPr>
            <w:tcW w:w="1305" w:type="dxa"/>
            <w:tcMar>
              <w:left w:w="0" w:type="dxa"/>
              <w:right w:w="0" w:type="dxa"/>
            </w:tcMar>
            <w:vAlign w:val="center"/>
          </w:tcPr>
          <w:p>
            <w:pPr>
              <w:overflowPunct w:val="0"/>
              <w:jc w:val="center"/>
              <w:rPr>
                <w:rFonts w:ascii="Times New Roman" w:hAnsi="Times New Roman" w:eastAsia="宋体"/>
                <w:szCs w:val="21"/>
              </w:rPr>
            </w:pPr>
            <w:r>
              <w:rPr>
                <w:rFonts w:ascii="Times New Roman" w:hAnsi="Times New Roman" w:eastAsia="宋体"/>
                <w:szCs w:val="21"/>
              </w:rPr>
              <w:t>总硬度</w:t>
            </w:r>
          </w:p>
        </w:tc>
        <w:tc>
          <w:tcPr>
            <w:tcW w:w="2287" w:type="dxa"/>
            <w:vAlign w:val="center"/>
          </w:tcPr>
          <w:p>
            <w:pPr>
              <w:overflowPunct w:val="0"/>
              <w:jc w:val="center"/>
              <w:rPr>
                <w:rFonts w:ascii="Times New Roman" w:hAnsi="Times New Roman" w:eastAsia="宋体"/>
                <w:szCs w:val="21"/>
              </w:rPr>
            </w:pPr>
            <w:r>
              <w:rPr>
                <w:rFonts w:hint="eastAsia" w:ascii="宋体" w:hAnsi="宋体" w:eastAsia="宋体"/>
                <w:szCs w:val="21"/>
              </w:rPr>
              <w:t>≤</w:t>
            </w:r>
            <w:r>
              <w:rPr>
                <w:rFonts w:ascii="Times New Roman" w:hAnsi="Times New Roman" w:eastAsia="宋体"/>
                <w:szCs w:val="21"/>
              </w:rPr>
              <w:t>450</w:t>
            </w:r>
          </w:p>
        </w:tc>
        <w:tc>
          <w:tcPr>
            <w:tcW w:w="1337" w:type="dxa"/>
            <w:vMerge w:val="continue"/>
            <w:vAlign w:val="center"/>
          </w:tcPr>
          <w:p>
            <w:pPr>
              <w:overflowPunct w:val="0"/>
              <w:jc w:val="center"/>
              <w:rPr>
                <w:rFonts w:ascii="Times New Roman" w:hAnsi="Times New Roman" w:eastAsia="宋体"/>
                <w:szCs w:val="21"/>
              </w:rPr>
            </w:pPr>
          </w:p>
        </w:tc>
        <w:tc>
          <w:tcPr>
            <w:tcW w:w="2338" w:type="dxa"/>
            <w:vMerge w:val="continue"/>
            <w:vAlign w:val="center"/>
          </w:tcPr>
          <w:p>
            <w:pPr>
              <w:overflowPunct w:val="0"/>
              <w:ind w:firstLine="420" w:firstLineChars="200"/>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55" w:type="dxa"/>
            <w:vMerge w:val="continue"/>
            <w:vAlign w:val="center"/>
          </w:tcPr>
          <w:p>
            <w:pPr>
              <w:overflowPunct w:val="0"/>
              <w:ind w:firstLine="420" w:firstLineChars="200"/>
              <w:jc w:val="center"/>
              <w:rPr>
                <w:rFonts w:ascii="Times New Roman" w:hAnsi="Times New Roman" w:eastAsia="宋体"/>
                <w:szCs w:val="21"/>
              </w:rPr>
            </w:pPr>
          </w:p>
        </w:tc>
        <w:tc>
          <w:tcPr>
            <w:tcW w:w="1305" w:type="dxa"/>
            <w:tcMar>
              <w:left w:w="0" w:type="dxa"/>
              <w:right w:w="0" w:type="dxa"/>
            </w:tcMar>
            <w:vAlign w:val="center"/>
          </w:tcPr>
          <w:p>
            <w:pPr>
              <w:overflowPunct w:val="0"/>
              <w:jc w:val="center"/>
              <w:rPr>
                <w:rFonts w:ascii="Times New Roman" w:hAnsi="Times New Roman" w:eastAsia="宋体"/>
                <w:szCs w:val="21"/>
              </w:rPr>
            </w:pPr>
            <w:r>
              <w:rPr>
                <w:rFonts w:ascii="Times New Roman" w:hAnsi="Times New Roman" w:eastAsia="宋体"/>
                <w:szCs w:val="21"/>
              </w:rPr>
              <w:t>亚硝酸盐氮</w:t>
            </w:r>
          </w:p>
        </w:tc>
        <w:tc>
          <w:tcPr>
            <w:tcW w:w="2287" w:type="dxa"/>
            <w:vAlign w:val="center"/>
          </w:tcPr>
          <w:p>
            <w:pPr>
              <w:overflowPunct w:val="0"/>
              <w:jc w:val="center"/>
              <w:rPr>
                <w:rFonts w:ascii="Times New Roman" w:hAnsi="Times New Roman" w:eastAsia="宋体"/>
                <w:szCs w:val="21"/>
              </w:rPr>
            </w:pPr>
            <w:r>
              <w:rPr>
                <w:rFonts w:hint="eastAsia" w:ascii="宋体" w:hAnsi="宋体" w:eastAsia="宋体"/>
                <w:szCs w:val="21"/>
              </w:rPr>
              <w:t>≤</w:t>
            </w:r>
            <w:r>
              <w:rPr>
                <w:rFonts w:hint="eastAsia" w:ascii="Times New Roman" w:hAnsi="Times New Roman" w:eastAsia="宋体"/>
                <w:szCs w:val="21"/>
              </w:rPr>
              <w:t>1.00</w:t>
            </w:r>
          </w:p>
        </w:tc>
        <w:tc>
          <w:tcPr>
            <w:tcW w:w="1337" w:type="dxa"/>
            <w:vMerge w:val="continue"/>
            <w:vAlign w:val="center"/>
          </w:tcPr>
          <w:p>
            <w:pPr>
              <w:overflowPunct w:val="0"/>
              <w:jc w:val="center"/>
              <w:rPr>
                <w:rFonts w:ascii="Times New Roman" w:hAnsi="Times New Roman" w:eastAsia="宋体"/>
                <w:szCs w:val="21"/>
              </w:rPr>
            </w:pPr>
          </w:p>
        </w:tc>
        <w:tc>
          <w:tcPr>
            <w:tcW w:w="2338" w:type="dxa"/>
            <w:vMerge w:val="continue"/>
            <w:vAlign w:val="center"/>
          </w:tcPr>
          <w:p>
            <w:pPr>
              <w:overflowPunct w:val="0"/>
              <w:ind w:firstLine="420" w:firstLineChars="200"/>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55" w:type="dxa"/>
            <w:vMerge w:val="continue"/>
            <w:vAlign w:val="center"/>
          </w:tcPr>
          <w:p>
            <w:pPr>
              <w:overflowPunct w:val="0"/>
              <w:ind w:firstLine="420" w:firstLineChars="200"/>
              <w:jc w:val="center"/>
              <w:rPr>
                <w:rFonts w:ascii="Times New Roman" w:hAnsi="Times New Roman" w:eastAsia="宋体"/>
                <w:szCs w:val="21"/>
              </w:rPr>
            </w:pPr>
          </w:p>
        </w:tc>
        <w:tc>
          <w:tcPr>
            <w:tcW w:w="1305" w:type="dxa"/>
            <w:tcMar>
              <w:left w:w="0" w:type="dxa"/>
              <w:right w:w="0" w:type="dxa"/>
            </w:tcMar>
            <w:vAlign w:val="center"/>
          </w:tcPr>
          <w:p>
            <w:pPr>
              <w:overflowPunct w:val="0"/>
              <w:jc w:val="center"/>
              <w:rPr>
                <w:rFonts w:ascii="Times New Roman" w:hAnsi="Times New Roman" w:eastAsia="宋体"/>
                <w:szCs w:val="21"/>
              </w:rPr>
            </w:pPr>
            <w:r>
              <w:rPr>
                <w:rFonts w:ascii="Times New Roman" w:hAnsi="Times New Roman" w:eastAsia="宋体"/>
                <w:szCs w:val="21"/>
              </w:rPr>
              <w:t>挥发性酚类</w:t>
            </w:r>
          </w:p>
        </w:tc>
        <w:tc>
          <w:tcPr>
            <w:tcW w:w="2287" w:type="dxa"/>
            <w:vAlign w:val="center"/>
          </w:tcPr>
          <w:p>
            <w:pPr>
              <w:overflowPunct w:val="0"/>
              <w:jc w:val="center"/>
              <w:rPr>
                <w:rFonts w:ascii="Times New Roman" w:hAnsi="Times New Roman" w:eastAsia="宋体"/>
                <w:szCs w:val="21"/>
              </w:rPr>
            </w:pPr>
            <w:r>
              <w:rPr>
                <w:rFonts w:hint="eastAsia" w:ascii="宋体" w:hAnsi="宋体" w:eastAsia="宋体"/>
                <w:szCs w:val="21"/>
              </w:rPr>
              <w:t>≤</w:t>
            </w:r>
            <w:r>
              <w:rPr>
                <w:rFonts w:ascii="Times New Roman" w:hAnsi="Times New Roman" w:eastAsia="宋体"/>
                <w:szCs w:val="21"/>
              </w:rPr>
              <w:t>0.002</w:t>
            </w:r>
          </w:p>
        </w:tc>
        <w:tc>
          <w:tcPr>
            <w:tcW w:w="1337" w:type="dxa"/>
            <w:vMerge w:val="continue"/>
            <w:vAlign w:val="center"/>
          </w:tcPr>
          <w:p>
            <w:pPr>
              <w:overflowPunct w:val="0"/>
              <w:jc w:val="center"/>
              <w:rPr>
                <w:rFonts w:ascii="Times New Roman" w:hAnsi="Times New Roman" w:eastAsia="宋体"/>
                <w:szCs w:val="21"/>
              </w:rPr>
            </w:pPr>
          </w:p>
        </w:tc>
        <w:tc>
          <w:tcPr>
            <w:tcW w:w="2338" w:type="dxa"/>
            <w:vMerge w:val="continue"/>
            <w:vAlign w:val="center"/>
          </w:tcPr>
          <w:p>
            <w:pPr>
              <w:overflowPunct w:val="0"/>
              <w:ind w:firstLine="420" w:firstLineChars="200"/>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55" w:type="dxa"/>
            <w:vMerge w:val="continue"/>
            <w:vAlign w:val="center"/>
          </w:tcPr>
          <w:p>
            <w:pPr>
              <w:overflowPunct w:val="0"/>
              <w:ind w:firstLine="420" w:firstLineChars="200"/>
              <w:jc w:val="center"/>
              <w:rPr>
                <w:rFonts w:ascii="Times New Roman" w:hAnsi="Times New Roman" w:eastAsia="宋体"/>
                <w:szCs w:val="21"/>
              </w:rPr>
            </w:pPr>
          </w:p>
        </w:tc>
        <w:tc>
          <w:tcPr>
            <w:tcW w:w="1305" w:type="dxa"/>
            <w:tcMar>
              <w:left w:w="0" w:type="dxa"/>
              <w:right w:w="0" w:type="dxa"/>
            </w:tcMar>
            <w:vAlign w:val="center"/>
          </w:tcPr>
          <w:p>
            <w:pPr>
              <w:overflowPunct w:val="0"/>
              <w:jc w:val="center"/>
              <w:rPr>
                <w:rFonts w:ascii="Times New Roman" w:hAnsi="Times New Roman" w:eastAsia="宋体"/>
                <w:szCs w:val="21"/>
              </w:rPr>
            </w:pPr>
            <w:r>
              <w:rPr>
                <w:rFonts w:ascii="Times New Roman" w:hAnsi="Times New Roman" w:eastAsia="宋体"/>
                <w:szCs w:val="21"/>
              </w:rPr>
              <w:t>氰化物</w:t>
            </w:r>
          </w:p>
        </w:tc>
        <w:tc>
          <w:tcPr>
            <w:tcW w:w="2287" w:type="dxa"/>
            <w:vAlign w:val="center"/>
          </w:tcPr>
          <w:p>
            <w:pPr>
              <w:overflowPunct w:val="0"/>
              <w:jc w:val="center"/>
              <w:rPr>
                <w:rFonts w:ascii="Times New Roman" w:hAnsi="Times New Roman" w:eastAsia="宋体"/>
                <w:szCs w:val="21"/>
              </w:rPr>
            </w:pPr>
            <w:r>
              <w:rPr>
                <w:rFonts w:hint="eastAsia" w:ascii="宋体" w:hAnsi="宋体" w:eastAsia="宋体"/>
                <w:szCs w:val="21"/>
              </w:rPr>
              <w:t>≤</w:t>
            </w:r>
            <w:r>
              <w:rPr>
                <w:rFonts w:ascii="Times New Roman" w:hAnsi="Times New Roman" w:eastAsia="宋体"/>
                <w:szCs w:val="21"/>
              </w:rPr>
              <w:t>0.05</w:t>
            </w:r>
          </w:p>
        </w:tc>
        <w:tc>
          <w:tcPr>
            <w:tcW w:w="1337" w:type="dxa"/>
            <w:vMerge w:val="continue"/>
            <w:vAlign w:val="center"/>
          </w:tcPr>
          <w:p>
            <w:pPr>
              <w:overflowPunct w:val="0"/>
              <w:jc w:val="center"/>
              <w:rPr>
                <w:rFonts w:ascii="Times New Roman" w:hAnsi="Times New Roman" w:eastAsia="宋体"/>
                <w:szCs w:val="21"/>
              </w:rPr>
            </w:pPr>
          </w:p>
        </w:tc>
        <w:tc>
          <w:tcPr>
            <w:tcW w:w="2338" w:type="dxa"/>
            <w:vMerge w:val="continue"/>
            <w:vAlign w:val="center"/>
          </w:tcPr>
          <w:p>
            <w:pPr>
              <w:overflowPunct w:val="0"/>
              <w:ind w:firstLine="420" w:firstLineChars="200"/>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55" w:type="dxa"/>
            <w:vMerge w:val="continue"/>
            <w:vAlign w:val="center"/>
          </w:tcPr>
          <w:p>
            <w:pPr>
              <w:overflowPunct w:val="0"/>
              <w:ind w:firstLine="420" w:firstLineChars="200"/>
              <w:jc w:val="center"/>
              <w:rPr>
                <w:rFonts w:ascii="Times New Roman" w:hAnsi="Times New Roman" w:eastAsia="宋体"/>
                <w:szCs w:val="21"/>
              </w:rPr>
            </w:pPr>
          </w:p>
        </w:tc>
        <w:tc>
          <w:tcPr>
            <w:tcW w:w="1305" w:type="dxa"/>
            <w:tcMar>
              <w:left w:w="0" w:type="dxa"/>
              <w:right w:w="0" w:type="dxa"/>
            </w:tcMar>
            <w:vAlign w:val="center"/>
          </w:tcPr>
          <w:p>
            <w:pPr>
              <w:overflowPunct w:val="0"/>
              <w:jc w:val="center"/>
              <w:rPr>
                <w:rFonts w:ascii="Times New Roman" w:hAnsi="Times New Roman" w:eastAsia="宋体"/>
                <w:szCs w:val="21"/>
              </w:rPr>
            </w:pPr>
            <w:r>
              <w:rPr>
                <w:rFonts w:ascii="Times New Roman" w:hAnsi="Times New Roman" w:eastAsia="宋体"/>
                <w:szCs w:val="21"/>
              </w:rPr>
              <w:t>砷</w:t>
            </w:r>
          </w:p>
        </w:tc>
        <w:tc>
          <w:tcPr>
            <w:tcW w:w="2287" w:type="dxa"/>
            <w:vAlign w:val="center"/>
          </w:tcPr>
          <w:p>
            <w:pPr>
              <w:overflowPunct w:val="0"/>
              <w:jc w:val="center"/>
              <w:rPr>
                <w:rFonts w:ascii="Times New Roman" w:hAnsi="Times New Roman" w:eastAsia="宋体"/>
                <w:szCs w:val="21"/>
              </w:rPr>
            </w:pPr>
            <w:r>
              <w:rPr>
                <w:rFonts w:hint="eastAsia" w:ascii="宋体" w:hAnsi="宋体" w:eastAsia="宋体"/>
                <w:szCs w:val="21"/>
              </w:rPr>
              <w:t>≤</w:t>
            </w:r>
            <w:r>
              <w:rPr>
                <w:rFonts w:hint="eastAsia" w:ascii="Times New Roman" w:hAnsi="Times New Roman" w:eastAsia="宋体"/>
                <w:szCs w:val="21"/>
              </w:rPr>
              <w:t>0.01</w:t>
            </w:r>
          </w:p>
        </w:tc>
        <w:tc>
          <w:tcPr>
            <w:tcW w:w="1337" w:type="dxa"/>
            <w:vMerge w:val="continue"/>
            <w:vAlign w:val="center"/>
          </w:tcPr>
          <w:p>
            <w:pPr>
              <w:overflowPunct w:val="0"/>
              <w:jc w:val="center"/>
              <w:rPr>
                <w:rFonts w:ascii="Times New Roman" w:hAnsi="Times New Roman" w:eastAsia="宋体"/>
                <w:szCs w:val="21"/>
              </w:rPr>
            </w:pPr>
          </w:p>
        </w:tc>
        <w:tc>
          <w:tcPr>
            <w:tcW w:w="2338" w:type="dxa"/>
            <w:vMerge w:val="continue"/>
            <w:vAlign w:val="center"/>
          </w:tcPr>
          <w:p>
            <w:pPr>
              <w:overflowPunct w:val="0"/>
              <w:ind w:firstLine="420" w:firstLineChars="200"/>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55" w:type="dxa"/>
            <w:vMerge w:val="continue"/>
            <w:vAlign w:val="center"/>
          </w:tcPr>
          <w:p>
            <w:pPr>
              <w:overflowPunct w:val="0"/>
              <w:ind w:firstLine="420" w:firstLineChars="200"/>
              <w:jc w:val="center"/>
              <w:rPr>
                <w:rFonts w:ascii="Times New Roman" w:hAnsi="Times New Roman" w:eastAsia="宋体"/>
                <w:szCs w:val="21"/>
              </w:rPr>
            </w:pPr>
          </w:p>
        </w:tc>
        <w:tc>
          <w:tcPr>
            <w:tcW w:w="1305" w:type="dxa"/>
            <w:tcMar>
              <w:left w:w="0" w:type="dxa"/>
              <w:right w:w="0" w:type="dxa"/>
            </w:tcMar>
            <w:vAlign w:val="center"/>
          </w:tcPr>
          <w:p>
            <w:pPr>
              <w:overflowPunct w:val="0"/>
              <w:jc w:val="center"/>
              <w:rPr>
                <w:rFonts w:ascii="Times New Roman" w:hAnsi="Times New Roman" w:eastAsia="宋体"/>
                <w:szCs w:val="21"/>
              </w:rPr>
            </w:pPr>
            <w:r>
              <w:rPr>
                <w:rFonts w:ascii="Times New Roman" w:hAnsi="Times New Roman" w:eastAsia="宋体"/>
                <w:szCs w:val="21"/>
              </w:rPr>
              <w:t>六价铬</w:t>
            </w:r>
          </w:p>
        </w:tc>
        <w:tc>
          <w:tcPr>
            <w:tcW w:w="2287" w:type="dxa"/>
            <w:vAlign w:val="center"/>
          </w:tcPr>
          <w:p>
            <w:pPr>
              <w:overflowPunct w:val="0"/>
              <w:jc w:val="center"/>
              <w:rPr>
                <w:rFonts w:ascii="Times New Roman" w:hAnsi="Times New Roman" w:eastAsia="宋体"/>
                <w:szCs w:val="21"/>
              </w:rPr>
            </w:pPr>
            <w:r>
              <w:rPr>
                <w:rFonts w:hint="eastAsia" w:ascii="宋体" w:hAnsi="宋体" w:eastAsia="宋体"/>
                <w:szCs w:val="21"/>
              </w:rPr>
              <w:t>≤</w:t>
            </w:r>
            <w:r>
              <w:rPr>
                <w:rFonts w:hint="eastAsia" w:ascii="Times New Roman" w:hAnsi="Times New Roman" w:eastAsia="宋体"/>
                <w:szCs w:val="21"/>
              </w:rPr>
              <w:t>0.05</w:t>
            </w:r>
          </w:p>
        </w:tc>
        <w:tc>
          <w:tcPr>
            <w:tcW w:w="1337" w:type="dxa"/>
            <w:vMerge w:val="continue"/>
            <w:vAlign w:val="center"/>
          </w:tcPr>
          <w:p>
            <w:pPr>
              <w:overflowPunct w:val="0"/>
              <w:jc w:val="center"/>
              <w:rPr>
                <w:rFonts w:ascii="Times New Roman" w:hAnsi="Times New Roman" w:eastAsia="宋体"/>
                <w:szCs w:val="21"/>
              </w:rPr>
            </w:pPr>
          </w:p>
        </w:tc>
        <w:tc>
          <w:tcPr>
            <w:tcW w:w="2338" w:type="dxa"/>
            <w:vMerge w:val="continue"/>
            <w:vAlign w:val="center"/>
          </w:tcPr>
          <w:p>
            <w:pPr>
              <w:overflowPunct w:val="0"/>
              <w:ind w:firstLine="420" w:firstLineChars="200"/>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55" w:type="dxa"/>
            <w:vMerge w:val="continue"/>
            <w:vAlign w:val="center"/>
          </w:tcPr>
          <w:p>
            <w:pPr>
              <w:overflowPunct w:val="0"/>
              <w:ind w:firstLine="420" w:firstLineChars="200"/>
              <w:jc w:val="center"/>
              <w:rPr>
                <w:rFonts w:ascii="Times New Roman" w:hAnsi="Times New Roman" w:eastAsia="宋体"/>
                <w:szCs w:val="21"/>
              </w:rPr>
            </w:pPr>
          </w:p>
        </w:tc>
        <w:tc>
          <w:tcPr>
            <w:tcW w:w="1305" w:type="dxa"/>
            <w:tcMar>
              <w:left w:w="0" w:type="dxa"/>
              <w:right w:w="0" w:type="dxa"/>
            </w:tcMar>
            <w:vAlign w:val="center"/>
          </w:tcPr>
          <w:p>
            <w:pPr>
              <w:overflowPunct w:val="0"/>
              <w:jc w:val="center"/>
              <w:rPr>
                <w:rFonts w:ascii="Times New Roman" w:hAnsi="Times New Roman" w:eastAsia="宋体"/>
                <w:szCs w:val="21"/>
              </w:rPr>
            </w:pPr>
            <w:r>
              <w:rPr>
                <w:rFonts w:hint="eastAsia" w:ascii="Times New Roman" w:hAnsi="Times New Roman" w:eastAsia="宋体"/>
                <w:szCs w:val="21"/>
              </w:rPr>
              <w:t>硫酸盐</w:t>
            </w:r>
          </w:p>
        </w:tc>
        <w:tc>
          <w:tcPr>
            <w:tcW w:w="2287" w:type="dxa"/>
            <w:vAlign w:val="center"/>
          </w:tcPr>
          <w:p>
            <w:pPr>
              <w:overflowPunct w:val="0"/>
              <w:jc w:val="center"/>
              <w:rPr>
                <w:rFonts w:ascii="Times New Roman" w:hAnsi="Times New Roman" w:eastAsia="宋体"/>
                <w:szCs w:val="21"/>
              </w:rPr>
            </w:pPr>
            <w:r>
              <w:rPr>
                <w:rFonts w:hint="eastAsia" w:ascii="宋体" w:hAnsi="宋体" w:eastAsia="宋体"/>
                <w:szCs w:val="21"/>
              </w:rPr>
              <w:t>≤</w:t>
            </w:r>
            <w:r>
              <w:rPr>
                <w:rFonts w:hint="eastAsia" w:ascii="Times New Roman" w:hAnsi="Times New Roman" w:eastAsia="宋体"/>
                <w:szCs w:val="21"/>
              </w:rPr>
              <w:t>250</w:t>
            </w:r>
          </w:p>
        </w:tc>
        <w:tc>
          <w:tcPr>
            <w:tcW w:w="1337" w:type="dxa"/>
            <w:vMerge w:val="continue"/>
            <w:vAlign w:val="center"/>
          </w:tcPr>
          <w:p>
            <w:pPr>
              <w:overflowPunct w:val="0"/>
              <w:jc w:val="center"/>
              <w:rPr>
                <w:rFonts w:ascii="Times New Roman" w:hAnsi="Times New Roman" w:eastAsia="宋体"/>
                <w:szCs w:val="21"/>
              </w:rPr>
            </w:pPr>
          </w:p>
        </w:tc>
        <w:tc>
          <w:tcPr>
            <w:tcW w:w="2338" w:type="dxa"/>
            <w:vMerge w:val="continue"/>
            <w:vAlign w:val="center"/>
          </w:tcPr>
          <w:p>
            <w:pPr>
              <w:overflowPunct w:val="0"/>
              <w:ind w:firstLine="420" w:firstLineChars="200"/>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55" w:type="dxa"/>
            <w:vMerge w:val="continue"/>
            <w:vAlign w:val="center"/>
          </w:tcPr>
          <w:p>
            <w:pPr>
              <w:overflowPunct w:val="0"/>
              <w:ind w:firstLine="420" w:firstLineChars="200"/>
              <w:jc w:val="center"/>
              <w:rPr>
                <w:rFonts w:ascii="Times New Roman" w:hAnsi="Times New Roman" w:eastAsia="宋体"/>
                <w:szCs w:val="21"/>
              </w:rPr>
            </w:pPr>
          </w:p>
        </w:tc>
        <w:tc>
          <w:tcPr>
            <w:tcW w:w="1305" w:type="dxa"/>
            <w:tcMar>
              <w:left w:w="0" w:type="dxa"/>
              <w:right w:w="0" w:type="dxa"/>
            </w:tcMar>
            <w:vAlign w:val="center"/>
          </w:tcPr>
          <w:p>
            <w:pPr>
              <w:overflowPunct w:val="0"/>
              <w:jc w:val="center"/>
              <w:rPr>
                <w:rFonts w:ascii="Times New Roman" w:hAnsi="Times New Roman" w:eastAsia="宋体"/>
                <w:szCs w:val="21"/>
              </w:rPr>
            </w:pPr>
            <w:r>
              <w:rPr>
                <w:rFonts w:hint="eastAsia" w:ascii="Times New Roman" w:hAnsi="Times New Roman" w:eastAsia="宋体"/>
                <w:szCs w:val="21"/>
              </w:rPr>
              <w:t>氯化物</w:t>
            </w:r>
          </w:p>
        </w:tc>
        <w:tc>
          <w:tcPr>
            <w:tcW w:w="2287" w:type="dxa"/>
            <w:vAlign w:val="center"/>
          </w:tcPr>
          <w:p>
            <w:pPr>
              <w:overflowPunct w:val="0"/>
              <w:jc w:val="center"/>
              <w:rPr>
                <w:rFonts w:ascii="Times New Roman" w:hAnsi="Times New Roman" w:eastAsia="宋体"/>
                <w:szCs w:val="21"/>
              </w:rPr>
            </w:pPr>
            <w:r>
              <w:rPr>
                <w:rFonts w:hint="eastAsia" w:ascii="宋体" w:hAnsi="宋体" w:eastAsia="宋体"/>
                <w:szCs w:val="21"/>
              </w:rPr>
              <w:t>≤</w:t>
            </w:r>
            <w:r>
              <w:rPr>
                <w:rFonts w:hint="eastAsia" w:ascii="Times New Roman" w:hAnsi="Times New Roman" w:eastAsia="宋体"/>
                <w:szCs w:val="21"/>
              </w:rPr>
              <w:t>250</w:t>
            </w:r>
          </w:p>
        </w:tc>
        <w:tc>
          <w:tcPr>
            <w:tcW w:w="1337" w:type="dxa"/>
            <w:vMerge w:val="continue"/>
            <w:vAlign w:val="center"/>
          </w:tcPr>
          <w:p>
            <w:pPr>
              <w:overflowPunct w:val="0"/>
              <w:jc w:val="center"/>
              <w:rPr>
                <w:rFonts w:ascii="Times New Roman" w:hAnsi="Times New Roman" w:eastAsia="宋体"/>
                <w:szCs w:val="21"/>
              </w:rPr>
            </w:pPr>
          </w:p>
        </w:tc>
        <w:tc>
          <w:tcPr>
            <w:tcW w:w="2338" w:type="dxa"/>
            <w:vMerge w:val="continue"/>
            <w:vAlign w:val="center"/>
          </w:tcPr>
          <w:p>
            <w:pPr>
              <w:overflowPunct w:val="0"/>
              <w:ind w:firstLine="420" w:firstLineChars="200"/>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55" w:type="dxa"/>
            <w:vMerge w:val="continue"/>
            <w:vAlign w:val="center"/>
          </w:tcPr>
          <w:p>
            <w:pPr>
              <w:overflowPunct w:val="0"/>
              <w:jc w:val="center"/>
              <w:rPr>
                <w:rFonts w:ascii="Times New Roman" w:hAnsi="Times New Roman" w:eastAsia="宋体"/>
                <w:szCs w:val="21"/>
              </w:rPr>
            </w:pPr>
          </w:p>
        </w:tc>
        <w:tc>
          <w:tcPr>
            <w:tcW w:w="1305" w:type="dxa"/>
            <w:tcMar>
              <w:left w:w="0" w:type="dxa"/>
              <w:right w:w="0" w:type="dxa"/>
            </w:tcMar>
            <w:vAlign w:val="center"/>
          </w:tcPr>
          <w:p>
            <w:pPr>
              <w:overflowPunct w:val="0"/>
              <w:jc w:val="center"/>
              <w:rPr>
                <w:rFonts w:ascii="Times New Roman" w:hAnsi="Times New Roman" w:eastAsia="宋体"/>
                <w:szCs w:val="21"/>
              </w:rPr>
            </w:pPr>
            <w:r>
              <w:rPr>
                <w:rFonts w:ascii="Times New Roman" w:hAnsi="Times New Roman" w:eastAsia="宋体"/>
                <w:szCs w:val="21"/>
              </w:rPr>
              <w:t>氟化物</w:t>
            </w:r>
          </w:p>
        </w:tc>
        <w:tc>
          <w:tcPr>
            <w:tcW w:w="2287" w:type="dxa"/>
            <w:vAlign w:val="center"/>
          </w:tcPr>
          <w:p>
            <w:pPr>
              <w:overflowPunct w:val="0"/>
              <w:jc w:val="center"/>
              <w:rPr>
                <w:rFonts w:ascii="Times New Roman" w:hAnsi="Times New Roman" w:eastAsia="宋体"/>
                <w:szCs w:val="21"/>
              </w:rPr>
            </w:pPr>
            <w:r>
              <w:rPr>
                <w:rFonts w:hint="eastAsia" w:ascii="宋体" w:hAnsi="宋体" w:eastAsia="宋体"/>
                <w:szCs w:val="21"/>
              </w:rPr>
              <w:t>≤</w:t>
            </w:r>
            <w:r>
              <w:rPr>
                <w:rFonts w:ascii="Times New Roman" w:hAnsi="Times New Roman" w:eastAsia="宋体"/>
                <w:szCs w:val="21"/>
              </w:rPr>
              <w:t>1.0</w:t>
            </w:r>
          </w:p>
        </w:tc>
        <w:tc>
          <w:tcPr>
            <w:tcW w:w="1337" w:type="dxa"/>
            <w:vMerge w:val="continue"/>
            <w:vAlign w:val="center"/>
          </w:tcPr>
          <w:p>
            <w:pPr>
              <w:overflowPunct w:val="0"/>
              <w:jc w:val="center"/>
              <w:rPr>
                <w:rFonts w:ascii="Times New Roman" w:hAnsi="Times New Roman" w:eastAsia="宋体"/>
                <w:szCs w:val="21"/>
              </w:rPr>
            </w:pPr>
          </w:p>
        </w:tc>
        <w:tc>
          <w:tcPr>
            <w:tcW w:w="2338" w:type="dxa"/>
            <w:vMerge w:val="continue"/>
            <w:vAlign w:val="center"/>
          </w:tcPr>
          <w:p>
            <w:pPr>
              <w:overflowPunct w:val="0"/>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55" w:type="dxa"/>
            <w:vMerge w:val="continue"/>
            <w:vAlign w:val="center"/>
          </w:tcPr>
          <w:p>
            <w:pPr>
              <w:overflowPunct w:val="0"/>
              <w:jc w:val="center"/>
              <w:rPr>
                <w:rFonts w:ascii="Times New Roman" w:hAnsi="Times New Roman" w:eastAsia="宋体"/>
                <w:szCs w:val="21"/>
              </w:rPr>
            </w:pPr>
          </w:p>
        </w:tc>
        <w:tc>
          <w:tcPr>
            <w:tcW w:w="1305" w:type="dxa"/>
            <w:tcMar>
              <w:left w:w="0" w:type="dxa"/>
              <w:right w:w="0" w:type="dxa"/>
            </w:tcMar>
            <w:vAlign w:val="center"/>
          </w:tcPr>
          <w:p>
            <w:pPr>
              <w:overflowPunct w:val="0"/>
              <w:jc w:val="center"/>
              <w:rPr>
                <w:rFonts w:ascii="Times New Roman" w:hAnsi="Times New Roman" w:eastAsia="宋体"/>
                <w:szCs w:val="21"/>
              </w:rPr>
            </w:pPr>
            <w:r>
              <w:rPr>
                <w:rFonts w:ascii="Times New Roman" w:hAnsi="Times New Roman" w:eastAsia="宋体"/>
                <w:szCs w:val="21"/>
              </w:rPr>
              <w:t>铁</w:t>
            </w:r>
          </w:p>
        </w:tc>
        <w:tc>
          <w:tcPr>
            <w:tcW w:w="2287" w:type="dxa"/>
            <w:vAlign w:val="center"/>
          </w:tcPr>
          <w:p>
            <w:pPr>
              <w:overflowPunct w:val="0"/>
              <w:jc w:val="center"/>
              <w:rPr>
                <w:rFonts w:ascii="Times New Roman" w:hAnsi="Times New Roman" w:eastAsia="宋体"/>
                <w:szCs w:val="21"/>
              </w:rPr>
            </w:pPr>
            <w:r>
              <w:rPr>
                <w:rFonts w:hint="eastAsia" w:ascii="宋体" w:hAnsi="宋体" w:eastAsia="宋体"/>
                <w:szCs w:val="21"/>
              </w:rPr>
              <w:t>≤</w:t>
            </w:r>
            <w:r>
              <w:rPr>
                <w:rFonts w:ascii="Times New Roman" w:hAnsi="Times New Roman" w:eastAsia="宋体"/>
                <w:szCs w:val="21"/>
              </w:rPr>
              <w:t>0.3</w:t>
            </w:r>
          </w:p>
        </w:tc>
        <w:tc>
          <w:tcPr>
            <w:tcW w:w="1337" w:type="dxa"/>
            <w:vMerge w:val="continue"/>
            <w:vAlign w:val="center"/>
          </w:tcPr>
          <w:p>
            <w:pPr>
              <w:overflowPunct w:val="0"/>
              <w:jc w:val="center"/>
              <w:rPr>
                <w:rFonts w:ascii="Times New Roman" w:hAnsi="Times New Roman" w:eastAsia="宋体"/>
                <w:szCs w:val="21"/>
              </w:rPr>
            </w:pPr>
          </w:p>
        </w:tc>
        <w:tc>
          <w:tcPr>
            <w:tcW w:w="2338" w:type="dxa"/>
            <w:vMerge w:val="continue"/>
            <w:vAlign w:val="center"/>
          </w:tcPr>
          <w:p>
            <w:pPr>
              <w:overflowPunct w:val="0"/>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55" w:type="dxa"/>
            <w:vMerge w:val="continue"/>
            <w:vAlign w:val="center"/>
          </w:tcPr>
          <w:p>
            <w:pPr>
              <w:overflowPunct w:val="0"/>
              <w:ind w:firstLine="420" w:firstLineChars="200"/>
              <w:jc w:val="center"/>
              <w:rPr>
                <w:rFonts w:ascii="Times New Roman" w:hAnsi="Times New Roman" w:eastAsia="宋体"/>
                <w:szCs w:val="21"/>
              </w:rPr>
            </w:pPr>
          </w:p>
        </w:tc>
        <w:tc>
          <w:tcPr>
            <w:tcW w:w="1305" w:type="dxa"/>
            <w:tcMar>
              <w:left w:w="0" w:type="dxa"/>
              <w:right w:w="0" w:type="dxa"/>
            </w:tcMar>
            <w:vAlign w:val="center"/>
          </w:tcPr>
          <w:p>
            <w:pPr>
              <w:overflowPunct w:val="0"/>
              <w:jc w:val="center"/>
              <w:rPr>
                <w:rFonts w:ascii="Times New Roman" w:hAnsi="Times New Roman" w:eastAsia="宋体"/>
                <w:szCs w:val="21"/>
              </w:rPr>
            </w:pPr>
            <w:r>
              <w:rPr>
                <w:rFonts w:ascii="Times New Roman" w:hAnsi="Times New Roman" w:eastAsia="宋体"/>
                <w:szCs w:val="21"/>
              </w:rPr>
              <w:t>锰</w:t>
            </w:r>
          </w:p>
        </w:tc>
        <w:tc>
          <w:tcPr>
            <w:tcW w:w="2287" w:type="dxa"/>
            <w:vAlign w:val="center"/>
          </w:tcPr>
          <w:p>
            <w:pPr>
              <w:overflowPunct w:val="0"/>
              <w:jc w:val="center"/>
              <w:rPr>
                <w:rFonts w:ascii="Times New Roman" w:hAnsi="Times New Roman" w:eastAsia="宋体"/>
                <w:szCs w:val="21"/>
              </w:rPr>
            </w:pPr>
            <w:r>
              <w:rPr>
                <w:rFonts w:hint="eastAsia" w:ascii="宋体" w:hAnsi="宋体" w:eastAsia="宋体"/>
                <w:szCs w:val="21"/>
              </w:rPr>
              <w:t>≤</w:t>
            </w:r>
            <w:r>
              <w:rPr>
                <w:rFonts w:ascii="Times New Roman" w:hAnsi="Times New Roman" w:eastAsia="宋体"/>
                <w:szCs w:val="21"/>
              </w:rPr>
              <w:t>0.1</w:t>
            </w:r>
            <w:r>
              <w:rPr>
                <w:rFonts w:hint="eastAsia" w:ascii="Times New Roman" w:hAnsi="Times New Roman" w:eastAsia="宋体"/>
                <w:szCs w:val="21"/>
              </w:rPr>
              <w:t>0</w:t>
            </w:r>
          </w:p>
        </w:tc>
        <w:tc>
          <w:tcPr>
            <w:tcW w:w="1337" w:type="dxa"/>
            <w:vMerge w:val="continue"/>
            <w:vAlign w:val="center"/>
          </w:tcPr>
          <w:p>
            <w:pPr>
              <w:overflowPunct w:val="0"/>
              <w:jc w:val="center"/>
              <w:rPr>
                <w:rFonts w:ascii="Times New Roman" w:hAnsi="Times New Roman" w:eastAsia="宋体"/>
                <w:szCs w:val="21"/>
              </w:rPr>
            </w:pPr>
          </w:p>
        </w:tc>
        <w:tc>
          <w:tcPr>
            <w:tcW w:w="2338" w:type="dxa"/>
            <w:vMerge w:val="continue"/>
            <w:vAlign w:val="center"/>
          </w:tcPr>
          <w:p>
            <w:pPr>
              <w:overflowPunct w:val="0"/>
              <w:ind w:firstLine="420" w:firstLineChars="200"/>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55" w:type="dxa"/>
            <w:vMerge w:val="continue"/>
            <w:vAlign w:val="center"/>
          </w:tcPr>
          <w:p>
            <w:pPr>
              <w:overflowPunct w:val="0"/>
              <w:ind w:firstLine="420" w:firstLineChars="200"/>
              <w:jc w:val="center"/>
              <w:rPr>
                <w:rFonts w:ascii="Times New Roman" w:hAnsi="Times New Roman" w:eastAsia="宋体"/>
                <w:szCs w:val="21"/>
              </w:rPr>
            </w:pPr>
          </w:p>
        </w:tc>
        <w:tc>
          <w:tcPr>
            <w:tcW w:w="1305" w:type="dxa"/>
            <w:tcMar>
              <w:left w:w="0" w:type="dxa"/>
              <w:right w:w="0" w:type="dxa"/>
            </w:tcMar>
            <w:vAlign w:val="center"/>
          </w:tcPr>
          <w:p>
            <w:pPr>
              <w:overflowPunct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耗氧量</w:t>
            </w:r>
          </w:p>
        </w:tc>
        <w:tc>
          <w:tcPr>
            <w:tcW w:w="2287" w:type="dxa"/>
            <w:vAlign w:val="center"/>
          </w:tcPr>
          <w:p>
            <w:pPr>
              <w:overflowPunct w:val="0"/>
              <w:jc w:val="center"/>
              <w:rPr>
                <w:rFonts w:ascii="宋体" w:hAnsi="宋体" w:eastAsia="宋体"/>
                <w:color w:val="000000" w:themeColor="text1"/>
                <w:szCs w:val="21"/>
              </w:rPr>
            </w:pPr>
            <w:r>
              <w:rPr>
                <w:rFonts w:hint="eastAsia" w:ascii="宋体" w:hAnsi="宋体" w:eastAsia="宋体"/>
                <w:color w:val="000000" w:themeColor="text1"/>
                <w:szCs w:val="21"/>
              </w:rPr>
              <w:t>≤</w:t>
            </w:r>
            <w:r>
              <w:rPr>
                <w:rFonts w:hint="eastAsia" w:ascii="Times New Roman" w:hAnsi="Times New Roman" w:eastAsia="宋体"/>
                <w:color w:val="000000" w:themeColor="text1"/>
                <w:szCs w:val="21"/>
              </w:rPr>
              <w:t>3.0</w:t>
            </w:r>
          </w:p>
        </w:tc>
        <w:tc>
          <w:tcPr>
            <w:tcW w:w="1337" w:type="dxa"/>
            <w:vMerge w:val="continue"/>
            <w:vAlign w:val="center"/>
          </w:tcPr>
          <w:p>
            <w:pPr>
              <w:overflowPunct w:val="0"/>
              <w:jc w:val="center"/>
              <w:rPr>
                <w:rFonts w:ascii="Times New Roman" w:hAnsi="Times New Roman" w:eastAsia="宋体"/>
                <w:szCs w:val="21"/>
              </w:rPr>
            </w:pPr>
          </w:p>
        </w:tc>
        <w:tc>
          <w:tcPr>
            <w:tcW w:w="2338" w:type="dxa"/>
            <w:vMerge w:val="continue"/>
            <w:vAlign w:val="center"/>
          </w:tcPr>
          <w:p>
            <w:pPr>
              <w:overflowPunct w:val="0"/>
              <w:ind w:firstLine="420" w:firstLineChars="200"/>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55" w:type="dxa"/>
            <w:vMerge w:val="continue"/>
            <w:vAlign w:val="center"/>
          </w:tcPr>
          <w:p>
            <w:pPr>
              <w:overflowPunct w:val="0"/>
              <w:ind w:firstLine="420" w:firstLineChars="200"/>
              <w:jc w:val="center"/>
              <w:rPr>
                <w:rFonts w:ascii="Times New Roman" w:hAnsi="Times New Roman" w:eastAsia="宋体"/>
                <w:szCs w:val="21"/>
              </w:rPr>
            </w:pPr>
          </w:p>
        </w:tc>
        <w:tc>
          <w:tcPr>
            <w:tcW w:w="1305" w:type="dxa"/>
            <w:tcMar>
              <w:left w:w="0" w:type="dxa"/>
              <w:right w:w="0" w:type="dxa"/>
            </w:tcMar>
            <w:vAlign w:val="center"/>
          </w:tcPr>
          <w:p>
            <w:pPr>
              <w:overflowPunct w:val="0"/>
              <w:jc w:val="center"/>
              <w:rPr>
                <w:rFonts w:ascii="Times New Roman" w:hAnsi="Times New Roman" w:eastAsia="宋体"/>
                <w:szCs w:val="21"/>
              </w:rPr>
            </w:pPr>
            <w:r>
              <w:rPr>
                <w:rFonts w:ascii="Times New Roman" w:hAnsi="Times New Roman" w:eastAsia="宋体"/>
                <w:szCs w:val="21"/>
              </w:rPr>
              <w:t>溶解性</w:t>
            </w:r>
            <w:r>
              <w:rPr>
                <w:rFonts w:hint="eastAsia" w:ascii="Times New Roman" w:hAnsi="Times New Roman" w:eastAsia="宋体"/>
                <w:szCs w:val="21"/>
              </w:rPr>
              <w:t>总</w:t>
            </w:r>
            <w:r>
              <w:rPr>
                <w:rFonts w:ascii="Times New Roman" w:hAnsi="Times New Roman" w:eastAsia="宋体"/>
                <w:szCs w:val="21"/>
              </w:rPr>
              <w:t>固体</w:t>
            </w:r>
          </w:p>
        </w:tc>
        <w:tc>
          <w:tcPr>
            <w:tcW w:w="2287" w:type="dxa"/>
            <w:vAlign w:val="center"/>
          </w:tcPr>
          <w:p>
            <w:pPr>
              <w:overflowPunct w:val="0"/>
              <w:jc w:val="center"/>
              <w:rPr>
                <w:rFonts w:ascii="Times New Roman" w:hAnsi="Times New Roman" w:eastAsia="宋体"/>
                <w:szCs w:val="21"/>
              </w:rPr>
            </w:pPr>
            <w:r>
              <w:rPr>
                <w:rFonts w:hint="eastAsia" w:ascii="宋体" w:hAnsi="宋体" w:eastAsia="宋体"/>
                <w:szCs w:val="21"/>
              </w:rPr>
              <w:t>≤</w:t>
            </w:r>
            <w:r>
              <w:rPr>
                <w:rFonts w:ascii="Times New Roman" w:hAnsi="Times New Roman" w:eastAsia="宋体"/>
                <w:szCs w:val="21"/>
              </w:rPr>
              <w:t>1000</w:t>
            </w:r>
          </w:p>
        </w:tc>
        <w:tc>
          <w:tcPr>
            <w:tcW w:w="1337" w:type="dxa"/>
            <w:vMerge w:val="continue"/>
            <w:vAlign w:val="center"/>
          </w:tcPr>
          <w:p>
            <w:pPr>
              <w:overflowPunct w:val="0"/>
              <w:jc w:val="center"/>
              <w:rPr>
                <w:rFonts w:ascii="Times New Roman" w:hAnsi="Times New Roman" w:eastAsia="宋体"/>
                <w:szCs w:val="21"/>
              </w:rPr>
            </w:pPr>
          </w:p>
        </w:tc>
        <w:tc>
          <w:tcPr>
            <w:tcW w:w="2338" w:type="dxa"/>
            <w:vMerge w:val="continue"/>
            <w:vAlign w:val="center"/>
          </w:tcPr>
          <w:p>
            <w:pPr>
              <w:overflowPunct w:val="0"/>
              <w:ind w:firstLine="420" w:firstLineChars="200"/>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55" w:type="dxa"/>
            <w:vMerge w:val="continue"/>
            <w:vAlign w:val="center"/>
          </w:tcPr>
          <w:p>
            <w:pPr>
              <w:overflowPunct w:val="0"/>
              <w:ind w:firstLine="420" w:firstLineChars="200"/>
              <w:jc w:val="center"/>
              <w:rPr>
                <w:rFonts w:ascii="Times New Roman" w:hAnsi="Times New Roman" w:eastAsia="宋体"/>
                <w:szCs w:val="21"/>
              </w:rPr>
            </w:pPr>
          </w:p>
        </w:tc>
        <w:tc>
          <w:tcPr>
            <w:tcW w:w="1305" w:type="dxa"/>
            <w:tcMar>
              <w:left w:w="0" w:type="dxa"/>
              <w:right w:w="0" w:type="dxa"/>
            </w:tcMar>
            <w:vAlign w:val="center"/>
          </w:tcPr>
          <w:p>
            <w:pPr>
              <w:overflowPunct w:val="0"/>
              <w:jc w:val="center"/>
              <w:rPr>
                <w:rFonts w:ascii="Times New Roman" w:hAnsi="Times New Roman" w:eastAsia="宋体"/>
                <w:szCs w:val="21"/>
              </w:rPr>
            </w:pPr>
            <w:r>
              <w:rPr>
                <w:rFonts w:ascii="Times New Roman" w:hAnsi="Times New Roman" w:eastAsia="宋体"/>
                <w:szCs w:val="21"/>
              </w:rPr>
              <w:t>汞</w:t>
            </w:r>
          </w:p>
        </w:tc>
        <w:tc>
          <w:tcPr>
            <w:tcW w:w="2287" w:type="dxa"/>
            <w:vAlign w:val="center"/>
          </w:tcPr>
          <w:p>
            <w:pPr>
              <w:overflowPunct w:val="0"/>
              <w:jc w:val="center"/>
              <w:rPr>
                <w:rFonts w:ascii="Times New Roman" w:hAnsi="Times New Roman" w:eastAsia="宋体"/>
                <w:szCs w:val="21"/>
              </w:rPr>
            </w:pPr>
            <w:r>
              <w:rPr>
                <w:rFonts w:hint="eastAsia" w:ascii="宋体" w:hAnsi="宋体" w:eastAsia="宋体"/>
                <w:szCs w:val="21"/>
              </w:rPr>
              <w:t>≤</w:t>
            </w:r>
            <w:r>
              <w:rPr>
                <w:rFonts w:ascii="Times New Roman" w:hAnsi="Times New Roman" w:eastAsia="宋体"/>
                <w:szCs w:val="21"/>
              </w:rPr>
              <w:t>0.001</w:t>
            </w:r>
          </w:p>
        </w:tc>
        <w:tc>
          <w:tcPr>
            <w:tcW w:w="1337" w:type="dxa"/>
            <w:vMerge w:val="continue"/>
            <w:vAlign w:val="center"/>
          </w:tcPr>
          <w:p>
            <w:pPr>
              <w:overflowPunct w:val="0"/>
              <w:jc w:val="center"/>
              <w:rPr>
                <w:rFonts w:ascii="Times New Roman" w:hAnsi="Times New Roman" w:eastAsia="宋体"/>
                <w:szCs w:val="21"/>
              </w:rPr>
            </w:pPr>
          </w:p>
        </w:tc>
        <w:tc>
          <w:tcPr>
            <w:tcW w:w="2338" w:type="dxa"/>
            <w:vMerge w:val="continue"/>
            <w:vAlign w:val="center"/>
          </w:tcPr>
          <w:p>
            <w:pPr>
              <w:overflowPunct w:val="0"/>
              <w:ind w:firstLine="420" w:firstLineChars="200"/>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55" w:type="dxa"/>
            <w:vMerge w:val="continue"/>
            <w:vAlign w:val="center"/>
          </w:tcPr>
          <w:p>
            <w:pPr>
              <w:overflowPunct w:val="0"/>
              <w:ind w:firstLine="420" w:firstLineChars="200"/>
              <w:jc w:val="center"/>
              <w:rPr>
                <w:rFonts w:ascii="Times New Roman" w:hAnsi="Times New Roman" w:eastAsia="宋体"/>
                <w:szCs w:val="21"/>
              </w:rPr>
            </w:pPr>
          </w:p>
        </w:tc>
        <w:tc>
          <w:tcPr>
            <w:tcW w:w="1305" w:type="dxa"/>
            <w:tcMar>
              <w:left w:w="0" w:type="dxa"/>
              <w:right w:w="0" w:type="dxa"/>
            </w:tcMar>
            <w:vAlign w:val="center"/>
          </w:tcPr>
          <w:p>
            <w:pPr>
              <w:overflowPunct w:val="0"/>
              <w:jc w:val="center"/>
              <w:rPr>
                <w:rFonts w:ascii="Times New Roman" w:hAnsi="Times New Roman" w:eastAsia="宋体"/>
                <w:szCs w:val="21"/>
              </w:rPr>
            </w:pPr>
            <w:r>
              <w:rPr>
                <w:rFonts w:hint="eastAsia" w:ascii="Times New Roman" w:hAnsi="Times New Roman" w:eastAsia="宋体"/>
                <w:szCs w:val="21"/>
              </w:rPr>
              <w:t>镉</w:t>
            </w:r>
          </w:p>
        </w:tc>
        <w:tc>
          <w:tcPr>
            <w:tcW w:w="2287" w:type="dxa"/>
            <w:vAlign w:val="center"/>
          </w:tcPr>
          <w:p>
            <w:pPr>
              <w:overflowPunct w:val="0"/>
              <w:jc w:val="center"/>
              <w:rPr>
                <w:rFonts w:ascii="Times New Roman" w:hAnsi="Times New Roman" w:eastAsia="宋体"/>
                <w:szCs w:val="21"/>
              </w:rPr>
            </w:pPr>
            <w:r>
              <w:rPr>
                <w:rFonts w:hint="eastAsia" w:ascii="宋体" w:hAnsi="宋体" w:eastAsia="宋体"/>
                <w:szCs w:val="21"/>
              </w:rPr>
              <w:t>≤</w:t>
            </w:r>
            <w:r>
              <w:rPr>
                <w:rFonts w:hint="eastAsia" w:ascii="Times New Roman" w:hAnsi="Times New Roman" w:eastAsia="宋体"/>
                <w:szCs w:val="21"/>
              </w:rPr>
              <w:t>0.005</w:t>
            </w:r>
          </w:p>
        </w:tc>
        <w:tc>
          <w:tcPr>
            <w:tcW w:w="1337" w:type="dxa"/>
            <w:vMerge w:val="continue"/>
            <w:vAlign w:val="center"/>
          </w:tcPr>
          <w:p>
            <w:pPr>
              <w:overflowPunct w:val="0"/>
              <w:jc w:val="center"/>
              <w:rPr>
                <w:rFonts w:ascii="Times New Roman" w:hAnsi="Times New Roman" w:cs="Times New Roman"/>
                <w:szCs w:val="21"/>
              </w:rPr>
            </w:pPr>
          </w:p>
        </w:tc>
        <w:tc>
          <w:tcPr>
            <w:tcW w:w="2338" w:type="dxa"/>
            <w:vMerge w:val="continue"/>
            <w:vAlign w:val="center"/>
          </w:tcPr>
          <w:p>
            <w:pPr>
              <w:overflowPunct w:val="0"/>
              <w:ind w:firstLine="420" w:firstLineChars="200"/>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55" w:type="dxa"/>
            <w:vMerge w:val="continue"/>
            <w:vAlign w:val="center"/>
          </w:tcPr>
          <w:p>
            <w:pPr>
              <w:overflowPunct w:val="0"/>
              <w:ind w:firstLine="420" w:firstLineChars="200"/>
              <w:jc w:val="center"/>
              <w:rPr>
                <w:rFonts w:ascii="Times New Roman" w:hAnsi="Times New Roman" w:eastAsia="宋体"/>
                <w:szCs w:val="21"/>
              </w:rPr>
            </w:pPr>
          </w:p>
        </w:tc>
        <w:tc>
          <w:tcPr>
            <w:tcW w:w="1305" w:type="dxa"/>
            <w:tcMar>
              <w:left w:w="0" w:type="dxa"/>
              <w:right w:w="0" w:type="dxa"/>
            </w:tcMar>
            <w:vAlign w:val="center"/>
          </w:tcPr>
          <w:p>
            <w:pPr>
              <w:overflowPunct w:val="0"/>
              <w:jc w:val="center"/>
              <w:rPr>
                <w:rFonts w:ascii="Times New Roman" w:hAnsi="Times New Roman" w:eastAsia="宋体"/>
                <w:szCs w:val="21"/>
              </w:rPr>
            </w:pPr>
            <w:r>
              <w:rPr>
                <w:rFonts w:hint="eastAsia" w:ascii="Times New Roman" w:hAnsi="Times New Roman" w:eastAsia="宋体"/>
                <w:szCs w:val="21"/>
              </w:rPr>
              <w:t>铅</w:t>
            </w:r>
          </w:p>
        </w:tc>
        <w:tc>
          <w:tcPr>
            <w:tcW w:w="2287" w:type="dxa"/>
            <w:vAlign w:val="center"/>
          </w:tcPr>
          <w:p>
            <w:pPr>
              <w:overflowPunct w:val="0"/>
              <w:jc w:val="center"/>
              <w:rPr>
                <w:rFonts w:ascii="Times New Roman" w:hAnsi="Times New Roman" w:eastAsia="宋体"/>
                <w:szCs w:val="21"/>
              </w:rPr>
            </w:pPr>
            <w:r>
              <w:rPr>
                <w:rFonts w:hint="eastAsia" w:ascii="宋体" w:hAnsi="宋体" w:eastAsia="宋体"/>
                <w:szCs w:val="21"/>
              </w:rPr>
              <w:t>≤</w:t>
            </w:r>
            <w:r>
              <w:rPr>
                <w:rFonts w:hint="eastAsia" w:ascii="Times New Roman" w:hAnsi="Times New Roman" w:eastAsia="宋体"/>
                <w:szCs w:val="21"/>
              </w:rPr>
              <w:t>0.01</w:t>
            </w:r>
          </w:p>
        </w:tc>
        <w:tc>
          <w:tcPr>
            <w:tcW w:w="1337" w:type="dxa"/>
            <w:vMerge w:val="continue"/>
            <w:vAlign w:val="center"/>
          </w:tcPr>
          <w:p>
            <w:pPr>
              <w:overflowPunct w:val="0"/>
              <w:jc w:val="center"/>
              <w:rPr>
                <w:rFonts w:ascii="Times New Roman" w:hAnsi="Times New Roman" w:cs="Times New Roman"/>
                <w:szCs w:val="21"/>
              </w:rPr>
            </w:pPr>
          </w:p>
        </w:tc>
        <w:tc>
          <w:tcPr>
            <w:tcW w:w="2338" w:type="dxa"/>
            <w:vMerge w:val="continue"/>
            <w:vAlign w:val="center"/>
          </w:tcPr>
          <w:p>
            <w:pPr>
              <w:overflowPunct w:val="0"/>
              <w:ind w:firstLine="420" w:firstLineChars="200"/>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55" w:type="dxa"/>
            <w:vMerge w:val="continue"/>
            <w:vAlign w:val="center"/>
          </w:tcPr>
          <w:p>
            <w:pPr>
              <w:overflowPunct w:val="0"/>
              <w:ind w:firstLine="420" w:firstLineChars="200"/>
              <w:jc w:val="center"/>
              <w:rPr>
                <w:rFonts w:ascii="Times New Roman" w:hAnsi="Times New Roman" w:eastAsia="宋体"/>
                <w:szCs w:val="21"/>
              </w:rPr>
            </w:pPr>
          </w:p>
        </w:tc>
        <w:tc>
          <w:tcPr>
            <w:tcW w:w="1305" w:type="dxa"/>
            <w:tcMar>
              <w:left w:w="0" w:type="dxa"/>
              <w:right w:w="0" w:type="dxa"/>
            </w:tcMar>
            <w:vAlign w:val="center"/>
          </w:tcPr>
          <w:p>
            <w:pPr>
              <w:overflowPunct w:val="0"/>
              <w:jc w:val="center"/>
              <w:rPr>
                <w:rFonts w:ascii="Times New Roman" w:hAnsi="Times New Roman" w:eastAsia="宋体"/>
                <w:szCs w:val="21"/>
              </w:rPr>
            </w:pPr>
            <w:r>
              <w:rPr>
                <w:rFonts w:ascii="Times New Roman" w:hAnsi="Times New Roman" w:eastAsia="宋体"/>
                <w:szCs w:val="21"/>
              </w:rPr>
              <w:t>总大肠菌群</w:t>
            </w:r>
          </w:p>
        </w:tc>
        <w:tc>
          <w:tcPr>
            <w:tcW w:w="2287" w:type="dxa"/>
            <w:vAlign w:val="center"/>
          </w:tcPr>
          <w:p>
            <w:pPr>
              <w:overflowPunct w:val="0"/>
              <w:jc w:val="center"/>
              <w:rPr>
                <w:rFonts w:ascii="Times New Roman" w:hAnsi="Times New Roman" w:eastAsia="宋体"/>
                <w:szCs w:val="21"/>
              </w:rPr>
            </w:pPr>
            <w:r>
              <w:rPr>
                <w:rFonts w:hint="eastAsia" w:ascii="宋体" w:hAnsi="宋体" w:eastAsia="宋体"/>
                <w:szCs w:val="21"/>
              </w:rPr>
              <w:t>≤</w:t>
            </w:r>
            <w:r>
              <w:rPr>
                <w:rFonts w:ascii="Times New Roman" w:hAnsi="Times New Roman" w:eastAsia="宋体"/>
                <w:szCs w:val="21"/>
              </w:rPr>
              <w:t>3.0</w:t>
            </w:r>
          </w:p>
        </w:tc>
        <w:tc>
          <w:tcPr>
            <w:tcW w:w="1337" w:type="dxa"/>
            <w:vAlign w:val="center"/>
          </w:tcPr>
          <w:p>
            <w:pPr>
              <w:overflowPunct w:val="0"/>
              <w:jc w:val="center"/>
              <w:rPr>
                <w:rFonts w:ascii="Times New Roman" w:hAnsi="Times New Roman" w:eastAsia="宋体"/>
                <w:szCs w:val="21"/>
              </w:rPr>
            </w:pPr>
            <w:r>
              <w:rPr>
                <w:rFonts w:hint="eastAsia" w:ascii="Times New Roman" w:hAnsi="Times New Roman" w:cs="Times New Roman"/>
                <w:szCs w:val="21"/>
              </w:rPr>
              <w:t>MPN/100mL</w:t>
            </w:r>
          </w:p>
        </w:tc>
        <w:tc>
          <w:tcPr>
            <w:tcW w:w="2338" w:type="dxa"/>
            <w:vMerge w:val="continue"/>
            <w:vAlign w:val="center"/>
          </w:tcPr>
          <w:p>
            <w:pPr>
              <w:overflowPunct w:val="0"/>
              <w:ind w:firstLine="420" w:firstLineChars="200"/>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55" w:type="dxa"/>
            <w:vMerge w:val="continue"/>
            <w:vAlign w:val="center"/>
          </w:tcPr>
          <w:p>
            <w:pPr>
              <w:overflowPunct w:val="0"/>
              <w:ind w:firstLine="420" w:firstLineChars="200"/>
              <w:jc w:val="center"/>
              <w:rPr>
                <w:rFonts w:ascii="Times New Roman" w:hAnsi="Times New Roman" w:eastAsia="宋体"/>
                <w:szCs w:val="21"/>
              </w:rPr>
            </w:pPr>
          </w:p>
        </w:tc>
        <w:tc>
          <w:tcPr>
            <w:tcW w:w="1305" w:type="dxa"/>
            <w:tcMar>
              <w:left w:w="0" w:type="dxa"/>
              <w:right w:w="0" w:type="dxa"/>
            </w:tcMar>
            <w:vAlign w:val="center"/>
          </w:tcPr>
          <w:p>
            <w:pPr>
              <w:overflowPunct w:val="0"/>
              <w:jc w:val="center"/>
              <w:rPr>
                <w:rFonts w:ascii="Times New Roman" w:hAnsi="Times New Roman" w:eastAsia="宋体"/>
                <w:szCs w:val="21"/>
              </w:rPr>
            </w:pPr>
            <w:r>
              <w:rPr>
                <w:rFonts w:hint="eastAsia" w:ascii="Times New Roman" w:hAnsi="Times New Roman" w:eastAsia="宋体"/>
                <w:szCs w:val="21"/>
              </w:rPr>
              <w:t>菌落总数</w:t>
            </w:r>
          </w:p>
        </w:tc>
        <w:tc>
          <w:tcPr>
            <w:tcW w:w="2287" w:type="dxa"/>
            <w:vAlign w:val="center"/>
          </w:tcPr>
          <w:p>
            <w:pPr>
              <w:overflowPunct w:val="0"/>
              <w:jc w:val="center"/>
              <w:rPr>
                <w:rFonts w:ascii="Times New Roman" w:hAnsi="Times New Roman" w:eastAsia="宋体"/>
                <w:szCs w:val="21"/>
              </w:rPr>
            </w:pPr>
            <w:r>
              <w:rPr>
                <w:rFonts w:hint="eastAsia" w:ascii="宋体" w:hAnsi="宋体" w:eastAsia="宋体"/>
                <w:szCs w:val="21"/>
              </w:rPr>
              <w:t>≤</w:t>
            </w:r>
            <w:r>
              <w:rPr>
                <w:rFonts w:ascii="Times New Roman" w:hAnsi="Times New Roman" w:eastAsia="宋体"/>
                <w:szCs w:val="21"/>
              </w:rPr>
              <w:t>100</w:t>
            </w:r>
          </w:p>
        </w:tc>
        <w:tc>
          <w:tcPr>
            <w:tcW w:w="1337" w:type="dxa"/>
            <w:vAlign w:val="center"/>
          </w:tcPr>
          <w:p>
            <w:pPr>
              <w:overflowPunct w:val="0"/>
              <w:jc w:val="center"/>
              <w:rPr>
                <w:rFonts w:ascii="Times New Roman" w:hAnsi="Times New Roman" w:eastAsia="宋体"/>
                <w:szCs w:val="21"/>
              </w:rPr>
            </w:pPr>
            <w:r>
              <w:rPr>
                <w:rFonts w:hint="eastAsia" w:ascii="Times New Roman" w:hAnsi="Times New Roman" w:cs="Times New Roman"/>
                <w:szCs w:val="21"/>
              </w:rPr>
              <w:t>CFU/mL</w:t>
            </w:r>
          </w:p>
        </w:tc>
        <w:tc>
          <w:tcPr>
            <w:tcW w:w="2338" w:type="dxa"/>
            <w:vMerge w:val="continue"/>
            <w:vAlign w:val="center"/>
          </w:tcPr>
          <w:p>
            <w:pPr>
              <w:overflowPunct w:val="0"/>
              <w:ind w:firstLine="420" w:firstLineChars="200"/>
              <w:jc w:val="center"/>
              <w:rPr>
                <w:rFonts w:ascii="Times New Roman" w:hAnsi="Times New Roman" w:eastAsia="宋体"/>
                <w:szCs w:val="21"/>
              </w:rPr>
            </w:pPr>
          </w:p>
        </w:tc>
      </w:tr>
    </w:tbl>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（3）声环境：</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临华电路一侧50±5m范围内执行声环境执行《声环境质量标准》（GB3096-2008）中4a类功能区标准；其他区域声环境执行《声环境质量标准》（GB3096-2008）中1类功能区标准。</w:t>
      </w:r>
    </w:p>
    <w:p>
      <w:pPr>
        <w:overflowPunct w:val="0"/>
        <w:spacing w:line="360" w:lineRule="auto"/>
        <w:ind w:firstLine="482" w:firstLineChars="200"/>
        <w:jc w:val="center"/>
        <w:rPr>
          <w:rFonts w:ascii="Times New Roman" w:hAnsi="Times New Roman" w:eastAsia="宋体"/>
          <w:b/>
          <w:sz w:val="24"/>
          <w:szCs w:val="24"/>
        </w:rPr>
      </w:pPr>
      <w:r>
        <w:rPr>
          <w:rFonts w:ascii="Times New Roman" w:hAnsi="Times New Roman" w:eastAsia="宋体"/>
          <w:b/>
          <w:sz w:val="24"/>
          <w:szCs w:val="24"/>
        </w:rPr>
        <w:t>表2-</w:t>
      </w:r>
      <w:r>
        <w:rPr>
          <w:rFonts w:hint="eastAsia" w:ascii="Times New Roman" w:hAnsi="Times New Roman" w:eastAsia="宋体"/>
          <w:b/>
          <w:sz w:val="24"/>
          <w:szCs w:val="24"/>
        </w:rPr>
        <w:t>15</w:t>
      </w:r>
      <w:r>
        <w:rPr>
          <w:rFonts w:ascii="Times New Roman" w:hAnsi="Times New Roman" w:eastAsia="宋体"/>
          <w:b/>
          <w:sz w:val="24"/>
          <w:szCs w:val="24"/>
        </w:rPr>
        <w:t xml:space="preserve">  </w:t>
      </w:r>
      <w:r>
        <w:rPr>
          <w:rFonts w:hint="eastAsia" w:ascii="Times New Roman" w:hAnsi="Times New Roman" w:eastAsia="宋体"/>
          <w:b/>
          <w:sz w:val="24"/>
          <w:szCs w:val="24"/>
        </w:rPr>
        <w:t>声</w:t>
      </w:r>
      <w:r>
        <w:rPr>
          <w:rFonts w:ascii="Times New Roman" w:hAnsi="Times New Roman" w:eastAsia="宋体"/>
          <w:b/>
          <w:sz w:val="24"/>
          <w:szCs w:val="24"/>
        </w:rPr>
        <w:t>环境质量标准及限值一览表</w:t>
      </w:r>
    </w:p>
    <w:tbl>
      <w:tblPr>
        <w:tblStyle w:val="27"/>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5"/>
        <w:gridCol w:w="1283"/>
        <w:gridCol w:w="1277"/>
        <w:gridCol w:w="852"/>
        <w:gridCol w:w="849"/>
        <w:gridCol w:w="28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75" w:type="dxa"/>
            <w:tcBorders>
              <w:top w:val="single" w:color="auto" w:sz="4" w:space="0"/>
              <w:left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项目</w:t>
            </w:r>
          </w:p>
        </w:tc>
        <w:tc>
          <w:tcPr>
            <w:tcW w:w="1283" w:type="dxa"/>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评价因子</w:t>
            </w:r>
          </w:p>
        </w:tc>
        <w:tc>
          <w:tcPr>
            <w:tcW w:w="2129" w:type="dxa"/>
            <w:gridSpan w:val="2"/>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标准限值</w:t>
            </w:r>
          </w:p>
        </w:tc>
        <w:tc>
          <w:tcPr>
            <w:tcW w:w="849" w:type="dxa"/>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单位</w:t>
            </w:r>
          </w:p>
        </w:tc>
        <w:tc>
          <w:tcPr>
            <w:tcW w:w="2886" w:type="dxa"/>
            <w:tcBorders>
              <w:top w:val="single" w:color="auto" w:sz="4" w:space="0"/>
              <w:bottom w:val="single" w:color="auto" w:sz="4" w:space="0"/>
              <w:right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75" w:type="dxa"/>
            <w:vMerge w:val="restart"/>
            <w:tcBorders>
              <w:top w:val="single" w:color="auto" w:sz="2" w:space="0"/>
              <w:left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声环境</w:t>
            </w:r>
          </w:p>
        </w:tc>
        <w:tc>
          <w:tcPr>
            <w:tcW w:w="1283" w:type="dxa"/>
            <w:vMerge w:val="restart"/>
            <w:tcBorders>
              <w:top w:val="single" w:color="auto" w:sz="2"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Leq(A)</w:t>
            </w:r>
          </w:p>
        </w:tc>
        <w:tc>
          <w:tcPr>
            <w:tcW w:w="1277" w:type="dxa"/>
            <w:tcBorders>
              <w:top w:val="single" w:color="auto" w:sz="2"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昼间</w:t>
            </w:r>
          </w:p>
        </w:tc>
        <w:tc>
          <w:tcPr>
            <w:tcW w:w="852" w:type="dxa"/>
            <w:tcBorders>
              <w:top w:val="single" w:color="auto" w:sz="2" w:space="0"/>
              <w:bottom w:val="single" w:color="auto" w:sz="4" w:space="0"/>
            </w:tcBorders>
            <w:vAlign w:val="center"/>
          </w:tcPr>
          <w:p>
            <w:pPr>
              <w:overflowPunct w:val="0"/>
              <w:jc w:val="center"/>
              <w:rPr>
                <w:rFonts w:ascii="Times New Roman" w:hAnsi="Times New Roman" w:eastAsia="宋体"/>
                <w:szCs w:val="21"/>
              </w:rPr>
            </w:pPr>
            <w:r>
              <w:rPr>
                <w:rFonts w:hint="eastAsia" w:ascii="Times New Roman" w:hAnsi="Times New Roman" w:eastAsia="宋体"/>
                <w:szCs w:val="21"/>
              </w:rPr>
              <w:t>55</w:t>
            </w:r>
          </w:p>
        </w:tc>
        <w:tc>
          <w:tcPr>
            <w:tcW w:w="849" w:type="dxa"/>
            <w:vMerge w:val="restart"/>
            <w:tcBorders>
              <w:top w:val="single" w:color="auto" w:sz="2"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dB(A)</w:t>
            </w:r>
          </w:p>
        </w:tc>
        <w:tc>
          <w:tcPr>
            <w:tcW w:w="2886" w:type="dxa"/>
            <w:vMerge w:val="restart"/>
            <w:tcBorders>
              <w:top w:val="single" w:color="auto" w:sz="2" w:space="0"/>
              <w:bottom w:val="single" w:color="auto" w:sz="4" w:space="0"/>
              <w:right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《声环境质量标准》（GB3096-2008）</w:t>
            </w:r>
            <w:r>
              <w:rPr>
                <w:rFonts w:hint="eastAsia" w:ascii="Times New Roman" w:hAnsi="Times New Roman" w:eastAsia="宋体"/>
                <w:szCs w:val="21"/>
              </w:rPr>
              <w:t>1</w:t>
            </w:r>
            <w:r>
              <w:rPr>
                <w:rFonts w:ascii="Times New Roman" w:hAnsi="Times New Roman" w:eastAsia="宋体"/>
                <w:szCs w:val="21"/>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75" w:type="dxa"/>
            <w:vMerge w:val="continue"/>
            <w:tcBorders>
              <w:left w:val="single" w:color="auto" w:sz="4" w:space="0"/>
            </w:tcBorders>
            <w:vAlign w:val="center"/>
          </w:tcPr>
          <w:p>
            <w:pPr>
              <w:overflowPunct w:val="0"/>
              <w:ind w:firstLine="420" w:firstLineChars="200"/>
              <w:jc w:val="center"/>
              <w:rPr>
                <w:rFonts w:ascii="Times New Roman" w:hAnsi="Times New Roman" w:eastAsia="宋体"/>
                <w:szCs w:val="21"/>
              </w:rPr>
            </w:pPr>
          </w:p>
        </w:tc>
        <w:tc>
          <w:tcPr>
            <w:tcW w:w="1283" w:type="dxa"/>
            <w:vMerge w:val="continue"/>
            <w:tcBorders>
              <w:top w:val="single" w:color="auto" w:sz="4" w:space="0"/>
              <w:bottom w:val="single" w:color="auto" w:sz="4" w:space="0"/>
            </w:tcBorders>
            <w:vAlign w:val="center"/>
          </w:tcPr>
          <w:p>
            <w:pPr>
              <w:overflowPunct w:val="0"/>
              <w:ind w:firstLine="420" w:firstLineChars="200"/>
              <w:jc w:val="center"/>
              <w:rPr>
                <w:rFonts w:ascii="Times New Roman" w:hAnsi="Times New Roman" w:eastAsia="宋体"/>
                <w:szCs w:val="21"/>
              </w:rPr>
            </w:pPr>
          </w:p>
        </w:tc>
        <w:tc>
          <w:tcPr>
            <w:tcW w:w="1277" w:type="dxa"/>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夜间</w:t>
            </w:r>
          </w:p>
        </w:tc>
        <w:tc>
          <w:tcPr>
            <w:tcW w:w="852" w:type="dxa"/>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hint="eastAsia" w:ascii="Times New Roman" w:hAnsi="Times New Roman" w:eastAsia="宋体"/>
                <w:szCs w:val="21"/>
              </w:rPr>
              <w:t>45</w:t>
            </w:r>
          </w:p>
        </w:tc>
        <w:tc>
          <w:tcPr>
            <w:tcW w:w="849" w:type="dxa"/>
            <w:vMerge w:val="continue"/>
            <w:tcBorders>
              <w:top w:val="single" w:color="auto" w:sz="4" w:space="0"/>
              <w:bottom w:val="single" w:color="auto" w:sz="4" w:space="0"/>
            </w:tcBorders>
            <w:vAlign w:val="center"/>
          </w:tcPr>
          <w:p>
            <w:pPr>
              <w:overflowPunct w:val="0"/>
              <w:ind w:firstLine="420" w:firstLineChars="200"/>
              <w:jc w:val="center"/>
              <w:rPr>
                <w:rFonts w:ascii="Times New Roman" w:hAnsi="Times New Roman" w:eastAsia="宋体"/>
                <w:szCs w:val="21"/>
              </w:rPr>
            </w:pPr>
          </w:p>
        </w:tc>
        <w:tc>
          <w:tcPr>
            <w:tcW w:w="2886" w:type="dxa"/>
            <w:vMerge w:val="continue"/>
            <w:tcBorders>
              <w:top w:val="single" w:color="auto" w:sz="4" w:space="0"/>
              <w:bottom w:val="single" w:color="auto" w:sz="4" w:space="0"/>
              <w:right w:val="single" w:color="auto" w:sz="4" w:space="0"/>
            </w:tcBorders>
            <w:vAlign w:val="center"/>
          </w:tcPr>
          <w:p>
            <w:pPr>
              <w:overflowPunct w:val="0"/>
              <w:ind w:firstLine="420" w:firstLineChars="200"/>
              <w:jc w:val="center"/>
              <w:rPr>
                <w:rFonts w:ascii="Times New Roman" w:hAnsi="Times New Roman"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75" w:type="dxa"/>
            <w:vMerge w:val="continue"/>
            <w:tcBorders>
              <w:left w:val="single" w:color="auto" w:sz="4" w:space="0"/>
            </w:tcBorders>
            <w:vAlign w:val="center"/>
          </w:tcPr>
          <w:p>
            <w:pPr>
              <w:overflowPunct w:val="0"/>
              <w:ind w:firstLine="420" w:firstLineChars="200"/>
              <w:jc w:val="center"/>
              <w:rPr>
                <w:rFonts w:ascii="Times New Roman" w:hAnsi="Times New Roman" w:eastAsia="宋体"/>
                <w:szCs w:val="21"/>
              </w:rPr>
            </w:pPr>
          </w:p>
        </w:tc>
        <w:tc>
          <w:tcPr>
            <w:tcW w:w="1283" w:type="dxa"/>
            <w:vMerge w:val="restart"/>
            <w:tcBorders>
              <w:top w:val="single" w:color="auto" w:sz="4" w:space="0"/>
            </w:tcBorders>
            <w:vAlign w:val="center"/>
          </w:tcPr>
          <w:p>
            <w:pPr>
              <w:overflowPunct w:val="0"/>
              <w:ind w:firstLine="315" w:firstLineChars="150"/>
              <w:rPr>
                <w:rFonts w:ascii="Times New Roman" w:hAnsi="Times New Roman" w:eastAsia="宋体"/>
                <w:szCs w:val="21"/>
              </w:rPr>
            </w:pPr>
            <w:r>
              <w:rPr>
                <w:rFonts w:ascii="Times New Roman" w:hAnsi="Times New Roman" w:eastAsia="宋体"/>
                <w:szCs w:val="21"/>
              </w:rPr>
              <w:t>Leq(A)</w:t>
            </w:r>
          </w:p>
        </w:tc>
        <w:tc>
          <w:tcPr>
            <w:tcW w:w="1277" w:type="dxa"/>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昼间</w:t>
            </w:r>
          </w:p>
        </w:tc>
        <w:tc>
          <w:tcPr>
            <w:tcW w:w="852" w:type="dxa"/>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hint="eastAsia" w:ascii="Times New Roman" w:hAnsi="Times New Roman" w:eastAsia="宋体"/>
                <w:szCs w:val="21"/>
              </w:rPr>
              <w:t>70</w:t>
            </w:r>
          </w:p>
        </w:tc>
        <w:tc>
          <w:tcPr>
            <w:tcW w:w="849" w:type="dxa"/>
            <w:vMerge w:val="restart"/>
            <w:tcBorders>
              <w:top w:val="single" w:color="auto" w:sz="4" w:space="0"/>
            </w:tcBorders>
            <w:vAlign w:val="center"/>
          </w:tcPr>
          <w:p>
            <w:pPr>
              <w:overflowPunct w:val="0"/>
              <w:rPr>
                <w:rFonts w:ascii="Times New Roman" w:hAnsi="Times New Roman" w:eastAsia="宋体"/>
                <w:szCs w:val="21"/>
              </w:rPr>
            </w:pPr>
            <w:r>
              <w:rPr>
                <w:rFonts w:ascii="Times New Roman" w:hAnsi="Times New Roman" w:eastAsia="宋体"/>
                <w:szCs w:val="21"/>
              </w:rPr>
              <w:t>dB(A)</w:t>
            </w:r>
          </w:p>
        </w:tc>
        <w:tc>
          <w:tcPr>
            <w:tcW w:w="2886" w:type="dxa"/>
            <w:vMerge w:val="restart"/>
            <w:tcBorders>
              <w:top w:val="single" w:color="auto" w:sz="4" w:space="0"/>
              <w:right w:val="single" w:color="auto" w:sz="4" w:space="0"/>
            </w:tcBorders>
            <w:vAlign w:val="center"/>
          </w:tcPr>
          <w:p>
            <w:pPr>
              <w:overflowPunct w:val="0"/>
              <w:ind w:firstLine="420" w:firstLineChars="200"/>
              <w:jc w:val="center"/>
              <w:rPr>
                <w:rFonts w:ascii="Times New Roman" w:hAnsi="Times New Roman" w:eastAsia="宋体"/>
                <w:szCs w:val="21"/>
              </w:rPr>
            </w:pPr>
            <w:r>
              <w:rPr>
                <w:rFonts w:ascii="Times New Roman" w:hAnsi="Times New Roman" w:eastAsia="宋体"/>
                <w:szCs w:val="21"/>
              </w:rPr>
              <w:t>《声环境质量标准》（GB3096-2008）</w:t>
            </w:r>
            <w:r>
              <w:rPr>
                <w:rFonts w:hint="eastAsia" w:ascii="Times New Roman" w:hAnsi="Times New Roman" w:eastAsia="宋体"/>
                <w:szCs w:val="21"/>
              </w:rPr>
              <w:t>4a</w:t>
            </w:r>
            <w:r>
              <w:rPr>
                <w:rFonts w:ascii="Times New Roman" w:hAnsi="Times New Roman" w:eastAsia="宋体"/>
                <w:szCs w:val="21"/>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75" w:type="dxa"/>
            <w:vMerge w:val="continue"/>
            <w:tcBorders>
              <w:left w:val="single" w:color="auto" w:sz="4" w:space="0"/>
              <w:bottom w:val="single" w:color="auto" w:sz="4" w:space="0"/>
            </w:tcBorders>
            <w:vAlign w:val="center"/>
          </w:tcPr>
          <w:p>
            <w:pPr>
              <w:overflowPunct w:val="0"/>
              <w:ind w:firstLine="420" w:firstLineChars="200"/>
              <w:jc w:val="center"/>
              <w:rPr>
                <w:rFonts w:ascii="Times New Roman" w:hAnsi="Times New Roman" w:eastAsia="宋体"/>
                <w:szCs w:val="21"/>
              </w:rPr>
            </w:pPr>
          </w:p>
        </w:tc>
        <w:tc>
          <w:tcPr>
            <w:tcW w:w="1283" w:type="dxa"/>
            <w:vMerge w:val="continue"/>
            <w:tcBorders>
              <w:bottom w:val="single" w:color="auto" w:sz="4" w:space="0"/>
            </w:tcBorders>
            <w:vAlign w:val="center"/>
          </w:tcPr>
          <w:p>
            <w:pPr>
              <w:overflowPunct w:val="0"/>
              <w:ind w:firstLine="420" w:firstLineChars="200"/>
              <w:jc w:val="center"/>
              <w:rPr>
                <w:rFonts w:ascii="Times New Roman" w:hAnsi="Times New Roman" w:eastAsia="宋体"/>
                <w:szCs w:val="21"/>
              </w:rPr>
            </w:pPr>
          </w:p>
        </w:tc>
        <w:tc>
          <w:tcPr>
            <w:tcW w:w="1277" w:type="dxa"/>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夜间</w:t>
            </w:r>
          </w:p>
        </w:tc>
        <w:tc>
          <w:tcPr>
            <w:tcW w:w="852" w:type="dxa"/>
            <w:tcBorders>
              <w:top w:val="single" w:color="auto" w:sz="4" w:space="0"/>
              <w:bottom w:val="single" w:color="auto" w:sz="4" w:space="0"/>
            </w:tcBorders>
            <w:vAlign w:val="center"/>
          </w:tcPr>
          <w:p>
            <w:pPr>
              <w:overflowPunct w:val="0"/>
              <w:jc w:val="center"/>
              <w:rPr>
                <w:rFonts w:ascii="Times New Roman" w:hAnsi="Times New Roman" w:eastAsia="宋体"/>
                <w:szCs w:val="21"/>
              </w:rPr>
            </w:pPr>
            <w:r>
              <w:rPr>
                <w:rFonts w:ascii="Times New Roman" w:hAnsi="Times New Roman" w:eastAsia="宋体"/>
                <w:szCs w:val="21"/>
              </w:rPr>
              <w:t>5</w:t>
            </w:r>
            <w:r>
              <w:rPr>
                <w:rFonts w:hint="eastAsia" w:ascii="Times New Roman" w:hAnsi="Times New Roman" w:eastAsia="宋体"/>
                <w:szCs w:val="21"/>
              </w:rPr>
              <w:t>5</w:t>
            </w:r>
          </w:p>
        </w:tc>
        <w:tc>
          <w:tcPr>
            <w:tcW w:w="849" w:type="dxa"/>
            <w:vMerge w:val="continue"/>
            <w:tcBorders>
              <w:bottom w:val="single" w:color="auto" w:sz="4" w:space="0"/>
            </w:tcBorders>
            <w:vAlign w:val="center"/>
          </w:tcPr>
          <w:p>
            <w:pPr>
              <w:overflowPunct w:val="0"/>
              <w:ind w:firstLine="420" w:firstLineChars="200"/>
              <w:jc w:val="center"/>
              <w:rPr>
                <w:rFonts w:ascii="Times New Roman" w:hAnsi="Times New Roman" w:eastAsia="宋体"/>
                <w:szCs w:val="21"/>
              </w:rPr>
            </w:pPr>
          </w:p>
        </w:tc>
        <w:tc>
          <w:tcPr>
            <w:tcW w:w="2886" w:type="dxa"/>
            <w:vMerge w:val="continue"/>
            <w:tcBorders>
              <w:bottom w:val="single" w:color="auto" w:sz="4" w:space="0"/>
              <w:right w:val="single" w:color="auto" w:sz="4" w:space="0"/>
            </w:tcBorders>
            <w:vAlign w:val="center"/>
          </w:tcPr>
          <w:p>
            <w:pPr>
              <w:overflowPunct w:val="0"/>
              <w:ind w:firstLine="420" w:firstLineChars="200"/>
              <w:jc w:val="center"/>
              <w:rPr>
                <w:rFonts w:ascii="Times New Roman" w:hAnsi="Times New Roman" w:eastAsia="宋体"/>
                <w:szCs w:val="21"/>
              </w:rPr>
            </w:pPr>
          </w:p>
        </w:tc>
      </w:tr>
    </w:tbl>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2.10.2污染物排放标准</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1、施工期</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（1）废气</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施工期扬尘执行《施工场地扬尘排放标准》（DB13/2934-2019）表1扬尘排放浓度限值。</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（2）噪声</w:t>
      </w:r>
    </w:p>
    <w:p>
      <w:pPr>
        <w:spacing w:line="360" w:lineRule="auto"/>
        <w:ind w:firstLine="480" w:firstLineChars="200"/>
        <w:rPr>
          <w:rFonts w:hAnsi="宋体"/>
          <w:sz w:val="24"/>
        </w:rPr>
      </w:pPr>
      <w:r>
        <w:rPr>
          <w:rFonts w:hAnsi="宋体"/>
          <w:sz w:val="24"/>
        </w:rPr>
        <w:t>施工期</w:t>
      </w:r>
      <w:r>
        <w:rPr>
          <w:rFonts w:hint="eastAsia" w:hAnsi="宋体"/>
          <w:sz w:val="24"/>
        </w:rPr>
        <w:t>场</w:t>
      </w:r>
      <w:r>
        <w:rPr>
          <w:rFonts w:hAnsi="宋体"/>
          <w:sz w:val="24"/>
        </w:rPr>
        <w:t>界环境噪声排放执行《建筑施工场界环境噪声排放标准》</w:t>
      </w:r>
      <w:r>
        <w:rPr>
          <w:rFonts w:ascii="Times New Roman" w:hAnsi="Times New Roman" w:cs="Times New Roman"/>
          <w:sz w:val="24"/>
        </w:rPr>
        <w:t>（GB12523-2011）</w:t>
      </w:r>
      <w:r>
        <w:rPr>
          <w:rFonts w:hAnsi="宋体"/>
          <w:sz w:val="24"/>
        </w:rPr>
        <w:t>标准限值。</w:t>
      </w:r>
    </w:p>
    <w:p>
      <w:pPr>
        <w:overflowPunct w:val="0"/>
        <w:spacing w:line="360" w:lineRule="auto"/>
        <w:ind w:firstLine="482" w:firstLineChars="200"/>
        <w:jc w:val="center"/>
        <w:rPr>
          <w:rFonts w:ascii="Times New Roman" w:hAnsi="Times New Roman" w:eastAsia="宋体"/>
          <w:b/>
          <w:sz w:val="24"/>
          <w:szCs w:val="24"/>
        </w:rPr>
      </w:pPr>
      <w:r>
        <w:rPr>
          <w:rFonts w:ascii="Times New Roman" w:hAnsi="Times New Roman" w:eastAsia="宋体"/>
          <w:b/>
          <w:sz w:val="24"/>
          <w:szCs w:val="24"/>
        </w:rPr>
        <w:t>表2-</w:t>
      </w:r>
      <w:r>
        <w:rPr>
          <w:rFonts w:hint="eastAsia" w:ascii="Times New Roman" w:hAnsi="Times New Roman" w:eastAsia="宋体"/>
          <w:b/>
          <w:sz w:val="24"/>
          <w:szCs w:val="24"/>
        </w:rPr>
        <w:t>16</w:t>
      </w:r>
      <w:r>
        <w:rPr>
          <w:rFonts w:ascii="Times New Roman" w:hAnsi="Times New Roman" w:eastAsia="宋体"/>
          <w:b/>
          <w:sz w:val="24"/>
          <w:szCs w:val="24"/>
        </w:rPr>
        <w:t xml:space="preserve"> </w:t>
      </w:r>
      <w:r>
        <w:rPr>
          <w:rFonts w:hint="eastAsia" w:ascii="Times New Roman" w:hAnsi="Times New Roman" w:eastAsia="宋体"/>
          <w:b/>
          <w:sz w:val="24"/>
          <w:szCs w:val="24"/>
        </w:rPr>
        <w:t>施工期</w:t>
      </w:r>
      <w:r>
        <w:rPr>
          <w:rFonts w:ascii="Times New Roman" w:hAnsi="Times New Roman" w:eastAsia="宋体"/>
          <w:b/>
          <w:sz w:val="24"/>
          <w:szCs w:val="24"/>
        </w:rPr>
        <w:t>排放标准一览表</w:t>
      </w:r>
    </w:p>
    <w:tbl>
      <w:tblPr>
        <w:tblStyle w:val="27"/>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3"/>
        <w:gridCol w:w="1404"/>
        <w:gridCol w:w="995"/>
        <w:gridCol w:w="849"/>
        <w:gridCol w:w="1133"/>
        <w:gridCol w:w="31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973" w:type="dxa"/>
            <w:shd w:val="clear" w:color="auto" w:fill="auto"/>
            <w:vAlign w:val="center"/>
          </w:tcPr>
          <w:p>
            <w:pPr>
              <w:overflowPunct w:val="0"/>
              <w:jc w:val="center"/>
              <w:rPr>
                <w:rFonts w:ascii="Times New Roman" w:hAnsi="Times New Roman" w:eastAsia="宋体"/>
                <w:szCs w:val="21"/>
              </w:rPr>
            </w:pPr>
            <w:r>
              <w:rPr>
                <w:rFonts w:ascii="Times New Roman" w:hAnsi="Times New Roman" w:eastAsia="宋体"/>
                <w:szCs w:val="21"/>
              </w:rPr>
              <w:t>时段</w:t>
            </w:r>
          </w:p>
        </w:tc>
        <w:tc>
          <w:tcPr>
            <w:tcW w:w="1404" w:type="dxa"/>
            <w:vAlign w:val="center"/>
          </w:tcPr>
          <w:p>
            <w:pPr>
              <w:overflowPunct w:val="0"/>
              <w:jc w:val="center"/>
              <w:rPr>
                <w:rFonts w:ascii="Times New Roman" w:hAnsi="Times New Roman" w:eastAsia="宋体"/>
                <w:szCs w:val="21"/>
              </w:rPr>
            </w:pPr>
            <w:r>
              <w:rPr>
                <w:rFonts w:hint="eastAsia" w:ascii="Times New Roman" w:hAnsi="Times New Roman" w:eastAsia="宋体"/>
                <w:szCs w:val="21"/>
              </w:rPr>
              <w:t>类别</w:t>
            </w:r>
          </w:p>
        </w:tc>
        <w:tc>
          <w:tcPr>
            <w:tcW w:w="1844" w:type="dxa"/>
            <w:gridSpan w:val="2"/>
            <w:shd w:val="clear" w:color="auto" w:fill="auto"/>
            <w:vAlign w:val="center"/>
          </w:tcPr>
          <w:p>
            <w:pPr>
              <w:overflowPunct w:val="0"/>
              <w:jc w:val="center"/>
              <w:rPr>
                <w:rFonts w:ascii="Times New Roman" w:hAnsi="Times New Roman" w:eastAsia="宋体"/>
                <w:szCs w:val="21"/>
              </w:rPr>
            </w:pPr>
            <w:r>
              <w:rPr>
                <w:rFonts w:ascii="Times New Roman" w:hAnsi="Times New Roman" w:eastAsia="宋体"/>
                <w:szCs w:val="21"/>
              </w:rPr>
              <w:t>标准限值</w:t>
            </w:r>
          </w:p>
        </w:tc>
        <w:tc>
          <w:tcPr>
            <w:tcW w:w="1133" w:type="dxa"/>
            <w:shd w:val="clear" w:color="auto" w:fill="auto"/>
            <w:vAlign w:val="center"/>
          </w:tcPr>
          <w:p>
            <w:pPr>
              <w:overflowPunct w:val="0"/>
              <w:jc w:val="center"/>
              <w:rPr>
                <w:rFonts w:ascii="Times New Roman" w:hAnsi="Times New Roman" w:eastAsia="宋体"/>
                <w:szCs w:val="21"/>
              </w:rPr>
            </w:pPr>
            <w:r>
              <w:rPr>
                <w:rFonts w:ascii="Times New Roman" w:hAnsi="Times New Roman" w:eastAsia="宋体"/>
                <w:szCs w:val="21"/>
              </w:rPr>
              <w:t>单位</w:t>
            </w:r>
          </w:p>
        </w:tc>
        <w:tc>
          <w:tcPr>
            <w:tcW w:w="3168" w:type="dxa"/>
            <w:shd w:val="clear" w:color="auto" w:fill="auto"/>
            <w:vAlign w:val="center"/>
          </w:tcPr>
          <w:p>
            <w:pPr>
              <w:overflowPunct w:val="0"/>
              <w:jc w:val="center"/>
              <w:rPr>
                <w:rFonts w:ascii="Times New Roman" w:hAnsi="Times New Roman" w:eastAsia="宋体"/>
                <w:szCs w:val="21"/>
              </w:rPr>
            </w:pPr>
            <w:r>
              <w:rPr>
                <w:rFonts w:ascii="Times New Roman" w:hAnsi="Times New Roman" w:eastAsia="宋体"/>
                <w:szCs w:val="21"/>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973" w:type="dxa"/>
            <w:vMerge w:val="restart"/>
            <w:shd w:val="clear" w:color="auto" w:fill="auto"/>
            <w:vAlign w:val="center"/>
          </w:tcPr>
          <w:p>
            <w:pPr>
              <w:overflowPunct w:val="0"/>
              <w:jc w:val="center"/>
              <w:rPr>
                <w:rFonts w:ascii="Times New Roman" w:hAnsi="Times New Roman" w:eastAsia="宋体"/>
                <w:szCs w:val="21"/>
              </w:rPr>
            </w:pPr>
            <w:r>
              <w:rPr>
                <w:rFonts w:hint="eastAsia" w:ascii="Times New Roman" w:hAnsi="Times New Roman" w:eastAsia="宋体"/>
                <w:szCs w:val="21"/>
              </w:rPr>
              <w:t>施工期</w:t>
            </w:r>
          </w:p>
        </w:tc>
        <w:tc>
          <w:tcPr>
            <w:tcW w:w="1404" w:type="dxa"/>
            <w:vAlign w:val="center"/>
          </w:tcPr>
          <w:p>
            <w:pPr>
              <w:overflowPunct w:val="0"/>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PM</w:t>
            </w:r>
            <w:r>
              <w:rPr>
                <w:rFonts w:hint="eastAsia" w:ascii="Times New Roman" w:hAnsi="Times New Roman" w:eastAsia="宋体"/>
                <w:color w:val="000000" w:themeColor="text1"/>
                <w:szCs w:val="21"/>
                <w:vertAlign w:val="subscript"/>
              </w:rPr>
              <w:t>10</w:t>
            </w:r>
          </w:p>
        </w:tc>
        <w:tc>
          <w:tcPr>
            <w:tcW w:w="1844" w:type="dxa"/>
            <w:gridSpan w:val="2"/>
            <w:shd w:val="clear" w:color="auto" w:fill="auto"/>
            <w:vAlign w:val="center"/>
          </w:tcPr>
          <w:p>
            <w:pPr>
              <w:overflowPunct w:val="0"/>
              <w:jc w:val="center"/>
              <w:rPr>
                <w:rFonts w:ascii="Times New Roman" w:hAnsi="Times New Roman" w:eastAsia="宋体"/>
                <w:szCs w:val="21"/>
              </w:rPr>
            </w:pPr>
            <w:r>
              <w:rPr>
                <w:rFonts w:hint="eastAsia" w:ascii="Times New Roman" w:hAnsi="Times New Roman" w:eastAsia="宋体"/>
                <w:szCs w:val="21"/>
              </w:rPr>
              <w:t>80</w:t>
            </w:r>
          </w:p>
        </w:tc>
        <w:tc>
          <w:tcPr>
            <w:tcW w:w="1133" w:type="dxa"/>
            <w:shd w:val="clear" w:color="auto" w:fill="auto"/>
            <w:vAlign w:val="center"/>
          </w:tcPr>
          <w:p>
            <w:pPr>
              <w:overflowPunct w:val="0"/>
              <w:jc w:val="center"/>
              <w:rPr>
                <w:rFonts w:ascii="Times New Roman" w:hAnsi="Times New Roman" w:eastAsia="宋体" w:cs="Times New Roman"/>
                <w:szCs w:val="21"/>
              </w:rPr>
            </w:pPr>
            <w:r>
              <w:rPr>
                <w:rFonts w:ascii="Times New Roman" w:hAnsi="Times New Roman" w:eastAsia="宋体" w:cs="Times New Roman"/>
                <w:szCs w:val="21"/>
              </w:rPr>
              <w:t>μg/m</w:t>
            </w:r>
            <w:r>
              <w:rPr>
                <w:rFonts w:ascii="Times New Roman" w:hAnsi="Times New Roman" w:eastAsia="宋体" w:cs="Times New Roman"/>
                <w:szCs w:val="21"/>
                <w:vertAlign w:val="superscript"/>
              </w:rPr>
              <w:t>3</w:t>
            </w:r>
          </w:p>
        </w:tc>
        <w:tc>
          <w:tcPr>
            <w:tcW w:w="3168" w:type="dxa"/>
            <w:shd w:val="clear" w:color="auto" w:fill="auto"/>
            <w:vAlign w:val="center"/>
          </w:tcPr>
          <w:p>
            <w:pPr>
              <w:overflowPunct w:val="0"/>
              <w:jc w:val="center"/>
              <w:rPr>
                <w:rFonts w:ascii="Times New Roman" w:hAnsi="Times New Roman" w:eastAsia="宋体"/>
                <w:szCs w:val="21"/>
              </w:rPr>
            </w:pPr>
            <w:r>
              <w:rPr>
                <w:rFonts w:hint="eastAsia" w:ascii="Times New Roman" w:hAnsi="Times New Roman" w:eastAsia="宋体"/>
                <w:szCs w:val="21"/>
              </w:rPr>
              <w:t>《施工场地扬尘排放标准》（DB13/2934-2019）表1标准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973" w:type="dxa"/>
            <w:vMerge w:val="continue"/>
            <w:shd w:val="clear" w:color="auto" w:fill="auto"/>
            <w:vAlign w:val="center"/>
          </w:tcPr>
          <w:p>
            <w:pPr>
              <w:overflowPunct w:val="0"/>
              <w:jc w:val="center"/>
              <w:rPr>
                <w:rFonts w:ascii="Times New Roman" w:hAnsi="Times New Roman" w:eastAsia="宋体"/>
                <w:szCs w:val="21"/>
              </w:rPr>
            </w:pPr>
          </w:p>
        </w:tc>
        <w:tc>
          <w:tcPr>
            <w:tcW w:w="1404" w:type="dxa"/>
            <w:vMerge w:val="restart"/>
            <w:vAlign w:val="center"/>
          </w:tcPr>
          <w:p>
            <w:pPr>
              <w:overflowPunct w:val="0"/>
              <w:jc w:val="center"/>
              <w:rPr>
                <w:rFonts w:ascii="Times New Roman" w:hAnsi="Times New Roman" w:eastAsia="宋体"/>
                <w:szCs w:val="21"/>
              </w:rPr>
            </w:pPr>
            <w:r>
              <w:rPr>
                <w:rFonts w:hint="eastAsia" w:ascii="Times New Roman" w:hAnsi="Times New Roman" w:eastAsia="宋体"/>
                <w:szCs w:val="21"/>
              </w:rPr>
              <w:t>噪声</w:t>
            </w:r>
          </w:p>
        </w:tc>
        <w:tc>
          <w:tcPr>
            <w:tcW w:w="995" w:type="dxa"/>
            <w:shd w:val="clear" w:color="auto" w:fill="auto"/>
            <w:vAlign w:val="center"/>
          </w:tcPr>
          <w:p>
            <w:pPr>
              <w:overflowPunct w:val="0"/>
              <w:jc w:val="center"/>
              <w:rPr>
                <w:rFonts w:ascii="Times New Roman" w:hAnsi="Times New Roman" w:eastAsia="宋体"/>
                <w:szCs w:val="21"/>
              </w:rPr>
            </w:pPr>
            <w:r>
              <w:rPr>
                <w:rFonts w:ascii="Times New Roman" w:hAnsi="Times New Roman" w:eastAsia="宋体"/>
                <w:szCs w:val="21"/>
              </w:rPr>
              <w:t>昼间</w:t>
            </w:r>
          </w:p>
        </w:tc>
        <w:tc>
          <w:tcPr>
            <w:tcW w:w="849" w:type="dxa"/>
            <w:shd w:val="clear" w:color="auto" w:fill="auto"/>
            <w:vAlign w:val="center"/>
          </w:tcPr>
          <w:p>
            <w:pPr>
              <w:overflowPunct w:val="0"/>
              <w:jc w:val="center"/>
              <w:rPr>
                <w:rFonts w:ascii="Times New Roman" w:hAnsi="Times New Roman" w:eastAsia="宋体"/>
                <w:szCs w:val="21"/>
              </w:rPr>
            </w:pPr>
            <w:r>
              <w:rPr>
                <w:rFonts w:hint="eastAsia" w:ascii="Times New Roman" w:hAnsi="Times New Roman" w:eastAsia="宋体"/>
                <w:szCs w:val="21"/>
              </w:rPr>
              <w:t>70</w:t>
            </w:r>
          </w:p>
        </w:tc>
        <w:tc>
          <w:tcPr>
            <w:tcW w:w="1133" w:type="dxa"/>
            <w:vMerge w:val="restart"/>
            <w:shd w:val="clear" w:color="auto" w:fill="auto"/>
            <w:vAlign w:val="center"/>
          </w:tcPr>
          <w:p>
            <w:pPr>
              <w:overflowPunct w:val="0"/>
              <w:jc w:val="center"/>
              <w:rPr>
                <w:rFonts w:ascii="Times New Roman" w:hAnsi="Times New Roman" w:eastAsia="宋体"/>
                <w:szCs w:val="21"/>
              </w:rPr>
            </w:pPr>
            <w:r>
              <w:rPr>
                <w:rFonts w:ascii="Times New Roman" w:hAnsi="Times New Roman" w:eastAsia="宋体"/>
                <w:szCs w:val="21"/>
              </w:rPr>
              <w:t>dB（A）</w:t>
            </w:r>
          </w:p>
        </w:tc>
        <w:tc>
          <w:tcPr>
            <w:tcW w:w="3168" w:type="dxa"/>
            <w:vMerge w:val="restart"/>
            <w:shd w:val="clear" w:color="auto" w:fill="auto"/>
            <w:vAlign w:val="center"/>
          </w:tcPr>
          <w:p>
            <w:pPr>
              <w:overflowPunct w:val="0"/>
              <w:jc w:val="center"/>
              <w:rPr>
                <w:rFonts w:ascii="Times New Roman" w:hAnsi="Times New Roman" w:eastAsia="宋体"/>
                <w:szCs w:val="21"/>
              </w:rPr>
            </w:pPr>
            <w:r>
              <w:rPr>
                <w:rFonts w:hint="eastAsia" w:ascii="Times New Roman" w:hAnsi="Times New Roman" w:eastAsia="宋体"/>
                <w:szCs w:val="21"/>
              </w:rPr>
              <w:t>《建筑施工场界环境噪声排放标准》（GB12523-2011）标准限值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973" w:type="dxa"/>
            <w:vMerge w:val="continue"/>
            <w:shd w:val="clear" w:color="auto" w:fill="auto"/>
            <w:vAlign w:val="center"/>
          </w:tcPr>
          <w:p>
            <w:pPr>
              <w:overflowPunct w:val="0"/>
              <w:jc w:val="center"/>
              <w:rPr>
                <w:rFonts w:ascii="Times New Roman" w:hAnsi="Times New Roman" w:eastAsia="宋体"/>
                <w:szCs w:val="21"/>
              </w:rPr>
            </w:pPr>
          </w:p>
        </w:tc>
        <w:tc>
          <w:tcPr>
            <w:tcW w:w="1404" w:type="dxa"/>
            <w:vMerge w:val="continue"/>
            <w:vAlign w:val="center"/>
          </w:tcPr>
          <w:p>
            <w:pPr>
              <w:overflowPunct w:val="0"/>
              <w:jc w:val="center"/>
              <w:rPr>
                <w:rFonts w:ascii="Times New Roman" w:hAnsi="Times New Roman" w:eastAsia="宋体"/>
                <w:szCs w:val="21"/>
              </w:rPr>
            </w:pPr>
          </w:p>
        </w:tc>
        <w:tc>
          <w:tcPr>
            <w:tcW w:w="995" w:type="dxa"/>
            <w:shd w:val="clear" w:color="auto" w:fill="auto"/>
            <w:vAlign w:val="center"/>
          </w:tcPr>
          <w:p>
            <w:pPr>
              <w:overflowPunct w:val="0"/>
              <w:jc w:val="center"/>
              <w:rPr>
                <w:rFonts w:ascii="Times New Roman" w:hAnsi="Times New Roman" w:eastAsia="宋体"/>
                <w:szCs w:val="21"/>
              </w:rPr>
            </w:pPr>
            <w:r>
              <w:rPr>
                <w:rFonts w:ascii="Times New Roman" w:hAnsi="Times New Roman" w:eastAsia="宋体"/>
                <w:szCs w:val="21"/>
              </w:rPr>
              <w:t>夜间</w:t>
            </w:r>
          </w:p>
        </w:tc>
        <w:tc>
          <w:tcPr>
            <w:tcW w:w="849" w:type="dxa"/>
            <w:shd w:val="clear" w:color="auto" w:fill="auto"/>
            <w:vAlign w:val="center"/>
          </w:tcPr>
          <w:p>
            <w:pPr>
              <w:overflowPunct w:val="0"/>
              <w:jc w:val="center"/>
              <w:rPr>
                <w:rFonts w:ascii="Times New Roman" w:hAnsi="Times New Roman" w:eastAsia="宋体"/>
                <w:szCs w:val="21"/>
              </w:rPr>
            </w:pPr>
            <w:r>
              <w:rPr>
                <w:rFonts w:ascii="Times New Roman" w:hAnsi="Times New Roman" w:eastAsia="宋体"/>
                <w:szCs w:val="21"/>
              </w:rPr>
              <w:t>5</w:t>
            </w:r>
            <w:r>
              <w:rPr>
                <w:rFonts w:hint="eastAsia" w:ascii="Times New Roman" w:hAnsi="Times New Roman" w:eastAsia="宋体"/>
                <w:szCs w:val="21"/>
              </w:rPr>
              <w:t>5</w:t>
            </w:r>
          </w:p>
        </w:tc>
        <w:tc>
          <w:tcPr>
            <w:tcW w:w="1133" w:type="dxa"/>
            <w:vMerge w:val="continue"/>
            <w:shd w:val="clear" w:color="auto" w:fill="auto"/>
            <w:vAlign w:val="center"/>
          </w:tcPr>
          <w:p>
            <w:pPr>
              <w:overflowPunct w:val="0"/>
              <w:jc w:val="center"/>
              <w:rPr>
                <w:rFonts w:ascii="Times New Roman" w:hAnsi="Times New Roman" w:eastAsia="宋体"/>
                <w:szCs w:val="21"/>
              </w:rPr>
            </w:pPr>
          </w:p>
        </w:tc>
        <w:tc>
          <w:tcPr>
            <w:tcW w:w="3168" w:type="dxa"/>
            <w:vMerge w:val="continue"/>
            <w:shd w:val="clear" w:color="auto" w:fill="auto"/>
            <w:vAlign w:val="center"/>
          </w:tcPr>
          <w:p>
            <w:pPr>
              <w:overflowPunct w:val="0"/>
              <w:jc w:val="center"/>
              <w:rPr>
                <w:rFonts w:ascii="Times New Roman" w:hAnsi="Times New Roman" w:eastAsia="宋体"/>
                <w:szCs w:val="21"/>
              </w:rPr>
            </w:pPr>
          </w:p>
        </w:tc>
      </w:tr>
    </w:tbl>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2、营运期</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（1）废气</w:t>
      </w:r>
    </w:p>
    <w:p>
      <w:pPr>
        <w:overflowPunct w:val="0"/>
        <w:spacing w:line="360" w:lineRule="auto"/>
        <w:ind w:firstLine="480" w:firstLineChars="200"/>
        <w:rPr>
          <w:rFonts w:ascii="Times New Roman" w:cs="Times New Roman"/>
          <w:color w:val="000000" w:themeColor="text1"/>
          <w:sz w:val="24"/>
          <w:szCs w:val="24"/>
        </w:rPr>
      </w:pPr>
      <w:r>
        <w:rPr>
          <w:rFonts w:hint="eastAsia" w:ascii="Times New Roman" w:hAnsi="Times New Roman" w:cs="Times New Roman"/>
          <w:sz w:val="24"/>
          <w:szCs w:val="24"/>
        </w:rPr>
        <w:t>污水处理站臭气浓度、氨、硫化氢有组织排放执行《恶臭污染物排放标准》（GB14554-93）表2标准；</w:t>
      </w:r>
      <w:r>
        <w:rPr>
          <w:rFonts w:hint="eastAsia" w:ascii="Times New Roman" w:hAnsi="Times New Roman" w:cs="Times New Roman"/>
          <w:color w:val="000000" w:themeColor="text1"/>
          <w:sz w:val="24"/>
          <w:szCs w:val="24"/>
        </w:rPr>
        <w:t>无组织排放执行</w:t>
      </w:r>
      <w:r>
        <w:rPr>
          <w:rFonts w:hint="eastAsia" w:ascii="Times New Roman" w:cs="Times New Roman"/>
          <w:color w:val="000000" w:themeColor="text1"/>
          <w:sz w:val="24"/>
          <w:szCs w:val="24"/>
        </w:rPr>
        <w:t>《医疗机构水污染物排放标准》（GB18466-2005）表3污水处理站周边大气污染物最高允许浓度。</w:t>
      </w:r>
    </w:p>
    <w:p>
      <w:pPr>
        <w:overflowPunct w:val="0"/>
        <w:spacing w:line="360" w:lineRule="auto"/>
        <w:ind w:firstLine="480" w:firstLineChars="200"/>
        <w:rPr>
          <w:rFonts w:ascii="Times New Roman" w:hAnsi="Times New Roman" w:cs="Times New Roman"/>
          <w:color w:val="000000" w:themeColor="text1"/>
          <w:sz w:val="24"/>
          <w:szCs w:val="24"/>
        </w:rPr>
      </w:pPr>
      <w:r>
        <w:rPr>
          <w:rFonts w:hint="eastAsia" w:ascii="Times New Roman" w:cs="Times New Roman"/>
          <w:color w:val="000000" w:themeColor="text1"/>
          <w:sz w:val="24"/>
          <w:szCs w:val="24"/>
        </w:rPr>
        <w:t>煎药室恶臭气体排放执行《医疗机构水污染物排放标准》（GB18466-2005）表3标准。</w:t>
      </w:r>
    </w:p>
    <w:p>
      <w:pPr>
        <w:overflowPunct w:val="0"/>
        <w:spacing w:line="360" w:lineRule="auto"/>
        <w:ind w:firstLine="480" w:firstLineChars="200"/>
        <w:rPr>
          <w:rFonts w:ascii="Times New Roman" w:hAnsi="Times New Roman" w:eastAsia="宋体"/>
          <w:b/>
          <w:color w:val="000000" w:themeColor="text1"/>
          <w:sz w:val="24"/>
          <w:szCs w:val="24"/>
        </w:rPr>
      </w:pPr>
      <w:r>
        <w:rPr>
          <w:rFonts w:hint="eastAsia" w:ascii="Times New Roman" w:hAnsi="Times New Roman" w:cs="Times New Roman"/>
          <w:color w:val="000000" w:themeColor="text1"/>
          <w:sz w:val="24"/>
          <w:szCs w:val="24"/>
        </w:rPr>
        <w:t>食堂油烟执行《饮食业油烟排放标准（试行）》（GB18483-2001）大型标准。</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（2）废水</w:t>
      </w:r>
    </w:p>
    <w:p>
      <w:pPr>
        <w:spacing w:line="360" w:lineRule="auto"/>
        <w:ind w:firstLine="480" w:firstLineChars="200"/>
        <w:rPr>
          <w:rFonts w:ascii="Times New Roman" w:cs="Times New Roman"/>
          <w:color w:val="000000" w:themeColor="text1"/>
          <w:sz w:val="24"/>
          <w:szCs w:val="24"/>
        </w:rPr>
      </w:pPr>
      <w:r>
        <w:rPr>
          <w:rFonts w:ascii="Times New Roman" w:cs="Times New Roman"/>
          <w:color w:val="000000" w:themeColor="text1"/>
          <w:sz w:val="24"/>
          <w:szCs w:val="24"/>
        </w:rPr>
        <w:t>废水排放执行</w:t>
      </w:r>
      <w:r>
        <w:rPr>
          <w:rFonts w:hint="eastAsia" w:ascii="Times New Roman" w:cs="Times New Roman"/>
          <w:color w:val="000000" w:themeColor="text1"/>
          <w:sz w:val="24"/>
          <w:szCs w:val="24"/>
        </w:rPr>
        <w:t>《医疗机构水污染物排放标准》（GB18466-2005）表2中预处理标准，同时满足</w:t>
      </w:r>
      <w:r>
        <w:rPr>
          <w:rFonts w:ascii="Times New Roman" w:cs="Times New Roman"/>
          <w:color w:val="000000" w:themeColor="text1"/>
          <w:sz w:val="24"/>
          <w:szCs w:val="24"/>
        </w:rPr>
        <w:t>保定市</w:t>
      </w:r>
      <w:r>
        <w:rPr>
          <w:rFonts w:hint="eastAsia" w:ascii="Times New Roman" w:cs="Times New Roman"/>
          <w:color w:val="000000" w:themeColor="text1"/>
          <w:sz w:val="24"/>
          <w:szCs w:val="24"/>
        </w:rPr>
        <w:t>银定庄</w:t>
      </w:r>
      <w:r>
        <w:rPr>
          <w:rFonts w:ascii="Times New Roman" w:cs="Times New Roman"/>
          <w:color w:val="000000" w:themeColor="text1"/>
          <w:sz w:val="24"/>
          <w:szCs w:val="24"/>
        </w:rPr>
        <w:t>污水处理厂进水水质要求</w:t>
      </w:r>
      <w:r>
        <w:rPr>
          <w:rFonts w:ascii="Times New Roman" w:cs="Times New Roman"/>
          <w:color w:val="000000" w:themeColor="text1"/>
          <w:sz w:val="24"/>
        </w:rPr>
        <w:t>。</w:t>
      </w:r>
    </w:p>
    <w:p>
      <w:pPr>
        <w:spacing w:line="360" w:lineRule="auto"/>
        <w:ind w:firstLine="480" w:firstLineChars="200"/>
        <w:rPr>
          <w:rFonts w:ascii="Times New Roman" w:cs="Times New Roman"/>
          <w:color w:val="000000" w:themeColor="text1"/>
          <w:sz w:val="24"/>
        </w:rPr>
      </w:pPr>
      <w:r>
        <w:rPr>
          <w:rFonts w:hint="eastAsia" w:ascii="Times New Roman" w:cs="Times New Roman"/>
          <w:color w:val="000000" w:themeColor="text1"/>
          <w:sz w:val="24"/>
        </w:rPr>
        <w:t>（3）噪声</w:t>
      </w:r>
    </w:p>
    <w:p>
      <w:pPr>
        <w:spacing w:line="360" w:lineRule="auto"/>
        <w:ind w:firstLine="480" w:firstLineChars="200"/>
        <w:rPr>
          <w:rFonts w:ascii="Times New Roman" w:cs="Times New Roman"/>
          <w:color w:val="000000" w:themeColor="text1"/>
          <w:sz w:val="24"/>
        </w:rPr>
      </w:pPr>
      <w:r>
        <w:rPr>
          <w:rFonts w:hint="eastAsia" w:ascii="Times New Roman" w:cs="Times New Roman"/>
          <w:color w:val="000000" w:themeColor="text1"/>
          <w:sz w:val="24"/>
        </w:rPr>
        <w:t>临华电路一侧</w:t>
      </w:r>
      <w:r>
        <w:rPr>
          <w:rFonts w:ascii="Times New Roman" w:cs="Times New Roman"/>
          <w:color w:val="000000" w:themeColor="text1"/>
          <w:sz w:val="24"/>
        </w:rPr>
        <w:t>厂界噪声执行《工业企业厂界环境噪声排放标准》（GB12348-2008）</w:t>
      </w:r>
      <w:r>
        <w:rPr>
          <w:rFonts w:hint="eastAsia" w:ascii="Times New Roman" w:cs="Times New Roman"/>
          <w:color w:val="000000" w:themeColor="text1"/>
          <w:sz w:val="24"/>
        </w:rPr>
        <w:t>4</w:t>
      </w:r>
      <w:r>
        <w:rPr>
          <w:rFonts w:ascii="Times New Roman" w:cs="Times New Roman"/>
          <w:color w:val="000000" w:themeColor="text1"/>
          <w:sz w:val="24"/>
        </w:rPr>
        <w:t>类功能区标准</w:t>
      </w:r>
      <w:r>
        <w:rPr>
          <w:rFonts w:hint="eastAsia" w:ascii="Times New Roman" w:cs="Times New Roman"/>
          <w:color w:val="000000" w:themeColor="text1"/>
          <w:sz w:val="24"/>
        </w:rPr>
        <w:t>；其他厂界噪声执行</w:t>
      </w:r>
      <w:r>
        <w:rPr>
          <w:rFonts w:ascii="Times New Roman" w:cs="Times New Roman"/>
          <w:color w:val="000000" w:themeColor="text1"/>
          <w:sz w:val="24"/>
        </w:rPr>
        <w:t>《工业企业厂界环境噪声排放标准》（GB12348-2008）</w:t>
      </w:r>
      <w:r>
        <w:rPr>
          <w:rFonts w:hint="eastAsia" w:ascii="Times New Roman" w:cs="Times New Roman"/>
          <w:color w:val="000000" w:themeColor="text1"/>
          <w:sz w:val="24"/>
        </w:rPr>
        <w:t>1</w:t>
      </w:r>
      <w:r>
        <w:rPr>
          <w:rFonts w:ascii="Times New Roman" w:cs="Times New Roman"/>
          <w:color w:val="000000" w:themeColor="text1"/>
          <w:sz w:val="24"/>
        </w:rPr>
        <w:t>类功能区标准。</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各污染物排放</w:t>
      </w:r>
      <w:r>
        <w:rPr>
          <w:rFonts w:hint="eastAsia" w:ascii="Times New Roman" w:hAnsi="Times New Roman" w:cs="Times New Roman"/>
          <w:color w:val="000000" w:themeColor="text1"/>
          <w:sz w:val="24"/>
          <w:szCs w:val="24"/>
        </w:rPr>
        <w:t>标准限值</w:t>
      </w:r>
      <w:r>
        <w:rPr>
          <w:rFonts w:ascii="Times New Roman" w:hAnsi="Times New Roman" w:cs="Times New Roman"/>
          <w:color w:val="000000" w:themeColor="text1"/>
          <w:sz w:val="24"/>
          <w:szCs w:val="24"/>
        </w:rPr>
        <w:t>见表</w:t>
      </w:r>
      <w:r>
        <w:rPr>
          <w:rFonts w:hint="eastAsia" w:ascii="Times New Roman" w:hAnsi="Times New Roman" w:cs="Times New Roman"/>
          <w:color w:val="000000" w:themeColor="text1"/>
          <w:sz w:val="24"/>
          <w:szCs w:val="24"/>
        </w:rPr>
        <w:t>2-17</w:t>
      </w:r>
      <w:r>
        <w:rPr>
          <w:rFonts w:ascii="Times New Roman" w:hAnsi="Times New Roman" w:cs="Times New Roman"/>
          <w:color w:val="000000" w:themeColor="text1"/>
          <w:sz w:val="24"/>
          <w:szCs w:val="24"/>
        </w:rPr>
        <w:t>。</w:t>
      </w:r>
    </w:p>
    <w:p>
      <w:pPr>
        <w:overflowPunct w:val="0"/>
        <w:spacing w:line="360" w:lineRule="auto"/>
        <w:rPr>
          <w:rFonts w:ascii="Times New Roman" w:hAnsi="Times New Roman" w:eastAsia="宋体"/>
          <w:b/>
          <w:sz w:val="24"/>
          <w:szCs w:val="24"/>
        </w:rPr>
      </w:pPr>
    </w:p>
    <w:p>
      <w:pPr>
        <w:overflowPunct w:val="0"/>
        <w:spacing w:line="360" w:lineRule="auto"/>
        <w:ind w:firstLine="482" w:firstLineChars="200"/>
        <w:jc w:val="center"/>
        <w:rPr>
          <w:rFonts w:ascii="Times New Roman" w:hAnsi="Times New Roman" w:eastAsia="宋体"/>
          <w:b/>
          <w:sz w:val="24"/>
          <w:szCs w:val="24"/>
        </w:rPr>
      </w:pPr>
      <w:r>
        <w:rPr>
          <w:rFonts w:ascii="Times New Roman" w:hAnsi="Times New Roman" w:eastAsia="宋体"/>
          <w:b/>
          <w:sz w:val="24"/>
          <w:szCs w:val="24"/>
        </w:rPr>
        <w:t>表2-</w:t>
      </w:r>
      <w:r>
        <w:rPr>
          <w:rFonts w:hint="eastAsia" w:ascii="Times New Roman" w:hAnsi="Times New Roman" w:eastAsia="宋体"/>
          <w:b/>
          <w:sz w:val="24"/>
          <w:szCs w:val="24"/>
        </w:rPr>
        <w:t>17</w:t>
      </w:r>
      <w:r>
        <w:rPr>
          <w:rFonts w:ascii="Times New Roman" w:hAnsi="Times New Roman" w:eastAsia="宋体"/>
          <w:b/>
          <w:sz w:val="24"/>
          <w:szCs w:val="24"/>
        </w:rPr>
        <w:t xml:space="preserve"> 污染物排放标准一览表</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
        <w:gridCol w:w="943"/>
        <w:gridCol w:w="1275"/>
        <w:gridCol w:w="568"/>
        <w:gridCol w:w="989"/>
        <w:gridCol w:w="1561"/>
        <w:gridCol w:w="2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类别</w:t>
            </w:r>
          </w:p>
        </w:tc>
        <w:tc>
          <w:tcPr>
            <w:tcW w:w="943" w:type="dxa"/>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时段</w:t>
            </w:r>
          </w:p>
        </w:tc>
        <w:tc>
          <w:tcPr>
            <w:tcW w:w="1843" w:type="dxa"/>
            <w:gridSpan w:val="2"/>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评价因子</w:t>
            </w:r>
          </w:p>
        </w:tc>
        <w:tc>
          <w:tcPr>
            <w:tcW w:w="2550" w:type="dxa"/>
            <w:gridSpan w:val="2"/>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标准值</w:t>
            </w:r>
          </w:p>
        </w:tc>
        <w:tc>
          <w:tcPr>
            <w:tcW w:w="2744" w:type="dxa"/>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restart"/>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废气</w:t>
            </w:r>
          </w:p>
        </w:tc>
        <w:tc>
          <w:tcPr>
            <w:tcW w:w="943" w:type="dxa"/>
            <w:vMerge w:val="restart"/>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营运期</w:t>
            </w:r>
          </w:p>
        </w:tc>
        <w:tc>
          <w:tcPr>
            <w:tcW w:w="1275" w:type="dxa"/>
            <w:vAlign w:val="center"/>
          </w:tcPr>
          <w:p>
            <w:pPr>
              <w:spacing w:beforeLines="20" w:afterLines="20"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臭气浓度</w:t>
            </w:r>
          </w:p>
        </w:tc>
        <w:tc>
          <w:tcPr>
            <w:tcW w:w="568" w:type="dxa"/>
            <w:vMerge w:val="restart"/>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有组织</w:t>
            </w:r>
          </w:p>
        </w:tc>
        <w:tc>
          <w:tcPr>
            <w:tcW w:w="2550" w:type="dxa"/>
            <w:gridSpan w:val="2"/>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2000</w:t>
            </w:r>
            <w:r>
              <w:rPr>
                <w:rFonts w:hint="eastAsia" w:ascii="Times New Roman" w:hAnsi="Times New Roman" w:eastAsia="宋体" w:cs="Times New Roman"/>
                <w:szCs w:val="21"/>
              </w:rPr>
              <w:t>（无量纲）</w:t>
            </w:r>
          </w:p>
        </w:tc>
        <w:tc>
          <w:tcPr>
            <w:tcW w:w="2744" w:type="dxa"/>
            <w:vMerge w:val="restart"/>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《恶臭污染物排放标准》（</w:t>
            </w:r>
            <w:r>
              <w:rPr>
                <w:rFonts w:ascii="Times New Roman" w:hAnsi="Times New Roman" w:eastAsia="宋体" w:cs="Times New Roman"/>
                <w:szCs w:val="21"/>
              </w:rPr>
              <w:t>GB14554-93</w:t>
            </w:r>
            <w:r>
              <w:rPr>
                <w:rFonts w:hint="eastAsia" w:ascii="Times New Roman" w:hAnsi="Times New Roman" w:eastAsia="宋体" w:cs="Times New Roman"/>
                <w:szCs w:val="21"/>
              </w:rPr>
              <w:t>）表</w:t>
            </w:r>
            <w:r>
              <w:rPr>
                <w:rFonts w:ascii="Times New Roman" w:hAnsi="Times New Roman" w:eastAsia="宋体" w:cs="Times New Roman"/>
                <w:szCs w:val="21"/>
              </w:rPr>
              <w:t>2</w:t>
            </w:r>
            <w:r>
              <w:rPr>
                <w:rFonts w:hint="eastAsia" w:ascii="Times New Roman" w:hAnsi="Times New Roman" w:eastAsia="宋体" w:cs="Times New Roman"/>
                <w:szCs w:val="21"/>
              </w:rPr>
              <w:t>污染物排放标准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continue"/>
            <w:vAlign w:val="center"/>
          </w:tcPr>
          <w:p>
            <w:pPr>
              <w:spacing w:line="300" w:lineRule="exact"/>
              <w:jc w:val="center"/>
              <w:rPr>
                <w:rFonts w:ascii="Times New Roman" w:hAnsi="Times New Roman" w:eastAsia="宋体" w:cs="Times New Roman"/>
                <w:szCs w:val="21"/>
              </w:rPr>
            </w:pPr>
          </w:p>
        </w:tc>
        <w:tc>
          <w:tcPr>
            <w:tcW w:w="943" w:type="dxa"/>
            <w:vMerge w:val="continue"/>
            <w:vAlign w:val="center"/>
          </w:tcPr>
          <w:p>
            <w:pPr>
              <w:spacing w:line="300" w:lineRule="exact"/>
              <w:jc w:val="center"/>
              <w:rPr>
                <w:rFonts w:ascii="Times New Roman" w:hAnsi="Times New Roman" w:eastAsia="宋体" w:cs="Times New Roman"/>
                <w:szCs w:val="21"/>
              </w:rPr>
            </w:pPr>
          </w:p>
        </w:tc>
        <w:tc>
          <w:tcPr>
            <w:tcW w:w="1275" w:type="dxa"/>
            <w:vAlign w:val="center"/>
          </w:tcPr>
          <w:p>
            <w:pPr>
              <w:spacing w:beforeLines="20" w:afterLines="20"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氨</w:t>
            </w:r>
          </w:p>
        </w:tc>
        <w:tc>
          <w:tcPr>
            <w:tcW w:w="568" w:type="dxa"/>
            <w:vMerge w:val="continue"/>
            <w:vAlign w:val="center"/>
          </w:tcPr>
          <w:p>
            <w:pPr>
              <w:spacing w:line="300" w:lineRule="exact"/>
              <w:jc w:val="center"/>
              <w:rPr>
                <w:rFonts w:ascii="Times New Roman" w:hAnsi="Times New Roman" w:eastAsia="宋体" w:cs="Times New Roman"/>
                <w:szCs w:val="21"/>
              </w:rPr>
            </w:pPr>
          </w:p>
        </w:tc>
        <w:tc>
          <w:tcPr>
            <w:tcW w:w="989" w:type="dxa"/>
            <w:vAlign w:val="center"/>
          </w:tcPr>
          <w:p>
            <w:pPr>
              <w:autoSpaceDE w:val="0"/>
              <w:autoSpaceDN w:val="0"/>
              <w:adjustRightInd w:val="0"/>
              <w:spacing w:line="300" w:lineRule="exact"/>
              <w:jc w:val="center"/>
              <w:rPr>
                <w:rFonts w:ascii="Times New Roman" w:hAnsi="Times New Roman" w:eastAsia="宋体" w:cs="Times New Roman"/>
                <w:szCs w:val="21"/>
              </w:rPr>
            </w:pPr>
            <w:r>
              <w:rPr>
                <w:rFonts w:ascii="Times New Roman" w:hAnsi="Times New Roman" w:eastAsia="宋体" w:cs="Times New Roman"/>
                <w:szCs w:val="21"/>
              </w:rPr>
              <w:t>4.9kg/h</w:t>
            </w:r>
          </w:p>
        </w:tc>
        <w:tc>
          <w:tcPr>
            <w:tcW w:w="1561" w:type="dxa"/>
            <w:vMerge w:val="restart"/>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排气筒高度为</w:t>
            </w:r>
            <w:r>
              <w:rPr>
                <w:rFonts w:ascii="Times New Roman" w:hAnsi="Times New Roman" w:eastAsia="宋体" w:cs="Times New Roman"/>
                <w:szCs w:val="21"/>
              </w:rPr>
              <w:t>15m</w:t>
            </w:r>
            <w:r>
              <w:rPr>
                <w:rFonts w:hint="eastAsia" w:ascii="Times New Roman" w:hAnsi="Times New Roman" w:eastAsia="宋体" w:cs="Times New Roman"/>
                <w:szCs w:val="21"/>
              </w:rPr>
              <w:t>时</w:t>
            </w:r>
          </w:p>
        </w:tc>
        <w:tc>
          <w:tcPr>
            <w:tcW w:w="2744" w:type="dxa"/>
            <w:vMerge w:val="continue"/>
            <w:vAlign w:val="center"/>
          </w:tcPr>
          <w:p>
            <w:pPr>
              <w:spacing w:line="3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continue"/>
            <w:vAlign w:val="center"/>
          </w:tcPr>
          <w:p>
            <w:pPr>
              <w:spacing w:line="300" w:lineRule="exact"/>
              <w:jc w:val="center"/>
              <w:rPr>
                <w:rFonts w:ascii="Times New Roman" w:hAnsi="Times New Roman" w:eastAsia="宋体" w:cs="Times New Roman"/>
                <w:szCs w:val="21"/>
              </w:rPr>
            </w:pPr>
          </w:p>
        </w:tc>
        <w:tc>
          <w:tcPr>
            <w:tcW w:w="943" w:type="dxa"/>
            <w:vMerge w:val="continue"/>
            <w:vAlign w:val="center"/>
          </w:tcPr>
          <w:p>
            <w:pPr>
              <w:spacing w:line="300" w:lineRule="exact"/>
              <w:jc w:val="center"/>
              <w:rPr>
                <w:rFonts w:ascii="Times New Roman" w:hAnsi="Times New Roman" w:eastAsia="宋体" w:cs="Times New Roman"/>
                <w:szCs w:val="21"/>
              </w:rPr>
            </w:pPr>
          </w:p>
        </w:tc>
        <w:tc>
          <w:tcPr>
            <w:tcW w:w="1275" w:type="dxa"/>
            <w:vAlign w:val="center"/>
          </w:tcPr>
          <w:p>
            <w:pPr>
              <w:spacing w:beforeLines="20" w:afterLines="20"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硫化氢</w:t>
            </w:r>
          </w:p>
        </w:tc>
        <w:tc>
          <w:tcPr>
            <w:tcW w:w="568" w:type="dxa"/>
            <w:vMerge w:val="continue"/>
            <w:vAlign w:val="center"/>
          </w:tcPr>
          <w:p>
            <w:pPr>
              <w:spacing w:line="300" w:lineRule="exact"/>
              <w:jc w:val="center"/>
              <w:rPr>
                <w:rFonts w:ascii="Times New Roman" w:hAnsi="Times New Roman" w:eastAsia="宋体" w:cs="Times New Roman"/>
                <w:szCs w:val="21"/>
              </w:rPr>
            </w:pPr>
          </w:p>
        </w:tc>
        <w:tc>
          <w:tcPr>
            <w:tcW w:w="989" w:type="dxa"/>
            <w:vAlign w:val="center"/>
          </w:tcPr>
          <w:p>
            <w:pPr>
              <w:autoSpaceDE w:val="0"/>
              <w:autoSpaceDN w:val="0"/>
              <w:adjustRightInd w:val="0"/>
              <w:spacing w:line="300" w:lineRule="exact"/>
              <w:jc w:val="center"/>
              <w:rPr>
                <w:rFonts w:ascii="Times New Roman" w:hAnsi="Times New Roman" w:eastAsia="宋体" w:cs="Times New Roman"/>
                <w:szCs w:val="21"/>
              </w:rPr>
            </w:pPr>
            <w:r>
              <w:rPr>
                <w:rFonts w:ascii="Times New Roman" w:hAnsi="Times New Roman" w:eastAsia="宋体" w:cs="Times New Roman"/>
                <w:szCs w:val="21"/>
              </w:rPr>
              <w:t>0.33kg/h</w:t>
            </w:r>
          </w:p>
        </w:tc>
        <w:tc>
          <w:tcPr>
            <w:tcW w:w="1561" w:type="dxa"/>
            <w:vMerge w:val="continue"/>
            <w:vAlign w:val="center"/>
          </w:tcPr>
          <w:p>
            <w:pPr>
              <w:spacing w:line="300" w:lineRule="exact"/>
              <w:jc w:val="center"/>
              <w:rPr>
                <w:rFonts w:ascii="Times New Roman" w:hAnsi="Times New Roman" w:eastAsia="宋体" w:cs="Times New Roman"/>
                <w:szCs w:val="21"/>
              </w:rPr>
            </w:pPr>
          </w:p>
        </w:tc>
        <w:tc>
          <w:tcPr>
            <w:tcW w:w="2744" w:type="dxa"/>
            <w:vMerge w:val="continue"/>
            <w:vAlign w:val="center"/>
          </w:tcPr>
          <w:p>
            <w:pPr>
              <w:spacing w:line="3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continue"/>
            <w:vAlign w:val="center"/>
          </w:tcPr>
          <w:p>
            <w:pPr>
              <w:spacing w:line="300" w:lineRule="exact"/>
              <w:jc w:val="center"/>
              <w:rPr>
                <w:rFonts w:ascii="Times New Roman" w:hAnsi="Times New Roman" w:eastAsia="宋体" w:cs="Times New Roman"/>
                <w:szCs w:val="21"/>
              </w:rPr>
            </w:pPr>
          </w:p>
        </w:tc>
        <w:tc>
          <w:tcPr>
            <w:tcW w:w="943" w:type="dxa"/>
            <w:vMerge w:val="continue"/>
            <w:vAlign w:val="center"/>
          </w:tcPr>
          <w:p>
            <w:pPr>
              <w:spacing w:line="300" w:lineRule="exact"/>
              <w:jc w:val="center"/>
              <w:rPr>
                <w:rFonts w:ascii="Times New Roman" w:hAnsi="Times New Roman" w:eastAsia="宋体" w:cs="Times New Roman"/>
                <w:szCs w:val="21"/>
              </w:rPr>
            </w:pPr>
          </w:p>
        </w:tc>
        <w:tc>
          <w:tcPr>
            <w:tcW w:w="1275" w:type="dxa"/>
            <w:vAlign w:val="center"/>
          </w:tcPr>
          <w:p>
            <w:pPr>
              <w:spacing w:beforeLines="20" w:afterLines="20" w:line="30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臭气浓度</w:t>
            </w:r>
          </w:p>
        </w:tc>
        <w:tc>
          <w:tcPr>
            <w:tcW w:w="568" w:type="dxa"/>
            <w:vMerge w:val="restart"/>
            <w:vAlign w:val="center"/>
          </w:tcPr>
          <w:p>
            <w:pPr>
              <w:spacing w:line="30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无组织</w:t>
            </w:r>
          </w:p>
        </w:tc>
        <w:tc>
          <w:tcPr>
            <w:tcW w:w="2550" w:type="dxa"/>
            <w:gridSpan w:val="2"/>
            <w:vAlign w:val="center"/>
          </w:tcPr>
          <w:p>
            <w:pPr>
              <w:autoSpaceDE w:val="0"/>
              <w:autoSpaceDN w:val="0"/>
              <w:adjustRightInd w:val="0"/>
              <w:spacing w:line="30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1</w:t>
            </w:r>
            <w:r>
              <w:rPr>
                <w:rFonts w:ascii="Times New Roman" w:hAnsi="Times New Roman" w:eastAsia="宋体" w:cs="Times New Roman"/>
                <w:color w:val="000000" w:themeColor="text1"/>
                <w:szCs w:val="21"/>
              </w:rPr>
              <w:t>0</w:t>
            </w:r>
            <w:r>
              <w:rPr>
                <w:rFonts w:hint="eastAsia" w:ascii="Times New Roman" w:hAnsi="Times New Roman" w:eastAsia="宋体" w:cs="Times New Roman"/>
                <w:color w:val="000000" w:themeColor="text1"/>
                <w:szCs w:val="21"/>
              </w:rPr>
              <w:t>（无量纲）</w:t>
            </w:r>
          </w:p>
        </w:tc>
        <w:tc>
          <w:tcPr>
            <w:tcW w:w="2744" w:type="dxa"/>
            <w:vMerge w:val="restart"/>
            <w:vAlign w:val="center"/>
          </w:tcPr>
          <w:p>
            <w:pPr>
              <w:spacing w:line="30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《医疗机构水污染物排放标准》（GB18466-2005）表3污水处理站周边大气污染物最高允许浓度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continue"/>
            <w:vAlign w:val="center"/>
          </w:tcPr>
          <w:p>
            <w:pPr>
              <w:spacing w:line="300" w:lineRule="exact"/>
              <w:jc w:val="center"/>
              <w:rPr>
                <w:rFonts w:ascii="Times New Roman" w:hAnsi="Times New Roman" w:eastAsia="宋体" w:cs="Times New Roman"/>
                <w:szCs w:val="21"/>
              </w:rPr>
            </w:pPr>
          </w:p>
        </w:tc>
        <w:tc>
          <w:tcPr>
            <w:tcW w:w="943" w:type="dxa"/>
            <w:vMerge w:val="continue"/>
            <w:vAlign w:val="center"/>
          </w:tcPr>
          <w:p>
            <w:pPr>
              <w:spacing w:line="300" w:lineRule="exact"/>
              <w:jc w:val="center"/>
              <w:rPr>
                <w:rFonts w:ascii="Times New Roman" w:hAnsi="Times New Roman" w:eastAsia="宋体" w:cs="Times New Roman"/>
                <w:szCs w:val="21"/>
              </w:rPr>
            </w:pPr>
          </w:p>
        </w:tc>
        <w:tc>
          <w:tcPr>
            <w:tcW w:w="1275" w:type="dxa"/>
            <w:vAlign w:val="center"/>
          </w:tcPr>
          <w:p>
            <w:pPr>
              <w:spacing w:beforeLines="20" w:afterLines="20" w:line="30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氨</w:t>
            </w:r>
          </w:p>
        </w:tc>
        <w:tc>
          <w:tcPr>
            <w:tcW w:w="568" w:type="dxa"/>
            <w:vMerge w:val="continue"/>
            <w:vAlign w:val="center"/>
          </w:tcPr>
          <w:p>
            <w:pPr>
              <w:spacing w:line="300" w:lineRule="exact"/>
              <w:jc w:val="center"/>
              <w:rPr>
                <w:rFonts w:ascii="Times New Roman" w:hAnsi="Times New Roman" w:eastAsia="宋体" w:cs="Times New Roman"/>
                <w:color w:val="000000" w:themeColor="text1"/>
                <w:szCs w:val="21"/>
              </w:rPr>
            </w:pPr>
          </w:p>
        </w:tc>
        <w:tc>
          <w:tcPr>
            <w:tcW w:w="2550" w:type="dxa"/>
            <w:gridSpan w:val="2"/>
            <w:vAlign w:val="center"/>
          </w:tcPr>
          <w:p>
            <w:pPr>
              <w:autoSpaceDE w:val="0"/>
              <w:autoSpaceDN w:val="0"/>
              <w:adjustRightInd w:val="0"/>
              <w:spacing w:line="30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w:t>
            </w:r>
            <w:r>
              <w:rPr>
                <w:rFonts w:hint="eastAsia" w:ascii="Times New Roman" w:hAnsi="Times New Roman" w:eastAsia="宋体" w:cs="Times New Roman"/>
                <w:color w:val="000000" w:themeColor="text1"/>
                <w:szCs w:val="21"/>
              </w:rPr>
              <w:t>0</w:t>
            </w:r>
            <w:r>
              <w:rPr>
                <w:rFonts w:ascii="Times New Roman" w:hAnsi="Times New Roman" w:eastAsia="宋体" w:cs="Times New Roman"/>
                <w:color w:val="000000" w:themeColor="text1"/>
                <w:szCs w:val="21"/>
              </w:rPr>
              <w:t>mg/m</w:t>
            </w:r>
            <w:r>
              <w:rPr>
                <w:rFonts w:ascii="Times New Roman" w:hAnsi="Times New Roman" w:eastAsia="宋体" w:cs="Times New Roman"/>
                <w:color w:val="000000" w:themeColor="text1"/>
                <w:szCs w:val="21"/>
                <w:vertAlign w:val="superscript"/>
              </w:rPr>
              <w:t>3</w:t>
            </w:r>
          </w:p>
        </w:tc>
        <w:tc>
          <w:tcPr>
            <w:tcW w:w="2744" w:type="dxa"/>
            <w:vMerge w:val="continue"/>
            <w:vAlign w:val="center"/>
          </w:tcPr>
          <w:p>
            <w:pPr>
              <w:spacing w:line="300" w:lineRule="exact"/>
              <w:jc w:val="center"/>
              <w:rPr>
                <w:rFonts w:ascii="Times New Roman" w:hAnsi="Times New Roman" w:eastAsia="宋体"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continue"/>
            <w:vAlign w:val="center"/>
          </w:tcPr>
          <w:p>
            <w:pPr>
              <w:spacing w:line="300" w:lineRule="exact"/>
              <w:jc w:val="center"/>
              <w:rPr>
                <w:rFonts w:ascii="Times New Roman" w:hAnsi="Times New Roman" w:eastAsia="宋体" w:cs="Times New Roman"/>
                <w:szCs w:val="21"/>
              </w:rPr>
            </w:pPr>
          </w:p>
        </w:tc>
        <w:tc>
          <w:tcPr>
            <w:tcW w:w="943" w:type="dxa"/>
            <w:vMerge w:val="continue"/>
            <w:vAlign w:val="center"/>
          </w:tcPr>
          <w:p>
            <w:pPr>
              <w:spacing w:line="300" w:lineRule="exact"/>
              <w:jc w:val="center"/>
              <w:rPr>
                <w:rFonts w:ascii="Times New Roman" w:hAnsi="Times New Roman" w:eastAsia="宋体" w:cs="Times New Roman"/>
                <w:szCs w:val="21"/>
              </w:rPr>
            </w:pPr>
          </w:p>
        </w:tc>
        <w:tc>
          <w:tcPr>
            <w:tcW w:w="1275" w:type="dxa"/>
            <w:vAlign w:val="center"/>
          </w:tcPr>
          <w:p>
            <w:pPr>
              <w:spacing w:beforeLines="20" w:afterLines="20" w:line="30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硫化氢</w:t>
            </w:r>
          </w:p>
        </w:tc>
        <w:tc>
          <w:tcPr>
            <w:tcW w:w="568" w:type="dxa"/>
            <w:vMerge w:val="continue"/>
            <w:vAlign w:val="center"/>
          </w:tcPr>
          <w:p>
            <w:pPr>
              <w:spacing w:line="300" w:lineRule="exact"/>
              <w:jc w:val="center"/>
              <w:rPr>
                <w:rFonts w:ascii="Times New Roman" w:hAnsi="Times New Roman" w:eastAsia="宋体" w:cs="Times New Roman"/>
                <w:color w:val="000000" w:themeColor="text1"/>
                <w:szCs w:val="21"/>
              </w:rPr>
            </w:pPr>
          </w:p>
        </w:tc>
        <w:tc>
          <w:tcPr>
            <w:tcW w:w="2550" w:type="dxa"/>
            <w:gridSpan w:val="2"/>
            <w:vAlign w:val="center"/>
          </w:tcPr>
          <w:p>
            <w:pPr>
              <w:autoSpaceDE w:val="0"/>
              <w:autoSpaceDN w:val="0"/>
              <w:adjustRightInd w:val="0"/>
              <w:spacing w:line="30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0.0</w:t>
            </w:r>
            <w:r>
              <w:rPr>
                <w:rFonts w:hint="eastAsia" w:ascii="Times New Roman" w:hAnsi="Times New Roman" w:eastAsia="宋体" w:cs="Times New Roman"/>
                <w:color w:val="000000" w:themeColor="text1"/>
                <w:szCs w:val="21"/>
              </w:rPr>
              <w:t>3</w:t>
            </w:r>
            <w:r>
              <w:rPr>
                <w:rFonts w:ascii="Times New Roman" w:hAnsi="Times New Roman" w:eastAsia="宋体" w:cs="Times New Roman"/>
                <w:color w:val="000000" w:themeColor="text1"/>
                <w:szCs w:val="21"/>
              </w:rPr>
              <w:t>mg/m</w:t>
            </w:r>
            <w:r>
              <w:rPr>
                <w:rFonts w:ascii="Times New Roman" w:hAnsi="Times New Roman" w:eastAsia="宋体" w:cs="Times New Roman"/>
                <w:color w:val="000000" w:themeColor="text1"/>
                <w:szCs w:val="21"/>
                <w:vertAlign w:val="superscript"/>
              </w:rPr>
              <w:t>3</w:t>
            </w:r>
          </w:p>
        </w:tc>
        <w:tc>
          <w:tcPr>
            <w:tcW w:w="2744" w:type="dxa"/>
            <w:vMerge w:val="continue"/>
            <w:vAlign w:val="center"/>
          </w:tcPr>
          <w:p>
            <w:pPr>
              <w:spacing w:line="300" w:lineRule="exact"/>
              <w:jc w:val="center"/>
              <w:rPr>
                <w:rFonts w:ascii="Times New Roman" w:hAnsi="Times New Roman" w:eastAsia="宋体"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continue"/>
            <w:vAlign w:val="center"/>
          </w:tcPr>
          <w:p>
            <w:pPr>
              <w:spacing w:line="300" w:lineRule="exact"/>
              <w:jc w:val="center"/>
              <w:rPr>
                <w:rFonts w:ascii="Times New Roman" w:hAnsi="Times New Roman" w:eastAsia="宋体" w:cs="Times New Roman"/>
                <w:szCs w:val="21"/>
              </w:rPr>
            </w:pPr>
          </w:p>
        </w:tc>
        <w:tc>
          <w:tcPr>
            <w:tcW w:w="943" w:type="dxa"/>
            <w:vMerge w:val="continue"/>
            <w:vAlign w:val="center"/>
          </w:tcPr>
          <w:p>
            <w:pPr>
              <w:spacing w:line="300" w:lineRule="exact"/>
              <w:jc w:val="center"/>
              <w:rPr>
                <w:rFonts w:ascii="Times New Roman" w:hAnsi="Times New Roman" w:eastAsia="宋体" w:cs="Times New Roman"/>
                <w:szCs w:val="21"/>
              </w:rPr>
            </w:pPr>
          </w:p>
        </w:tc>
        <w:tc>
          <w:tcPr>
            <w:tcW w:w="1843" w:type="dxa"/>
            <w:gridSpan w:val="2"/>
            <w:vAlign w:val="center"/>
          </w:tcPr>
          <w:p>
            <w:pPr>
              <w:spacing w:line="30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食堂油烟</w:t>
            </w:r>
          </w:p>
        </w:tc>
        <w:tc>
          <w:tcPr>
            <w:tcW w:w="2550" w:type="dxa"/>
            <w:gridSpan w:val="2"/>
            <w:vAlign w:val="center"/>
          </w:tcPr>
          <w:p>
            <w:pPr>
              <w:autoSpaceDE w:val="0"/>
              <w:autoSpaceDN w:val="0"/>
              <w:adjustRightInd w:val="0"/>
              <w:spacing w:line="30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排放浓度≤2.0mg/m</w:t>
            </w:r>
            <w:r>
              <w:rPr>
                <w:rFonts w:hint="eastAsia" w:ascii="Times New Roman" w:hAnsi="Times New Roman" w:eastAsia="宋体" w:cs="Times New Roman"/>
                <w:color w:val="000000" w:themeColor="text1"/>
                <w:szCs w:val="21"/>
                <w:vertAlign w:val="superscript"/>
              </w:rPr>
              <w:t>3</w:t>
            </w:r>
          </w:p>
          <w:p>
            <w:pPr>
              <w:autoSpaceDE w:val="0"/>
              <w:autoSpaceDN w:val="0"/>
              <w:adjustRightInd w:val="0"/>
              <w:spacing w:line="30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净化效率≥85%</w:t>
            </w:r>
          </w:p>
        </w:tc>
        <w:tc>
          <w:tcPr>
            <w:tcW w:w="2744" w:type="dxa"/>
            <w:vAlign w:val="center"/>
          </w:tcPr>
          <w:p>
            <w:pPr>
              <w:spacing w:line="30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《饮食业油烟排放标准（试行）》（GB18483-2001）大型标准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restart"/>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废水</w:t>
            </w:r>
          </w:p>
        </w:tc>
        <w:tc>
          <w:tcPr>
            <w:tcW w:w="943" w:type="dxa"/>
            <w:vMerge w:val="restart"/>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营运期</w:t>
            </w:r>
          </w:p>
        </w:tc>
        <w:tc>
          <w:tcPr>
            <w:tcW w:w="1843" w:type="dxa"/>
            <w:gridSpan w:val="2"/>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pH</w:t>
            </w:r>
          </w:p>
        </w:tc>
        <w:tc>
          <w:tcPr>
            <w:tcW w:w="2550" w:type="dxa"/>
            <w:gridSpan w:val="2"/>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6</w:t>
            </w:r>
            <w:r>
              <w:rPr>
                <w:rFonts w:ascii="Times New Roman" w:hAnsi="Times New Roman" w:eastAsia="宋体" w:cs="Times New Roman"/>
                <w:szCs w:val="21"/>
              </w:rPr>
              <w:t>～</w:t>
            </w:r>
            <w:r>
              <w:rPr>
                <w:rFonts w:hint="eastAsia" w:ascii="Times New Roman" w:hAnsi="Times New Roman" w:eastAsia="宋体" w:cs="Times New Roman"/>
                <w:szCs w:val="21"/>
              </w:rPr>
              <w:t>9</w:t>
            </w:r>
          </w:p>
        </w:tc>
        <w:tc>
          <w:tcPr>
            <w:tcW w:w="2744" w:type="dxa"/>
            <w:vMerge w:val="restart"/>
            <w:vAlign w:val="center"/>
          </w:tcPr>
          <w:p>
            <w:pPr>
              <w:spacing w:line="300" w:lineRule="exact"/>
              <w:jc w:val="center"/>
              <w:rPr>
                <w:rFonts w:ascii="Times New Roman" w:hAnsi="Times New Roman" w:eastAsia="宋体" w:cs="Times New Roman"/>
                <w:color w:val="000000"/>
                <w:szCs w:val="21"/>
              </w:rPr>
            </w:pPr>
            <w:r>
              <w:rPr>
                <w:rFonts w:hint="eastAsia" w:ascii="Times New Roman" w:hAnsi="Times New Roman" w:eastAsia="宋体" w:cs="Times New Roman"/>
                <w:szCs w:val="21"/>
              </w:rPr>
              <w:t>《医疗机构水污染物排放标准》（GB18466-2005）表2预处理标准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continue"/>
            <w:vAlign w:val="center"/>
          </w:tcPr>
          <w:p>
            <w:pPr>
              <w:spacing w:line="300" w:lineRule="exact"/>
              <w:jc w:val="center"/>
              <w:rPr>
                <w:rFonts w:ascii="Times New Roman" w:hAnsi="Times New Roman" w:eastAsia="宋体" w:cs="Times New Roman"/>
                <w:szCs w:val="21"/>
              </w:rPr>
            </w:pPr>
          </w:p>
        </w:tc>
        <w:tc>
          <w:tcPr>
            <w:tcW w:w="943" w:type="dxa"/>
            <w:vMerge w:val="continue"/>
            <w:vAlign w:val="center"/>
          </w:tcPr>
          <w:p>
            <w:pPr>
              <w:spacing w:line="300" w:lineRule="exact"/>
              <w:jc w:val="center"/>
              <w:rPr>
                <w:rFonts w:ascii="Times New Roman" w:hAnsi="Times New Roman" w:eastAsia="宋体" w:cs="Times New Roman"/>
                <w:szCs w:val="21"/>
              </w:rPr>
            </w:pPr>
          </w:p>
        </w:tc>
        <w:tc>
          <w:tcPr>
            <w:tcW w:w="1843" w:type="dxa"/>
            <w:gridSpan w:val="2"/>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COD</w:t>
            </w:r>
          </w:p>
        </w:tc>
        <w:tc>
          <w:tcPr>
            <w:tcW w:w="2550" w:type="dxa"/>
            <w:gridSpan w:val="2"/>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250</w:t>
            </w:r>
            <w:r>
              <w:rPr>
                <w:rFonts w:ascii="Times New Roman" w:hAnsi="Times New Roman" w:eastAsia="宋体" w:cs="Times New Roman"/>
                <w:szCs w:val="21"/>
              </w:rPr>
              <w:t xml:space="preserve"> mg/L</w:t>
            </w:r>
          </w:p>
        </w:tc>
        <w:tc>
          <w:tcPr>
            <w:tcW w:w="2744" w:type="dxa"/>
            <w:vMerge w:val="continue"/>
            <w:vAlign w:val="center"/>
          </w:tcPr>
          <w:p>
            <w:pPr>
              <w:spacing w:line="3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continue"/>
            <w:vAlign w:val="center"/>
          </w:tcPr>
          <w:p>
            <w:pPr>
              <w:spacing w:line="300" w:lineRule="exact"/>
              <w:jc w:val="center"/>
              <w:rPr>
                <w:rFonts w:ascii="Times New Roman" w:hAnsi="Times New Roman" w:eastAsia="宋体" w:cs="Times New Roman"/>
                <w:szCs w:val="21"/>
              </w:rPr>
            </w:pPr>
          </w:p>
        </w:tc>
        <w:tc>
          <w:tcPr>
            <w:tcW w:w="943" w:type="dxa"/>
            <w:vMerge w:val="continue"/>
            <w:vAlign w:val="center"/>
          </w:tcPr>
          <w:p>
            <w:pPr>
              <w:spacing w:line="300" w:lineRule="exact"/>
              <w:jc w:val="center"/>
              <w:rPr>
                <w:rFonts w:ascii="Times New Roman" w:hAnsi="Times New Roman" w:eastAsia="宋体" w:cs="Times New Roman"/>
                <w:szCs w:val="21"/>
              </w:rPr>
            </w:pPr>
          </w:p>
        </w:tc>
        <w:tc>
          <w:tcPr>
            <w:tcW w:w="1843" w:type="dxa"/>
            <w:gridSpan w:val="2"/>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BOD</w:t>
            </w:r>
          </w:p>
        </w:tc>
        <w:tc>
          <w:tcPr>
            <w:tcW w:w="2550" w:type="dxa"/>
            <w:gridSpan w:val="2"/>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10</w:t>
            </w:r>
            <w:r>
              <w:rPr>
                <w:rFonts w:ascii="Times New Roman" w:hAnsi="Times New Roman" w:eastAsia="宋体" w:cs="Times New Roman"/>
                <w:szCs w:val="21"/>
              </w:rPr>
              <w:t>0 mg/L</w:t>
            </w:r>
          </w:p>
        </w:tc>
        <w:tc>
          <w:tcPr>
            <w:tcW w:w="2744" w:type="dxa"/>
            <w:vMerge w:val="continue"/>
            <w:vAlign w:val="center"/>
          </w:tcPr>
          <w:p>
            <w:pPr>
              <w:spacing w:line="3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continue"/>
            <w:vAlign w:val="center"/>
          </w:tcPr>
          <w:p>
            <w:pPr>
              <w:spacing w:line="300" w:lineRule="exact"/>
              <w:jc w:val="center"/>
              <w:rPr>
                <w:rFonts w:ascii="Times New Roman" w:hAnsi="Times New Roman" w:eastAsia="宋体" w:cs="Times New Roman"/>
                <w:szCs w:val="21"/>
              </w:rPr>
            </w:pPr>
          </w:p>
        </w:tc>
        <w:tc>
          <w:tcPr>
            <w:tcW w:w="943" w:type="dxa"/>
            <w:vMerge w:val="continue"/>
            <w:vAlign w:val="center"/>
          </w:tcPr>
          <w:p>
            <w:pPr>
              <w:spacing w:line="300" w:lineRule="exact"/>
              <w:jc w:val="center"/>
              <w:rPr>
                <w:rFonts w:ascii="Times New Roman" w:hAnsi="Times New Roman" w:eastAsia="宋体" w:cs="Times New Roman"/>
                <w:szCs w:val="21"/>
              </w:rPr>
            </w:pPr>
          </w:p>
        </w:tc>
        <w:tc>
          <w:tcPr>
            <w:tcW w:w="1843" w:type="dxa"/>
            <w:gridSpan w:val="2"/>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氨氮</w:t>
            </w:r>
          </w:p>
        </w:tc>
        <w:tc>
          <w:tcPr>
            <w:tcW w:w="2550" w:type="dxa"/>
            <w:gridSpan w:val="2"/>
            <w:vAlign w:val="center"/>
          </w:tcPr>
          <w:p>
            <w:pPr>
              <w:spacing w:line="300" w:lineRule="exact"/>
              <w:jc w:val="center"/>
              <w:rPr>
                <w:rFonts w:ascii="Times New Roman" w:hAnsi="Times New Roman" w:eastAsia="宋体" w:cs="Times New Roman"/>
                <w:szCs w:val="21"/>
              </w:rPr>
            </w:pPr>
            <w:r>
              <w:rPr>
                <w:rFonts w:hint="eastAsia" w:ascii="宋体" w:hAnsi="宋体" w:eastAsia="宋体" w:cs="Times New Roman"/>
                <w:szCs w:val="21"/>
              </w:rPr>
              <w:t>─</w:t>
            </w:r>
          </w:p>
        </w:tc>
        <w:tc>
          <w:tcPr>
            <w:tcW w:w="2744" w:type="dxa"/>
            <w:vMerge w:val="continue"/>
            <w:vAlign w:val="center"/>
          </w:tcPr>
          <w:p>
            <w:pPr>
              <w:spacing w:line="3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continue"/>
            <w:vAlign w:val="center"/>
          </w:tcPr>
          <w:p>
            <w:pPr>
              <w:spacing w:line="300" w:lineRule="exact"/>
              <w:jc w:val="center"/>
              <w:rPr>
                <w:rFonts w:ascii="Times New Roman" w:hAnsi="Times New Roman" w:eastAsia="宋体" w:cs="Times New Roman"/>
                <w:szCs w:val="21"/>
              </w:rPr>
            </w:pPr>
          </w:p>
        </w:tc>
        <w:tc>
          <w:tcPr>
            <w:tcW w:w="943" w:type="dxa"/>
            <w:vMerge w:val="continue"/>
            <w:vAlign w:val="center"/>
          </w:tcPr>
          <w:p>
            <w:pPr>
              <w:spacing w:line="300" w:lineRule="exact"/>
              <w:jc w:val="center"/>
              <w:rPr>
                <w:rFonts w:ascii="Times New Roman" w:hAnsi="Times New Roman" w:eastAsia="宋体" w:cs="Times New Roman"/>
                <w:szCs w:val="21"/>
              </w:rPr>
            </w:pPr>
          </w:p>
        </w:tc>
        <w:tc>
          <w:tcPr>
            <w:tcW w:w="1843" w:type="dxa"/>
            <w:gridSpan w:val="2"/>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SS</w:t>
            </w:r>
          </w:p>
        </w:tc>
        <w:tc>
          <w:tcPr>
            <w:tcW w:w="2550" w:type="dxa"/>
            <w:gridSpan w:val="2"/>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60</w:t>
            </w:r>
            <w:r>
              <w:rPr>
                <w:rFonts w:ascii="Times New Roman" w:hAnsi="Times New Roman" w:eastAsia="宋体" w:cs="Times New Roman"/>
                <w:szCs w:val="21"/>
              </w:rPr>
              <w:t xml:space="preserve"> mg/L</w:t>
            </w:r>
          </w:p>
        </w:tc>
        <w:tc>
          <w:tcPr>
            <w:tcW w:w="2744" w:type="dxa"/>
            <w:vMerge w:val="continue"/>
            <w:vAlign w:val="center"/>
          </w:tcPr>
          <w:p>
            <w:pPr>
              <w:spacing w:line="3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continue"/>
            <w:vAlign w:val="center"/>
          </w:tcPr>
          <w:p>
            <w:pPr>
              <w:spacing w:line="300" w:lineRule="exact"/>
              <w:jc w:val="center"/>
              <w:rPr>
                <w:rFonts w:ascii="Times New Roman" w:hAnsi="Times New Roman" w:eastAsia="宋体" w:cs="Times New Roman"/>
                <w:szCs w:val="21"/>
              </w:rPr>
            </w:pPr>
          </w:p>
        </w:tc>
        <w:tc>
          <w:tcPr>
            <w:tcW w:w="943" w:type="dxa"/>
            <w:vMerge w:val="continue"/>
            <w:vAlign w:val="center"/>
          </w:tcPr>
          <w:p>
            <w:pPr>
              <w:spacing w:line="300" w:lineRule="exact"/>
              <w:jc w:val="center"/>
              <w:rPr>
                <w:rFonts w:ascii="Times New Roman" w:hAnsi="Times New Roman" w:eastAsia="宋体" w:cs="Times New Roman"/>
                <w:szCs w:val="21"/>
              </w:rPr>
            </w:pPr>
          </w:p>
        </w:tc>
        <w:tc>
          <w:tcPr>
            <w:tcW w:w="1843" w:type="dxa"/>
            <w:gridSpan w:val="2"/>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动植物油</w:t>
            </w:r>
          </w:p>
        </w:tc>
        <w:tc>
          <w:tcPr>
            <w:tcW w:w="2550" w:type="dxa"/>
            <w:gridSpan w:val="2"/>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20</w:t>
            </w:r>
            <w:r>
              <w:rPr>
                <w:rFonts w:ascii="Times New Roman" w:hAnsi="Times New Roman" w:eastAsia="宋体" w:cs="Times New Roman"/>
                <w:szCs w:val="21"/>
              </w:rPr>
              <w:t xml:space="preserve"> mg/L</w:t>
            </w:r>
          </w:p>
        </w:tc>
        <w:tc>
          <w:tcPr>
            <w:tcW w:w="2744" w:type="dxa"/>
            <w:vMerge w:val="continue"/>
            <w:vAlign w:val="center"/>
          </w:tcPr>
          <w:p>
            <w:pPr>
              <w:spacing w:line="3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continue"/>
            <w:vAlign w:val="center"/>
          </w:tcPr>
          <w:p>
            <w:pPr>
              <w:spacing w:line="300" w:lineRule="exact"/>
              <w:jc w:val="center"/>
              <w:rPr>
                <w:rFonts w:ascii="Times New Roman" w:hAnsi="Times New Roman" w:eastAsia="宋体" w:cs="Times New Roman"/>
                <w:szCs w:val="21"/>
              </w:rPr>
            </w:pPr>
          </w:p>
        </w:tc>
        <w:tc>
          <w:tcPr>
            <w:tcW w:w="943" w:type="dxa"/>
            <w:vMerge w:val="continue"/>
            <w:vAlign w:val="center"/>
          </w:tcPr>
          <w:p>
            <w:pPr>
              <w:spacing w:line="300" w:lineRule="exact"/>
              <w:jc w:val="center"/>
              <w:rPr>
                <w:rFonts w:ascii="Times New Roman" w:hAnsi="Times New Roman" w:eastAsia="宋体" w:cs="Times New Roman"/>
                <w:szCs w:val="21"/>
              </w:rPr>
            </w:pPr>
          </w:p>
        </w:tc>
        <w:tc>
          <w:tcPr>
            <w:tcW w:w="1843" w:type="dxa"/>
            <w:gridSpan w:val="2"/>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总余氯</w:t>
            </w:r>
          </w:p>
        </w:tc>
        <w:tc>
          <w:tcPr>
            <w:tcW w:w="2550" w:type="dxa"/>
            <w:gridSpan w:val="2"/>
            <w:vAlign w:val="center"/>
          </w:tcPr>
          <w:p>
            <w:pPr>
              <w:spacing w:line="300" w:lineRule="exact"/>
              <w:jc w:val="center"/>
              <w:rPr>
                <w:rFonts w:ascii="Times New Roman" w:hAnsi="Times New Roman" w:eastAsia="宋体" w:cs="Times New Roman"/>
                <w:szCs w:val="21"/>
              </w:rPr>
            </w:pPr>
            <w:r>
              <w:rPr>
                <w:rFonts w:hint="eastAsia" w:ascii="宋体" w:hAnsi="宋体" w:eastAsia="宋体" w:cs="Times New Roman"/>
                <w:szCs w:val="21"/>
              </w:rPr>
              <w:t>─</w:t>
            </w:r>
            <w:r>
              <w:rPr>
                <w:rFonts w:hint="eastAsia" w:ascii="宋体" w:hAnsi="宋体" w:eastAsia="宋体" w:cs="宋体"/>
                <w:szCs w:val="21"/>
              </w:rPr>
              <w:t>（消毒接触池接触时间≥</w:t>
            </w:r>
            <w:r>
              <w:rPr>
                <w:rFonts w:hint="eastAsia" w:ascii="PMingLiU-ExtB" w:hAnsi="PMingLiU-ExtB" w:eastAsia="PMingLiU-ExtB" w:cs="Times New Roman"/>
                <w:szCs w:val="21"/>
              </w:rPr>
              <w:t xml:space="preserve">1h </w:t>
            </w:r>
            <w:r>
              <w:rPr>
                <w:rFonts w:hint="eastAsia" w:ascii="宋体" w:hAnsi="宋体" w:eastAsia="宋体" w:cs="宋体"/>
                <w:szCs w:val="21"/>
              </w:rPr>
              <w:t>，接触池出口总余氯</w:t>
            </w:r>
            <w:r>
              <w:rPr>
                <w:rFonts w:hint="eastAsia" w:ascii="PMingLiU-ExtB" w:hAnsi="PMingLiU-ExtB" w:eastAsia="PMingLiU-ExtB" w:cs="Times New Roman"/>
                <w:szCs w:val="21"/>
              </w:rPr>
              <w:t>2~8mg/L</w:t>
            </w:r>
            <w:r>
              <w:rPr>
                <w:rFonts w:hint="eastAsia" w:ascii="宋体" w:hAnsi="宋体" w:eastAsia="宋体" w:cs="宋体"/>
                <w:szCs w:val="21"/>
              </w:rPr>
              <w:t>）</w:t>
            </w:r>
          </w:p>
        </w:tc>
        <w:tc>
          <w:tcPr>
            <w:tcW w:w="2744" w:type="dxa"/>
            <w:vMerge w:val="continue"/>
            <w:vAlign w:val="center"/>
          </w:tcPr>
          <w:p>
            <w:pPr>
              <w:spacing w:line="3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continue"/>
            <w:vAlign w:val="center"/>
          </w:tcPr>
          <w:p>
            <w:pPr>
              <w:spacing w:line="300" w:lineRule="exact"/>
              <w:jc w:val="center"/>
              <w:rPr>
                <w:rFonts w:ascii="Times New Roman" w:hAnsi="Times New Roman" w:eastAsia="宋体" w:cs="Times New Roman"/>
                <w:szCs w:val="21"/>
              </w:rPr>
            </w:pPr>
          </w:p>
        </w:tc>
        <w:tc>
          <w:tcPr>
            <w:tcW w:w="943" w:type="dxa"/>
            <w:vMerge w:val="continue"/>
            <w:vAlign w:val="center"/>
          </w:tcPr>
          <w:p>
            <w:pPr>
              <w:spacing w:line="300" w:lineRule="exact"/>
              <w:jc w:val="center"/>
              <w:rPr>
                <w:rFonts w:ascii="Times New Roman" w:hAnsi="Times New Roman" w:eastAsia="宋体" w:cs="Times New Roman"/>
                <w:szCs w:val="21"/>
              </w:rPr>
            </w:pPr>
          </w:p>
        </w:tc>
        <w:tc>
          <w:tcPr>
            <w:tcW w:w="1843" w:type="dxa"/>
            <w:gridSpan w:val="2"/>
            <w:vAlign w:val="center"/>
          </w:tcPr>
          <w:p>
            <w:pPr>
              <w:spacing w:line="30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粪大肠菌群</w:t>
            </w:r>
          </w:p>
        </w:tc>
        <w:tc>
          <w:tcPr>
            <w:tcW w:w="2550" w:type="dxa"/>
            <w:gridSpan w:val="2"/>
            <w:vAlign w:val="center"/>
          </w:tcPr>
          <w:p>
            <w:pPr>
              <w:spacing w:line="300" w:lineRule="exact"/>
              <w:jc w:val="center"/>
              <w:rPr>
                <w:rFonts w:ascii="Times New Roman" w:hAnsi="Times New Roman" w:eastAsia="宋体" w:cs="Times New Roman"/>
                <w:color w:val="000000" w:themeColor="text1"/>
                <w:szCs w:val="21"/>
              </w:rPr>
            </w:pPr>
            <w:r>
              <w:rPr>
                <w:rFonts w:hint="eastAsia" w:ascii="宋体" w:hAnsi="宋体" w:eastAsia="宋体" w:cs="Times New Roman"/>
                <w:color w:val="000000" w:themeColor="text1"/>
                <w:szCs w:val="21"/>
              </w:rPr>
              <w:t>≤</w:t>
            </w:r>
            <w:r>
              <w:rPr>
                <w:rFonts w:hint="eastAsia" w:ascii="Times New Roman" w:hAnsi="Times New Roman" w:eastAsia="宋体" w:cs="Times New Roman"/>
                <w:color w:val="000000" w:themeColor="text1"/>
                <w:szCs w:val="21"/>
              </w:rPr>
              <w:t>5000 MPN/L</w:t>
            </w:r>
          </w:p>
        </w:tc>
        <w:tc>
          <w:tcPr>
            <w:tcW w:w="2744" w:type="dxa"/>
            <w:vMerge w:val="continue"/>
            <w:vAlign w:val="center"/>
          </w:tcPr>
          <w:p>
            <w:pPr>
              <w:spacing w:line="3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continue"/>
            <w:vAlign w:val="center"/>
          </w:tcPr>
          <w:p>
            <w:pPr>
              <w:spacing w:line="300" w:lineRule="exact"/>
              <w:jc w:val="center"/>
              <w:rPr>
                <w:rFonts w:ascii="Times New Roman" w:hAnsi="Times New Roman" w:eastAsia="宋体" w:cs="Times New Roman"/>
                <w:szCs w:val="21"/>
              </w:rPr>
            </w:pPr>
          </w:p>
        </w:tc>
        <w:tc>
          <w:tcPr>
            <w:tcW w:w="943" w:type="dxa"/>
            <w:vMerge w:val="continue"/>
            <w:vAlign w:val="center"/>
          </w:tcPr>
          <w:p>
            <w:pPr>
              <w:spacing w:line="300" w:lineRule="exact"/>
              <w:jc w:val="center"/>
              <w:rPr>
                <w:rFonts w:ascii="Times New Roman" w:hAnsi="Times New Roman" w:eastAsia="宋体" w:cs="Times New Roman"/>
                <w:szCs w:val="21"/>
              </w:rPr>
            </w:pPr>
          </w:p>
        </w:tc>
        <w:tc>
          <w:tcPr>
            <w:tcW w:w="1843" w:type="dxa"/>
            <w:gridSpan w:val="2"/>
            <w:vAlign w:val="center"/>
          </w:tcPr>
          <w:p>
            <w:pPr>
              <w:spacing w:line="300" w:lineRule="exact"/>
              <w:ind w:firstLine="525" w:firstLineChars="250"/>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COD</w:t>
            </w:r>
          </w:p>
        </w:tc>
        <w:tc>
          <w:tcPr>
            <w:tcW w:w="2550" w:type="dxa"/>
            <w:gridSpan w:val="2"/>
            <w:vAlign w:val="center"/>
          </w:tcPr>
          <w:p>
            <w:pPr>
              <w:spacing w:line="30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rPr>
              <w:t>500</w:t>
            </w:r>
            <w:r>
              <w:rPr>
                <w:rFonts w:ascii="Times New Roman" w:hAnsi="Times New Roman" w:eastAsia="宋体" w:cs="Times New Roman"/>
                <w:color w:val="000000" w:themeColor="text1"/>
                <w:szCs w:val="21"/>
              </w:rPr>
              <w:t xml:space="preserve"> mg/L</w:t>
            </w:r>
          </w:p>
        </w:tc>
        <w:tc>
          <w:tcPr>
            <w:tcW w:w="2744" w:type="dxa"/>
            <w:vMerge w:val="restart"/>
            <w:vAlign w:val="center"/>
          </w:tcPr>
          <w:p>
            <w:pPr>
              <w:spacing w:line="300" w:lineRule="exac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保定市银定庄污水处理厂进水水质要求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continue"/>
            <w:vAlign w:val="center"/>
          </w:tcPr>
          <w:p>
            <w:pPr>
              <w:spacing w:line="300" w:lineRule="exact"/>
              <w:jc w:val="center"/>
              <w:rPr>
                <w:rFonts w:ascii="Times New Roman" w:hAnsi="Times New Roman" w:eastAsia="宋体" w:cs="Times New Roman"/>
                <w:szCs w:val="21"/>
              </w:rPr>
            </w:pPr>
          </w:p>
        </w:tc>
        <w:tc>
          <w:tcPr>
            <w:tcW w:w="943" w:type="dxa"/>
            <w:vMerge w:val="continue"/>
            <w:vAlign w:val="center"/>
          </w:tcPr>
          <w:p>
            <w:pPr>
              <w:spacing w:line="300" w:lineRule="exact"/>
              <w:jc w:val="center"/>
              <w:rPr>
                <w:rFonts w:ascii="Times New Roman" w:hAnsi="Times New Roman" w:eastAsia="宋体" w:cs="Times New Roman"/>
                <w:szCs w:val="21"/>
              </w:rPr>
            </w:pPr>
          </w:p>
        </w:tc>
        <w:tc>
          <w:tcPr>
            <w:tcW w:w="1843" w:type="dxa"/>
            <w:gridSpan w:val="2"/>
            <w:vAlign w:val="center"/>
          </w:tcPr>
          <w:p>
            <w:pPr>
              <w:spacing w:line="30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BOD</w:t>
            </w:r>
          </w:p>
        </w:tc>
        <w:tc>
          <w:tcPr>
            <w:tcW w:w="2550" w:type="dxa"/>
            <w:gridSpan w:val="2"/>
            <w:vAlign w:val="center"/>
          </w:tcPr>
          <w:p>
            <w:pPr>
              <w:spacing w:line="30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rPr>
              <w:t>200</w:t>
            </w:r>
            <w:r>
              <w:rPr>
                <w:rFonts w:ascii="Times New Roman" w:hAnsi="Times New Roman" w:eastAsia="宋体" w:cs="Times New Roman"/>
                <w:color w:val="000000" w:themeColor="text1"/>
                <w:szCs w:val="21"/>
              </w:rPr>
              <w:t>mg/L</w:t>
            </w:r>
          </w:p>
        </w:tc>
        <w:tc>
          <w:tcPr>
            <w:tcW w:w="2744" w:type="dxa"/>
            <w:vMerge w:val="continue"/>
            <w:vAlign w:val="center"/>
          </w:tcPr>
          <w:p>
            <w:pPr>
              <w:spacing w:line="3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continue"/>
            <w:vAlign w:val="center"/>
          </w:tcPr>
          <w:p>
            <w:pPr>
              <w:spacing w:line="300" w:lineRule="exact"/>
              <w:jc w:val="center"/>
              <w:rPr>
                <w:rFonts w:ascii="Times New Roman" w:hAnsi="Times New Roman" w:eastAsia="宋体" w:cs="Times New Roman"/>
                <w:szCs w:val="21"/>
              </w:rPr>
            </w:pPr>
          </w:p>
        </w:tc>
        <w:tc>
          <w:tcPr>
            <w:tcW w:w="943" w:type="dxa"/>
            <w:vMerge w:val="continue"/>
            <w:vAlign w:val="center"/>
          </w:tcPr>
          <w:p>
            <w:pPr>
              <w:spacing w:line="300" w:lineRule="exact"/>
              <w:jc w:val="center"/>
              <w:rPr>
                <w:rFonts w:ascii="Times New Roman" w:hAnsi="Times New Roman" w:eastAsia="宋体" w:cs="Times New Roman"/>
                <w:szCs w:val="21"/>
              </w:rPr>
            </w:pPr>
          </w:p>
        </w:tc>
        <w:tc>
          <w:tcPr>
            <w:tcW w:w="1843" w:type="dxa"/>
            <w:gridSpan w:val="2"/>
            <w:vAlign w:val="center"/>
          </w:tcPr>
          <w:p>
            <w:pPr>
              <w:spacing w:line="30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SS</w:t>
            </w:r>
          </w:p>
        </w:tc>
        <w:tc>
          <w:tcPr>
            <w:tcW w:w="2550" w:type="dxa"/>
            <w:gridSpan w:val="2"/>
            <w:vAlign w:val="center"/>
          </w:tcPr>
          <w:p>
            <w:pPr>
              <w:spacing w:line="30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rPr>
              <w:t>190</w:t>
            </w:r>
            <w:r>
              <w:rPr>
                <w:rFonts w:ascii="Times New Roman" w:hAnsi="Times New Roman" w:eastAsia="宋体" w:cs="Times New Roman"/>
                <w:color w:val="000000" w:themeColor="text1"/>
                <w:szCs w:val="21"/>
              </w:rPr>
              <w:t xml:space="preserve"> mg/L</w:t>
            </w:r>
          </w:p>
        </w:tc>
        <w:tc>
          <w:tcPr>
            <w:tcW w:w="2744" w:type="dxa"/>
            <w:vMerge w:val="continue"/>
            <w:vAlign w:val="center"/>
          </w:tcPr>
          <w:p>
            <w:pPr>
              <w:spacing w:line="3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continue"/>
            <w:vAlign w:val="center"/>
          </w:tcPr>
          <w:p>
            <w:pPr>
              <w:spacing w:line="300" w:lineRule="exact"/>
              <w:jc w:val="center"/>
              <w:rPr>
                <w:rFonts w:ascii="Times New Roman" w:hAnsi="Times New Roman" w:eastAsia="宋体" w:cs="Times New Roman"/>
                <w:szCs w:val="21"/>
              </w:rPr>
            </w:pPr>
          </w:p>
        </w:tc>
        <w:tc>
          <w:tcPr>
            <w:tcW w:w="943" w:type="dxa"/>
            <w:vMerge w:val="continue"/>
            <w:vAlign w:val="center"/>
          </w:tcPr>
          <w:p>
            <w:pPr>
              <w:spacing w:line="300" w:lineRule="exact"/>
              <w:jc w:val="center"/>
              <w:rPr>
                <w:rFonts w:ascii="Times New Roman" w:hAnsi="Times New Roman" w:eastAsia="宋体" w:cs="Times New Roman"/>
                <w:szCs w:val="21"/>
              </w:rPr>
            </w:pPr>
          </w:p>
        </w:tc>
        <w:tc>
          <w:tcPr>
            <w:tcW w:w="1843" w:type="dxa"/>
            <w:gridSpan w:val="2"/>
            <w:vAlign w:val="center"/>
          </w:tcPr>
          <w:p>
            <w:pPr>
              <w:spacing w:line="30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氨氮</w:t>
            </w:r>
          </w:p>
        </w:tc>
        <w:tc>
          <w:tcPr>
            <w:tcW w:w="2550" w:type="dxa"/>
            <w:gridSpan w:val="2"/>
            <w:vAlign w:val="center"/>
          </w:tcPr>
          <w:p>
            <w:pPr>
              <w:spacing w:line="300" w:lineRule="exact"/>
              <w:jc w:val="center"/>
              <w:rPr>
                <w:rFonts w:ascii="Times New Roman" w:hAnsi="Times New Roman" w:eastAsia="宋体" w:cs="Times New Roman"/>
                <w:color w:val="000000" w:themeColor="text1"/>
                <w:szCs w:val="21"/>
              </w:rPr>
            </w:pPr>
            <w:r>
              <w:rPr>
                <w:rFonts w:hint="eastAsia" w:ascii="宋体" w:hAnsi="宋体" w:eastAsia="宋体" w:cs="Times New Roman"/>
                <w:color w:val="000000" w:themeColor="text1"/>
                <w:szCs w:val="21"/>
              </w:rPr>
              <w:t>—</w:t>
            </w:r>
          </w:p>
        </w:tc>
        <w:tc>
          <w:tcPr>
            <w:tcW w:w="2744" w:type="dxa"/>
            <w:vMerge w:val="continue"/>
            <w:vAlign w:val="center"/>
          </w:tcPr>
          <w:p>
            <w:pPr>
              <w:spacing w:line="3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continue"/>
            <w:vAlign w:val="center"/>
          </w:tcPr>
          <w:p>
            <w:pPr>
              <w:spacing w:line="300" w:lineRule="exact"/>
              <w:jc w:val="center"/>
              <w:rPr>
                <w:rFonts w:ascii="Times New Roman" w:hAnsi="Times New Roman" w:eastAsia="宋体" w:cs="Times New Roman"/>
                <w:szCs w:val="21"/>
              </w:rPr>
            </w:pPr>
          </w:p>
        </w:tc>
        <w:tc>
          <w:tcPr>
            <w:tcW w:w="943" w:type="dxa"/>
            <w:vMerge w:val="continue"/>
            <w:vAlign w:val="center"/>
          </w:tcPr>
          <w:p>
            <w:pPr>
              <w:spacing w:line="300" w:lineRule="exact"/>
              <w:jc w:val="center"/>
              <w:rPr>
                <w:rFonts w:ascii="Times New Roman" w:hAnsi="Times New Roman" w:eastAsia="宋体" w:cs="Times New Roman"/>
                <w:szCs w:val="21"/>
              </w:rPr>
            </w:pPr>
          </w:p>
        </w:tc>
        <w:tc>
          <w:tcPr>
            <w:tcW w:w="1843" w:type="dxa"/>
            <w:gridSpan w:val="2"/>
            <w:vAlign w:val="center"/>
          </w:tcPr>
          <w:p>
            <w:pPr>
              <w:spacing w:line="30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总氮</w:t>
            </w:r>
          </w:p>
        </w:tc>
        <w:tc>
          <w:tcPr>
            <w:tcW w:w="2550" w:type="dxa"/>
            <w:gridSpan w:val="2"/>
            <w:vAlign w:val="center"/>
          </w:tcPr>
          <w:p>
            <w:pPr>
              <w:spacing w:line="30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rPr>
              <w:t>70</w:t>
            </w:r>
            <w:r>
              <w:rPr>
                <w:rFonts w:ascii="Times New Roman" w:hAnsi="Times New Roman" w:eastAsia="宋体" w:cs="Times New Roman"/>
                <w:color w:val="000000" w:themeColor="text1"/>
                <w:szCs w:val="21"/>
              </w:rPr>
              <w:t xml:space="preserve"> mg/L</w:t>
            </w:r>
          </w:p>
        </w:tc>
        <w:tc>
          <w:tcPr>
            <w:tcW w:w="2744" w:type="dxa"/>
            <w:vMerge w:val="continue"/>
            <w:vAlign w:val="center"/>
          </w:tcPr>
          <w:p>
            <w:pPr>
              <w:spacing w:line="3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continue"/>
            <w:vAlign w:val="center"/>
          </w:tcPr>
          <w:p>
            <w:pPr>
              <w:spacing w:line="300" w:lineRule="exact"/>
              <w:jc w:val="center"/>
              <w:rPr>
                <w:rFonts w:ascii="Times New Roman" w:hAnsi="Times New Roman" w:eastAsia="宋体" w:cs="Times New Roman"/>
                <w:szCs w:val="21"/>
              </w:rPr>
            </w:pPr>
          </w:p>
        </w:tc>
        <w:tc>
          <w:tcPr>
            <w:tcW w:w="943" w:type="dxa"/>
            <w:vMerge w:val="continue"/>
            <w:vAlign w:val="center"/>
          </w:tcPr>
          <w:p>
            <w:pPr>
              <w:spacing w:line="300" w:lineRule="exact"/>
              <w:jc w:val="center"/>
              <w:rPr>
                <w:rFonts w:ascii="Times New Roman" w:hAnsi="Times New Roman" w:eastAsia="宋体" w:cs="Times New Roman"/>
                <w:szCs w:val="21"/>
              </w:rPr>
            </w:pPr>
          </w:p>
        </w:tc>
        <w:tc>
          <w:tcPr>
            <w:tcW w:w="1843" w:type="dxa"/>
            <w:gridSpan w:val="2"/>
            <w:vAlign w:val="center"/>
          </w:tcPr>
          <w:p>
            <w:pPr>
              <w:spacing w:line="30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总磷</w:t>
            </w:r>
          </w:p>
        </w:tc>
        <w:tc>
          <w:tcPr>
            <w:tcW w:w="2550" w:type="dxa"/>
            <w:gridSpan w:val="2"/>
            <w:vAlign w:val="center"/>
          </w:tcPr>
          <w:p>
            <w:pPr>
              <w:spacing w:line="30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rPr>
              <w:t>7.0</w:t>
            </w:r>
            <w:r>
              <w:rPr>
                <w:rFonts w:ascii="Times New Roman" w:hAnsi="Times New Roman" w:eastAsia="宋体" w:cs="Times New Roman"/>
                <w:color w:val="000000" w:themeColor="text1"/>
                <w:szCs w:val="21"/>
              </w:rPr>
              <w:t>mg/L</w:t>
            </w:r>
          </w:p>
        </w:tc>
        <w:tc>
          <w:tcPr>
            <w:tcW w:w="2744" w:type="dxa"/>
            <w:vMerge w:val="continue"/>
            <w:vAlign w:val="center"/>
          </w:tcPr>
          <w:p>
            <w:pPr>
              <w:spacing w:line="3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continue"/>
            <w:vAlign w:val="center"/>
          </w:tcPr>
          <w:p>
            <w:pPr>
              <w:spacing w:line="300" w:lineRule="exact"/>
              <w:jc w:val="center"/>
              <w:rPr>
                <w:rFonts w:ascii="Times New Roman" w:hAnsi="Times New Roman" w:eastAsia="宋体" w:cs="Times New Roman"/>
                <w:szCs w:val="21"/>
              </w:rPr>
            </w:pPr>
          </w:p>
        </w:tc>
        <w:tc>
          <w:tcPr>
            <w:tcW w:w="943" w:type="dxa"/>
            <w:vMerge w:val="continue"/>
            <w:vAlign w:val="center"/>
          </w:tcPr>
          <w:p>
            <w:pPr>
              <w:spacing w:line="300" w:lineRule="exact"/>
              <w:jc w:val="center"/>
              <w:rPr>
                <w:rFonts w:ascii="Times New Roman" w:hAnsi="Times New Roman" w:eastAsia="宋体" w:cs="Times New Roman"/>
                <w:szCs w:val="21"/>
              </w:rPr>
            </w:pPr>
          </w:p>
        </w:tc>
        <w:tc>
          <w:tcPr>
            <w:tcW w:w="1843" w:type="dxa"/>
            <w:gridSpan w:val="2"/>
            <w:vAlign w:val="center"/>
          </w:tcPr>
          <w:p>
            <w:pPr>
              <w:spacing w:line="30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pH</w:t>
            </w:r>
          </w:p>
        </w:tc>
        <w:tc>
          <w:tcPr>
            <w:tcW w:w="2550" w:type="dxa"/>
            <w:gridSpan w:val="2"/>
            <w:vAlign w:val="center"/>
          </w:tcPr>
          <w:p>
            <w:pPr>
              <w:spacing w:line="30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6</w:t>
            </w:r>
            <w:r>
              <w:rPr>
                <w:rFonts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rPr>
              <w:t>9</w:t>
            </w:r>
          </w:p>
        </w:tc>
        <w:tc>
          <w:tcPr>
            <w:tcW w:w="2744" w:type="dxa"/>
            <w:vMerge w:val="restart"/>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最终排放标准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continue"/>
            <w:vAlign w:val="center"/>
          </w:tcPr>
          <w:p>
            <w:pPr>
              <w:spacing w:line="300" w:lineRule="exact"/>
              <w:jc w:val="center"/>
              <w:rPr>
                <w:rFonts w:ascii="Times New Roman" w:hAnsi="Times New Roman" w:eastAsia="宋体" w:cs="Times New Roman"/>
                <w:szCs w:val="21"/>
              </w:rPr>
            </w:pPr>
          </w:p>
        </w:tc>
        <w:tc>
          <w:tcPr>
            <w:tcW w:w="943" w:type="dxa"/>
            <w:vMerge w:val="continue"/>
            <w:vAlign w:val="center"/>
          </w:tcPr>
          <w:p>
            <w:pPr>
              <w:spacing w:line="300" w:lineRule="exact"/>
              <w:jc w:val="center"/>
              <w:rPr>
                <w:rFonts w:ascii="Times New Roman" w:hAnsi="Times New Roman" w:eastAsia="宋体" w:cs="Times New Roman"/>
                <w:szCs w:val="21"/>
              </w:rPr>
            </w:pPr>
          </w:p>
        </w:tc>
        <w:tc>
          <w:tcPr>
            <w:tcW w:w="1843" w:type="dxa"/>
            <w:gridSpan w:val="2"/>
            <w:vAlign w:val="center"/>
          </w:tcPr>
          <w:p>
            <w:pPr>
              <w:spacing w:line="30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COD</w:t>
            </w:r>
          </w:p>
        </w:tc>
        <w:tc>
          <w:tcPr>
            <w:tcW w:w="2550" w:type="dxa"/>
            <w:gridSpan w:val="2"/>
            <w:vAlign w:val="center"/>
          </w:tcPr>
          <w:p>
            <w:pPr>
              <w:spacing w:line="30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rPr>
              <w:t>250</w:t>
            </w:r>
            <w:r>
              <w:rPr>
                <w:rFonts w:ascii="Times New Roman" w:hAnsi="Times New Roman" w:eastAsia="宋体" w:cs="Times New Roman"/>
                <w:color w:val="000000" w:themeColor="text1"/>
                <w:szCs w:val="21"/>
              </w:rPr>
              <w:t xml:space="preserve"> mg/L</w:t>
            </w:r>
          </w:p>
        </w:tc>
        <w:tc>
          <w:tcPr>
            <w:tcW w:w="2744" w:type="dxa"/>
            <w:vMerge w:val="continue"/>
            <w:vAlign w:val="center"/>
          </w:tcPr>
          <w:p>
            <w:pPr>
              <w:spacing w:line="3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continue"/>
            <w:vAlign w:val="center"/>
          </w:tcPr>
          <w:p>
            <w:pPr>
              <w:spacing w:line="300" w:lineRule="exact"/>
              <w:jc w:val="center"/>
              <w:rPr>
                <w:rFonts w:ascii="Times New Roman" w:hAnsi="Times New Roman" w:eastAsia="宋体" w:cs="Times New Roman"/>
                <w:szCs w:val="21"/>
              </w:rPr>
            </w:pPr>
          </w:p>
        </w:tc>
        <w:tc>
          <w:tcPr>
            <w:tcW w:w="943" w:type="dxa"/>
            <w:vMerge w:val="continue"/>
            <w:vAlign w:val="center"/>
          </w:tcPr>
          <w:p>
            <w:pPr>
              <w:spacing w:line="300" w:lineRule="exact"/>
              <w:jc w:val="center"/>
              <w:rPr>
                <w:rFonts w:ascii="Times New Roman" w:hAnsi="Times New Roman" w:eastAsia="宋体" w:cs="Times New Roman"/>
                <w:szCs w:val="21"/>
              </w:rPr>
            </w:pPr>
          </w:p>
        </w:tc>
        <w:tc>
          <w:tcPr>
            <w:tcW w:w="1843" w:type="dxa"/>
            <w:gridSpan w:val="2"/>
            <w:vAlign w:val="center"/>
          </w:tcPr>
          <w:p>
            <w:pPr>
              <w:spacing w:line="30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BOD</w:t>
            </w:r>
          </w:p>
        </w:tc>
        <w:tc>
          <w:tcPr>
            <w:tcW w:w="2550" w:type="dxa"/>
            <w:gridSpan w:val="2"/>
            <w:vAlign w:val="center"/>
          </w:tcPr>
          <w:p>
            <w:pPr>
              <w:spacing w:line="30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rPr>
              <w:t>100</w:t>
            </w:r>
            <w:r>
              <w:rPr>
                <w:rFonts w:ascii="Times New Roman" w:hAnsi="Times New Roman" w:eastAsia="宋体" w:cs="Times New Roman"/>
                <w:color w:val="000000" w:themeColor="text1"/>
                <w:szCs w:val="21"/>
              </w:rPr>
              <w:t>mg/L</w:t>
            </w:r>
          </w:p>
        </w:tc>
        <w:tc>
          <w:tcPr>
            <w:tcW w:w="2744" w:type="dxa"/>
            <w:vMerge w:val="continue"/>
            <w:vAlign w:val="center"/>
          </w:tcPr>
          <w:p>
            <w:pPr>
              <w:spacing w:line="3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continue"/>
            <w:vAlign w:val="center"/>
          </w:tcPr>
          <w:p>
            <w:pPr>
              <w:spacing w:line="300" w:lineRule="exact"/>
              <w:jc w:val="center"/>
              <w:rPr>
                <w:rFonts w:ascii="Times New Roman" w:hAnsi="Times New Roman" w:eastAsia="宋体" w:cs="Times New Roman"/>
                <w:szCs w:val="21"/>
              </w:rPr>
            </w:pPr>
          </w:p>
        </w:tc>
        <w:tc>
          <w:tcPr>
            <w:tcW w:w="943" w:type="dxa"/>
            <w:vMerge w:val="continue"/>
            <w:vAlign w:val="center"/>
          </w:tcPr>
          <w:p>
            <w:pPr>
              <w:spacing w:line="300" w:lineRule="exact"/>
              <w:jc w:val="center"/>
              <w:rPr>
                <w:rFonts w:ascii="Times New Roman" w:hAnsi="Times New Roman" w:eastAsia="宋体" w:cs="Times New Roman"/>
                <w:szCs w:val="21"/>
              </w:rPr>
            </w:pPr>
          </w:p>
        </w:tc>
        <w:tc>
          <w:tcPr>
            <w:tcW w:w="1843" w:type="dxa"/>
            <w:gridSpan w:val="2"/>
            <w:vAlign w:val="center"/>
          </w:tcPr>
          <w:p>
            <w:pPr>
              <w:spacing w:line="30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氨氮</w:t>
            </w:r>
          </w:p>
        </w:tc>
        <w:tc>
          <w:tcPr>
            <w:tcW w:w="2550" w:type="dxa"/>
            <w:gridSpan w:val="2"/>
            <w:vAlign w:val="center"/>
          </w:tcPr>
          <w:p>
            <w:pPr>
              <w:spacing w:line="300" w:lineRule="exact"/>
              <w:jc w:val="center"/>
              <w:rPr>
                <w:rFonts w:ascii="Times New Roman" w:hAnsi="Times New Roman" w:eastAsia="宋体" w:cs="Times New Roman"/>
                <w:color w:val="000000" w:themeColor="text1"/>
                <w:szCs w:val="21"/>
              </w:rPr>
            </w:pPr>
            <w:r>
              <w:rPr>
                <w:rFonts w:hint="eastAsia" w:ascii="宋体" w:hAnsi="宋体" w:eastAsia="宋体" w:cs="Times New Roman"/>
                <w:color w:val="000000" w:themeColor="text1"/>
                <w:szCs w:val="21"/>
              </w:rPr>
              <w:t>—</w:t>
            </w:r>
          </w:p>
        </w:tc>
        <w:tc>
          <w:tcPr>
            <w:tcW w:w="2744" w:type="dxa"/>
            <w:vMerge w:val="continue"/>
            <w:vAlign w:val="center"/>
          </w:tcPr>
          <w:p>
            <w:pPr>
              <w:spacing w:line="3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continue"/>
            <w:vAlign w:val="center"/>
          </w:tcPr>
          <w:p>
            <w:pPr>
              <w:spacing w:line="300" w:lineRule="exact"/>
              <w:jc w:val="center"/>
              <w:rPr>
                <w:rFonts w:ascii="Times New Roman" w:hAnsi="Times New Roman" w:eastAsia="宋体" w:cs="Times New Roman"/>
                <w:szCs w:val="21"/>
              </w:rPr>
            </w:pPr>
          </w:p>
        </w:tc>
        <w:tc>
          <w:tcPr>
            <w:tcW w:w="943" w:type="dxa"/>
            <w:vMerge w:val="continue"/>
            <w:vAlign w:val="center"/>
          </w:tcPr>
          <w:p>
            <w:pPr>
              <w:spacing w:line="300" w:lineRule="exact"/>
              <w:jc w:val="center"/>
              <w:rPr>
                <w:rFonts w:ascii="Times New Roman" w:hAnsi="Times New Roman" w:eastAsia="宋体" w:cs="Times New Roman"/>
                <w:szCs w:val="21"/>
              </w:rPr>
            </w:pPr>
          </w:p>
        </w:tc>
        <w:tc>
          <w:tcPr>
            <w:tcW w:w="1843" w:type="dxa"/>
            <w:gridSpan w:val="2"/>
            <w:vAlign w:val="center"/>
          </w:tcPr>
          <w:p>
            <w:pPr>
              <w:spacing w:line="30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总氮</w:t>
            </w:r>
          </w:p>
        </w:tc>
        <w:tc>
          <w:tcPr>
            <w:tcW w:w="2550" w:type="dxa"/>
            <w:gridSpan w:val="2"/>
            <w:vAlign w:val="center"/>
          </w:tcPr>
          <w:p>
            <w:pPr>
              <w:spacing w:line="30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rPr>
              <w:t>70</w:t>
            </w:r>
            <w:r>
              <w:rPr>
                <w:rFonts w:ascii="Times New Roman" w:hAnsi="Times New Roman" w:eastAsia="宋体" w:cs="Times New Roman"/>
                <w:color w:val="000000" w:themeColor="text1"/>
                <w:szCs w:val="21"/>
              </w:rPr>
              <w:t xml:space="preserve"> mg/L</w:t>
            </w:r>
          </w:p>
        </w:tc>
        <w:tc>
          <w:tcPr>
            <w:tcW w:w="2744" w:type="dxa"/>
            <w:vMerge w:val="continue"/>
            <w:vAlign w:val="center"/>
          </w:tcPr>
          <w:p>
            <w:pPr>
              <w:spacing w:line="3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continue"/>
            <w:vAlign w:val="center"/>
          </w:tcPr>
          <w:p>
            <w:pPr>
              <w:spacing w:line="300" w:lineRule="exact"/>
              <w:jc w:val="center"/>
              <w:rPr>
                <w:rFonts w:ascii="Times New Roman" w:hAnsi="Times New Roman" w:eastAsia="宋体" w:cs="Times New Roman"/>
                <w:szCs w:val="21"/>
              </w:rPr>
            </w:pPr>
          </w:p>
        </w:tc>
        <w:tc>
          <w:tcPr>
            <w:tcW w:w="943" w:type="dxa"/>
            <w:vMerge w:val="continue"/>
            <w:vAlign w:val="center"/>
          </w:tcPr>
          <w:p>
            <w:pPr>
              <w:spacing w:line="300" w:lineRule="exact"/>
              <w:jc w:val="center"/>
              <w:rPr>
                <w:rFonts w:ascii="Times New Roman" w:hAnsi="Times New Roman" w:eastAsia="宋体" w:cs="Times New Roman"/>
                <w:szCs w:val="21"/>
              </w:rPr>
            </w:pPr>
          </w:p>
        </w:tc>
        <w:tc>
          <w:tcPr>
            <w:tcW w:w="1843" w:type="dxa"/>
            <w:gridSpan w:val="2"/>
            <w:vAlign w:val="center"/>
          </w:tcPr>
          <w:p>
            <w:pPr>
              <w:spacing w:line="30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总磷</w:t>
            </w:r>
          </w:p>
        </w:tc>
        <w:tc>
          <w:tcPr>
            <w:tcW w:w="2550" w:type="dxa"/>
            <w:gridSpan w:val="2"/>
            <w:vAlign w:val="center"/>
          </w:tcPr>
          <w:p>
            <w:pPr>
              <w:spacing w:line="30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rPr>
              <w:t>7.0</w:t>
            </w:r>
            <w:r>
              <w:rPr>
                <w:rFonts w:ascii="Times New Roman" w:hAnsi="Times New Roman" w:eastAsia="宋体" w:cs="Times New Roman"/>
                <w:color w:val="000000" w:themeColor="text1"/>
                <w:szCs w:val="21"/>
              </w:rPr>
              <w:t>mg/L</w:t>
            </w:r>
          </w:p>
        </w:tc>
        <w:tc>
          <w:tcPr>
            <w:tcW w:w="2744" w:type="dxa"/>
            <w:vMerge w:val="continue"/>
            <w:vAlign w:val="center"/>
          </w:tcPr>
          <w:p>
            <w:pPr>
              <w:spacing w:line="3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continue"/>
            <w:vAlign w:val="center"/>
          </w:tcPr>
          <w:p>
            <w:pPr>
              <w:spacing w:line="300" w:lineRule="exact"/>
              <w:jc w:val="center"/>
              <w:rPr>
                <w:rFonts w:ascii="Times New Roman" w:hAnsi="Times New Roman" w:eastAsia="宋体" w:cs="Times New Roman"/>
                <w:szCs w:val="21"/>
              </w:rPr>
            </w:pPr>
          </w:p>
        </w:tc>
        <w:tc>
          <w:tcPr>
            <w:tcW w:w="943" w:type="dxa"/>
            <w:vMerge w:val="continue"/>
            <w:vAlign w:val="center"/>
          </w:tcPr>
          <w:p>
            <w:pPr>
              <w:spacing w:line="300" w:lineRule="exact"/>
              <w:jc w:val="center"/>
              <w:rPr>
                <w:rFonts w:ascii="Times New Roman" w:hAnsi="Times New Roman" w:eastAsia="宋体" w:cs="Times New Roman"/>
                <w:szCs w:val="21"/>
              </w:rPr>
            </w:pPr>
          </w:p>
        </w:tc>
        <w:tc>
          <w:tcPr>
            <w:tcW w:w="1843" w:type="dxa"/>
            <w:gridSpan w:val="2"/>
            <w:vAlign w:val="center"/>
          </w:tcPr>
          <w:p>
            <w:pPr>
              <w:spacing w:line="30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SS</w:t>
            </w:r>
          </w:p>
        </w:tc>
        <w:tc>
          <w:tcPr>
            <w:tcW w:w="2550" w:type="dxa"/>
            <w:gridSpan w:val="2"/>
            <w:vAlign w:val="center"/>
          </w:tcPr>
          <w:p>
            <w:pPr>
              <w:spacing w:line="30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rPr>
              <w:t>60</w:t>
            </w:r>
            <w:r>
              <w:rPr>
                <w:rFonts w:ascii="Times New Roman" w:hAnsi="Times New Roman" w:eastAsia="宋体" w:cs="Times New Roman"/>
                <w:color w:val="000000" w:themeColor="text1"/>
                <w:szCs w:val="21"/>
              </w:rPr>
              <w:t xml:space="preserve"> mg/L</w:t>
            </w:r>
          </w:p>
        </w:tc>
        <w:tc>
          <w:tcPr>
            <w:tcW w:w="2744" w:type="dxa"/>
            <w:vMerge w:val="continue"/>
            <w:vAlign w:val="center"/>
          </w:tcPr>
          <w:p>
            <w:pPr>
              <w:spacing w:line="3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continue"/>
            <w:vAlign w:val="center"/>
          </w:tcPr>
          <w:p>
            <w:pPr>
              <w:spacing w:line="300" w:lineRule="exact"/>
              <w:jc w:val="center"/>
              <w:rPr>
                <w:rFonts w:ascii="Times New Roman" w:hAnsi="Times New Roman" w:eastAsia="宋体" w:cs="Times New Roman"/>
                <w:szCs w:val="21"/>
              </w:rPr>
            </w:pPr>
          </w:p>
        </w:tc>
        <w:tc>
          <w:tcPr>
            <w:tcW w:w="943" w:type="dxa"/>
            <w:vMerge w:val="continue"/>
            <w:vAlign w:val="center"/>
          </w:tcPr>
          <w:p>
            <w:pPr>
              <w:spacing w:line="300" w:lineRule="exact"/>
              <w:jc w:val="center"/>
              <w:rPr>
                <w:rFonts w:ascii="Times New Roman" w:hAnsi="Times New Roman" w:eastAsia="宋体" w:cs="Times New Roman"/>
                <w:szCs w:val="21"/>
              </w:rPr>
            </w:pPr>
          </w:p>
        </w:tc>
        <w:tc>
          <w:tcPr>
            <w:tcW w:w="1843" w:type="dxa"/>
            <w:gridSpan w:val="2"/>
            <w:vAlign w:val="center"/>
          </w:tcPr>
          <w:p>
            <w:pPr>
              <w:spacing w:line="30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动植物油</w:t>
            </w:r>
          </w:p>
        </w:tc>
        <w:tc>
          <w:tcPr>
            <w:tcW w:w="2550" w:type="dxa"/>
            <w:gridSpan w:val="2"/>
            <w:vAlign w:val="center"/>
          </w:tcPr>
          <w:p>
            <w:pPr>
              <w:spacing w:line="30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rPr>
              <w:t>20</w:t>
            </w:r>
            <w:r>
              <w:rPr>
                <w:rFonts w:ascii="Times New Roman" w:hAnsi="Times New Roman" w:eastAsia="宋体" w:cs="Times New Roman"/>
                <w:color w:val="000000" w:themeColor="text1"/>
                <w:szCs w:val="21"/>
              </w:rPr>
              <w:t xml:space="preserve"> mg/L</w:t>
            </w:r>
          </w:p>
        </w:tc>
        <w:tc>
          <w:tcPr>
            <w:tcW w:w="2744" w:type="dxa"/>
            <w:vMerge w:val="continue"/>
            <w:vAlign w:val="center"/>
          </w:tcPr>
          <w:p>
            <w:pPr>
              <w:spacing w:line="3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continue"/>
            <w:vAlign w:val="center"/>
          </w:tcPr>
          <w:p>
            <w:pPr>
              <w:spacing w:line="300" w:lineRule="exact"/>
              <w:jc w:val="center"/>
              <w:rPr>
                <w:rFonts w:ascii="Times New Roman" w:hAnsi="Times New Roman" w:eastAsia="宋体" w:cs="Times New Roman"/>
                <w:szCs w:val="21"/>
              </w:rPr>
            </w:pPr>
          </w:p>
        </w:tc>
        <w:tc>
          <w:tcPr>
            <w:tcW w:w="943" w:type="dxa"/>
            <w:vMerge w:val="continue"/>
            <w:vAlign w:val="center"/>
          </w:tcPr>
          <w:p>
            <w:pPr>
              <w:spacing w:line="300" w:lineRule="exact"/>
              <w:jc w:val="center"/>
              <w:rPr>
                <w:rFonts w:ascii="Times New Roman" w:hAnsi="Times New Roman" w:eastAsia="宋体" w:cs="Times New Roman"/>
                <w:szCs w:val="21"/>
              </w:rPr>
            </w:pPr>
          </w:p>
        </w:tc>
        <w:tc>
          <w:tcPr>
            <w:tcW w:w="1843" w:type="dxa"/>
            <w:gridSpan w:val="2"/>
            <w:vAlign w:val="center"/>
          </w:tcPr>
          <w:p>
            <w:pPr>
              <w:spacing w:line="30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总余氯</w:t>
            </w:r>
          </w:p>
        </w:tc>
        <w:tc>
          <w:tcPr>
            <w:tcW w:w="2550" w:type="dxa"/>
            <w:gridSpan w:val="2"/>
            <w:vAlign w:val="center"/>
          </w:tcPr>
          <w:p>
            <w:pPr>
              <w:spacing w:line="300" w:lineRule="exact"/>
              <w:jc w:val="center"/>
              <w:rPr>
                <w:rFonts w:ascii="Times New Roman" w:hAnsi="Times New Roman" w:eastAsia="宋体" w:cs="Times New Roman"/>
                <w:color w:val="000000" w:themeColor="text1"/>
                <w:szCs w:val="21"/>
              </w:rPr>
            </w:pPr>
            <w:r>
              <w:rPr>
                <w:rFonts w:hint="eastAsia" w:ascii="宋体" w:hAnsi="宋体" w:eastAsia="宋体" w:cs="宋体"/>
                <w:color w:val="000000" w:themeColor="text1"/>
                <w:szCs w:val="21"/>
              </w:rPr>
              <w:t>（消毒接触池接触时间≥</w:t>
            </w:r>
            <w:r>
              <w:rPr>
                <w:rFonts w:hint="eastAsia" w:ascii="PMingLiU-ExtB" w:hAnsi="PMingLiU-ExtB" w:eastAsia="PMingLiU-ExtB" w:cs="Times New Roman"/>
                <w:color w:val="000000" w:themeColor="text1"/>
                <w:szCs w:val="21"/>
              </w:rPr>
              <w:t xml:space="preserve">1h </w:t>
            </w:r>
            <w:r>
              <w:rPr>
                <w:rFonts w:hint="eastAsia" w:ascii="宋体" w:hAnsi="宋体" w:eastAsia="宋体" w:cs="宋体"/>
                <w:color w:val="000000" w:themeColor="text1"/>
                <w:szCs w:val="21"/>
              </w:rPr>
              <w:t>，接触池出口总余氯</w:t>
            </w:r>
            <w:r>
              <w:rPr>
                <w:rFonts w:hint="eastAsia" w:ascii="PMingLiU-ExtB" w:hAnsi="PMingLiU-ExtB" w:eastAsia="PMingLiU-ExtB" w:cs="Times New Roman"/>
                <w:color w:val="000000" w:themeColor="text1"/>
                <w:szCs w:val="21"/>
              </w:rPr>
              <w:t>2~8mg/L</w:t>
            </w:r>
            <w:r>
              <w:rPr>
                <w:rFonts w:hint="eastAsia" w:ascii="宋体" w:hAnsi="宋体" w:eastAsia="宋体" w:cs="宋体"/>
                <w:color w:val="000000" w:themeColor="text1"/>
                <w:szCs w:val="21"/>
              </w:rPr>
              <w:t>）</w:t>
            </w:r>
          </w:p>
        </w:tc>
        <w:tc>
          <w:tcPr>
            <w:tcW w:w="2744" w:type="dxa"/>
            <w:vMerge w:val="continue"/>
            <w:vAlign w:val="center"/>
          </w:tcPr>
          <w:p>
            <w:pPr>
              <w:spacing w:line="3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continue"/>
            <w:vAlign w:val="center"/>
          </w:tcPr>
          <w:p>
            <w:pPr>
              <w:spacing w:line="300" w:lineRule="exact"/>
              <w:jc w:val="center"/>
              <w:rPr>
                <w:rFonts w:ascii="Times New Roman" w:hAnsi="Times New Roman" w:eastAsia="宋体" w:cs="Times New Roman"/>
                <w:szCs w:val="21"/>
              </w:rPr>
            </w:pPr>
          </w:p>
        </w:tc>
        <w:tc>
          <w:tcPr>
            <w:tcW w:w="943" w:type="dxa"/>
            <w:vMerge w:val="continue"/>
            <w:vAlign w:val="center"/>
          </w:tcPr>
          <w:p>
            <w:pPr>
              <w:spacing w:line="300" w:lineRule="exact"/>
              <w:jc w:val="center"/>
              <w:rPr>
                <w:rFonts w:ascii="Times New Roman" w:hAnsi="Times New Roman" w:eastAsia="宋体" w:cs="Times New Roman"/>
                <w:szCs w:val="21"/>
              </w:rPr>
            </w:pPr>
          </w:p>
        </w:tc>
        <w:tc>
          <w:tcPr>
            <w:tcW w:w="1843" w:type="dxa"/>
            <w:gridSpan w:val="2"/>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粪大肠菌群</w:t>
            </w:r>
          </w:p>
        </w:tc>
        <w:tc>
          <w:tcPr>
            <w:tcW w:w="2550" w:type="dxa"/>
            <w:gridSpan w:val="2"/>
            <w:vAlign w:val="center"/>
          </w:tcPr>
          <w:p>
            <w:pPr>
              <w:spacing w:line="300" w:lineRule="exact"/>
              <w:jc w:val="center"/>
              <w:rPr>
                <w:rFonts w:ascii="Times New Roman" w:hAnsi="Times New Roman" w:eastAsia="宋体" w:cs="Times New Roman"/>
                <w:szCs w:val="21"/>
              </w:rPr>
            </w:pPr>
            <w:r>
              <w:rPr>
                <w:rFonts w:hint="eastAsia" w:ascii="宋体" w:hAnsi="宋体" w:eastAsia="宋体" w:cs="Times New Roman"/>
                <w:szCs w:val="21"/>
              </w:rPr>
              <w:t>≤</w:t>
            </w:r>
            <w:r>
              <w:rPr>
                <w:rFonts w:hint="eastAsia" w:ascii="Times New Roman" w:hAnsi="Times New Roman" w:eastAsia="宋体" w:cs="Times New Roman"/>
                <w:szCs w:val="21"/>
              </w:rPr>
              <w:t>5000 MPN/L</w:t>
            </w:r>
          </w:p>
        </w:tc>
        <w:tc>
          <w:tcPr>
            <w:tcW w:w="2744" w:type="dxa"/>
            <w:vMerge w:val="continue"/>
            <w:vAlign w:val="center"/>
          </w:tcPr>
          <w:p>
            <w:pPr>
              <w:spacing w:line="3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restart"/>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噪声</w:t>
            </w:r>
          </w:p>
        </w:tc>
        <w:tc>
          <w:tcPr>
            <w:tcW w:w="943" w:type="dxa"/>
            <w:vMerge w:val="restart"/>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营运期</w:t>
            </w:r>
          </w:p>
        </w:tc>
        <w:tc>
          <w:tcPr>
            <w:tcW w:w="1843" w:type="dxa"/>
            <w:gridSpan w:val="2"/>
            <w:vMerge w:val="restart"/>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Leq（A）</w:t>
            </w:r>
          </w:p>
        </w:tc>
        <w:tc>
          <w:tcPr>
            <w:tcW w:w="2550" w:type="dxa"/>
            <w:gridSpan w:val="2"/>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L</w:t>
            </w:r>
            <w:r>
              <w:rPr>
                <w:rFonts w:ascii="Times New Roman" w:hAnsi="Times New Roman" w:eastAsia="宋体" w:cs="Times New Roman"/>
                <w:szCs w:val="21"/>
                <w:vertAlign w:val="subscript"/>
              </w:rPr>
              <w:t>d</w:t>
            </w:r>
            <w:r>
              <w:rPr>
                <w:rFonts w:ascii="Times New Roman" w:hAnsi="Times New Roman" w:eastAsia="宋体" w:cs="Times New Roman"/>
                <w:szCs w:val="21"/>
              </w:rPr>
              <w:t>≤</w:t>
            </w:r>
            <w:r>
              <w:rPr>
                <w:rFonts w:hint="eastAsia" w:ascii="Times New Roman" w:hAnsi="Times New Roman" w:eastAsia="宋体" w:cs="Times New Roman"/>
                <w:szCs w:val="21"/>
              </w:rPr>
              <w:t>55</w:t>
            </w:r>
            <w:r>
              <w:rPr>
                <w:rFonts w:ascii="Times New Roman" w:hAnsi="Times New Roman" w:eastAsia="宋体" w:cs="Times New Roman"/>
                <w:szCs w:val="21"/>
              </w:rPr>
              <w:t>dB(A)</w:t>
            </w:r>
          </w:p>
          <w:p>
            <w:pPr>
              <w:spacing w:line="300" w:lineRule="exact"/>
              <w:jc w:val="center"/>
              <w:rPr>
                <w:rFonts w:ascii="Times New Roman" w:hAnsi="Times New Roman" w:eastAsia="宋体" w:cs="Times New Roman"/>
                <w:spacing w:val="-10"/>
                <w:szCs w:val="21"/>
              </w:rPr>
            </w:pPr>
            <w:r>
              <w:rPr>
                <w:rFonts w:ascii="Times New Roman" w:hAnsi="Times New Roman" w:eastAsia="宋体" w:cs="Times New Roman"/>
                <w:szCs w:val="21"/>
              </w:rPr>
              <w:t>L</w:t>
            </w:r>
            <w:r>
              <w:rPr>
                <w:rFonts w:ascii="Times New Roman" w:hAnsi="Times New Roman" w:eastAsia="宋体" w:cs="Times New Roman"/>
                <w:szCs w:val="21"/>
                <w:vertAlign w:val="subscript"/>
              </w:rPr>
              <w:t>n</w:t>
            </w:r>
            <w:r>
              <w:rPr>
                <w:rFonts w:ascii="Times New Roman" w:hAnsi="Times New Roman" w:eastAsia="宋体" w:cs="Times New Roman"/>
                <w:szCs w:val="21"/>
              </w:rPr>
              <w:t>≤</w:t>
            </w:r>
            <w:r>
              <w:rPr>
                <w:rFonts w:hint="eastAsia" w:ascii="Times New Roman" w:hAnsi="Times New Roman" w:eastAsia="宋体" w:cs="Times New Roman"/>
                <w:szCs w:val="21"/>
              </w:rPr>
              <w:t>45</w:t>
            </w:r>
            <w:r>
              <w:rPr>
                <w:rFonts w:ascii="Times New Roman" w:hAnsi="Times New Roman" w:eastAsia="宋体" w:cs="Times New Roman"/>
                <w:szCs w:val="21"/>
              </w:rPr>
              <w:t>dB(A)</w:t>
            </w:r>
          </w:p>
        </w:tc>
        <w:tc>
          <w:tcPr>
            <w:tcW w:w="2744" w:type="dxa"/>
            <w:vAlign w:val="center"/>
          </w:tcPr>
          <w:p>
            <w:pPr>
              <w:spacing w:line="300" w:lineRule="exact"/>
              <w:jc w:val="center"/>
              <w:rPr>
                <w:rFonts w:ascii="Times New Roman" w:hAnsi="Times New Roman" w:eastAsia="宋体" w:cs="Times New Roman"/>
                <w:spacing w:val="-20"/>
                <w:szCs w:val="21"/>
              </w:rPr>
            </w:pPr>
            <w:r>
              <w:rPr>
                <w:rFonts w:ascii="Times New Roman" w:hAnsi="Times New Roman" w:eastAsia="宋体" w:cs="Times New Roman"/>
                <w:szCs w:val="21"/>
              </w:rPr>
              <w:t>《工业企业厂界环境噪声排放标准》（GB12348-2008）</w:t>
            </w:r>
            <w:r>
              <w:rPr>
                <w:rFonts w:hint="eastAsia" w:ascii="Times New Roman" w:hAnsi="Times New Roman" w:eastAsia="宋体" w:cs="Times New Roman"/>
                <w:szCs w:val="21"/>
              </w:rPr>
              <w:t>1</w:t>
            </w:r>
            <w:r>
              <w:rPr>
                <w:rFonts w:ascii="Times New Roman" w:hAnsi="Times New Roman" w:eastAsia="宋体" w:cs="Times New Roman"/>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2" w:type="dxa"/>
            <w:vMerge w:val="continue"/>
            <w:vAlign w:val="center"/>
          </w:tcPr>
          <w:p>
            <w:pPr>
              <w:spacing w:line="300" w:lineRule="exact"/>
              <w:jc w:val="center"/>
              <w:rPr>
                <w:rFonts w:ascii="Times New Roman" w:hAnsi="Times New Roman" w:eastAsia="宋体" w:cs="Times New Roman"/>
                <w:szCs w:val="21"/>
              </w:rPr>
            </w:pPr>
          </w:p>
        </w:tc>
        <w:tc>
          <w:tcPr>
            <w:tcW w:w="943" w:type="dxa"/>
            <w:vMerge w:val="continue"/>
            <w:vAlign w:val="center"/>
          </w:tcPr>
          <w:p>
            <w:pPr>
              <w:spacing w:line="300" w:lineRule="exact"/>
              <w:jc w:val="center"/>
              <w:rPr>
                <w:rFonts w:ascii="Times New Roman" w:hAnsi="Times New Roman" w:eastAsia="宋体" w:cs="Times New Roman"/>
                <w:szCs w:val="21"/>
              </w:rPr>
            </w:pPr>
          </w:p>
        </w:tc>
        <w:tc>
          <w:tcPr>
            <w:tcW w:w="1843" w:type="dxa"/>
            <w:gridSpan w:val="2"/>
            <w:vMerge w:val="continue"/>
            <w:vAlign w:val="center"/>
          </w:tcPr>
          <w:p>
            <w:pPr>
              <w:spacing w:line="300" w:lineRule="exact"/>
              <w:jc w:val="center"/>
              <w:rPr>
                <w:rFonts w:ascii="Times New Roman" w:hAnsi="Times New Roman" w:eastAsia="宋体" w:cs="Times New Roman"/>
                <w:szCs w:val="21"/>
              </w:rPr>
            </w:pPr>
          </w:p>
        </w:tc>
        <w:tc>
          <w:tcPr>
            <w:tcW w:w="2550" w:type="dxa"/>
            <w:gridSpan w:val="2"/>
            <w:vAlign w:val="center"/>
          </w:tcPr>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L</w:t>
            </w:r>
            <w:r>
              <w:rPr>
                <w:rFonts w:ascii="Times New Roman" w:hAnsi="Times New Roman" w:eastAsia="宋体" w:cs="Times New Roman"/>
                <w:szCs w:val="21"/>
                <w:vertAlign w:val="subscript"/>
              </w:rPr>
              <w:t>d</w:t>
            </w:r>
            <w:r>
              <w:rPr>
                <w:rFonts w:ascii="Times New Roman" w:hAnsi="Times New Roman" w:eastAsia="宋体" w:cs="Times New Roman"/>
                <w:szCs w:val="21"/>
              </w:rPr>
              <w:t>≤</w:t>
            </w:r>
            <w:r>
              <w:rPr>
                <w:rFonts w:hint="eastAsia" w:ascii="Times New Roman" w:hAnsi="Times New Roman" w:eastAsia="宋体" w:cs="Times New Roman"/>
                <w:szCs w:val="21"/>
              </w:rPr>
              <w:t>70</w:t>
            </w:r>
            <w:r>
              <w:rPr>
                <w:rFonts w:ascii="Times New Roman" w:hAnsi="Times New Roman" w:eastAsia="宋体" w:cs="Times New Roman"/>
                <w:szCs w:val="21"/>
              </w:rPr>
              <w:t>dB(A)</w:t>
            </w:r>
          </w:p>
          <w:p>
            <w:pPr>
              <w:spacing w:line="300" w:lineRule="exact"/>
              <w:jc w:val="center"/>
              <w:rPr>
                <w:rFonts w:ascii="Times New Roman" w:hAnsi="Times New Roman" w:eastAsia="宋体" w:cs="Times New Roman"/>
                <w:szCs w:val="21"/>
              </w:rPr>
            </w:pPr>
            <w:r>
              <w:rPr>
                <w:rFonts w:ascii="Times New Roman" w:hAnsi="Times New Roman" w:eastAsia="宋体" w:cs="Times New Roman"/>
                <w:szCs w:val="21"/>
              </w:rPr>
              <w:t>L</w:t>
            </w:r>
            <w:r>
              <w:rPr>
                <w:rFonts w:ascii="Times New Roman" w:hAnsi="Times New Roman" w:eastAsia="宋体" w:cs="Times New Roman"/>
                <w:szCs w:val="21"/>
                <w:vertAlign w:val="subscript"/>
              </w:rPr>
              <w:t>n</w:t>
            </w:r>
            <w:r>
              <w:rPr>
                <w:rFonts w:ascii="Times New Roman" w:hAnsi="Times New Roman" w:eastAsia="宋体" w:cs="Times New Roman"/>
                <w:szCs w:val="21"/>
              </w:rPr>
              <w:t>≤55dB(A)</w:t>
            </w:r>
          </w:p>
        </w:tc>
        <w:tc>
          <w:tcPr>
            <w:tcW w:w="2744" w:type="dxa"/>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kern w:val="0"/>
                <w:szCs w:val="21"/>
              </w:rPr>
              <w:t>《工业企业厂界环境噪声排放标准》（</w:t>
            </w:r>
            <w:r>
              <w:rPr>
                <w:rFonts w:ascii="Times New Roman" w:hAnsi="Times New Roman" w:eastAsia="宋体" w:cs="Times New Roman"/>
                <w:kern w:val="0"/>
                <w:szCs w:val="21"/>
              </w:rPr>
              <w:t>GB12348-2008)4</w:t>
            </w:r>
            <w:r>
              <w:rPr>
                <w:rFonts w:hint="eastAsia" w:ascii="Times New Roman" w:hAnsi="Times New Roman" w:eastAsia="宋体" w:cs="Times New Roman"/>
                <w:kern w:val="0"/>
                <w:szCs w:val="21"/>
              </w:rPr>
              <w:t>类标准</w:t>
            </w:r>
          </w:p>
        </w:tc>
      </w:tr>
    </w:tbl>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2.10.3固体废物污染控制标准</w:t>
      </w:r>
    </w:p>
    <w:p>
      <w:pPr>
        <w:spacing w:line="360" w:lineRule="auto"/>
        <w:ind w:firstLine="480" w:firstLineChars="200"/>
        <w:rPr>
          <w:rFonts w:ascii="Times New Roman" w:hAnsi="Times New Roman" w:cs="Times New Roman"/>
          <w:sz w:val="24"/>
          <w:szCs w:val="24"/>
        </w:rPr>
      </w:pPr>
      <w:r>
        <w:rPr>
          <w:rFonts w:hint="eastAsia" w:cs="Times New Roman" w:asciiTheme="minorEastAsia" w:hAnsiTheme="minorEastAsia"/>
          <w:sz w:val="24"/>
          <w:szCs w:val="24"/>
        </w:rPr>
        <w:t>①</w:t>
      </w:r>
      <w:r>
        <w:rPr>
          <w:rFonts w:hint="eastAsia" w:ascii="Times New Roman" w:hAnsi="Times New Roman" w:cs="Times New Roman"/>
          <w:sz w:val="24"/>
          <w:szCs w:val="24"/>
        </w:rPr>
        <w:t>化粪池和</w:t>
      </w:r>
      <w:r>
        <w:rPr>
          <w:rFonts w:ascii="Times New Roman" w:hAnsi="Times New Roman" w:cs="Times New Roman"/>
          <w:sz w:val="24"/>
          <w:szCs w:val="24"/>
        </w:rPr>
        <w:t>污水处理站污泥执行《医疗机构水污染物排放标准》</w:t>
      </w:r>
      <w:r>
        <w:rPr>
          <w:rFonts w:hint="eastAsia" w:ascii="Times New Roman" w:hAnsi="Times New Roman" w:cs="Times New Roman"/>
          <w:sz w:val="24"/>
          <w:szCs w:val="24"/>
        </w:rPr>
        <w:t>（</w:t>
      </w:r>
      <w:r>
        <w:rPr>
          <w:rFonts w:ascii="Times New Roman" w:hAnsi="Times New Roman" w:cs="Times New Roman"/>
          <w:sz w:val="24"/>
          <w:szCs w:val="24"/>
        </w:rPr>
        <w:t>GB18466-2005</w:t>
      </w:r>
      <w:r>
        <w:rPr>
          <w:rFonts w:hint="eastAsia" w:ascii="Times New Roman" w:hAnsi="Times New Roman" w:cs="Times New Roman"/>
          <w:sz w:val="24"/>
          <w:szCs w:val="24"/>
        </w:rPr>
        <w:t>）</w:t>
      </w:r>
      <w:r>
        <w:rPr>
          <w:rFonts w:ascii="Times New Roman" w:hAnsi="Times New Roman" w:cs="Times New Roman"/>
          <w:sz w:val="24"/>
          <w:szCs w:val="24"/>
        </w:rPr>
        <w:t>表4医疗机构污泥控制标准</w:t>
      </w:r>
      <w:r>
        <w:rPr>
          <w:rFonts w:hint="eastAsia"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hint="eastAsia" w:ascii="宋体" w:hAnsi="宋体" w:eastAsia="宋体" w:cs="Times New Roman"/>
          <w:sz w:val="24"/>
          <w:szCs w:val="24"/>
        </w:rPr>
        <w:t>②</w:t>
      </w:r>
      <w:r>
        <w:rPr>
          <w:rFonts w:hint="eastAsia" w:ascii="Times New Roman" w:hAnsi="Times New Roman" w:cs="Times New Roman"/>
          <w:sz w:val="24"/>
          <w:szCs w:val="24"/>
        </w:rPr>
        <w:t>医疗废物在医院内的临时存放应按《危险废物贮存污染控制标准》（GB18597-2001）及其修改单和《医疗废物集中处置技术规范（试行）》（环发[2003]206号）中相关规定执行；</w:t>
      </w:r>
    </w:p>
    <w:p>
      <w:pPr>
        <w:spacing w:line="360" w:lineRule="auto"/>
        <w:ind w:firstLine="480" w:firstLineChars="200"/>
        <w:rPr>
          <w:rFonts w:ascii="Times New Roman" w:hAnsi="Times New Roman" w:cs="Times New Roman"/>
          <w:sz w:val="24"/>
          <w:szCs w:val="24"/>
        </w:rPr>
      </w:pPr>
      <w:r>
        <w:rPr>
          <w:rFonts w:hint="eastAsia" w:ascii="宋体" w:hAnsi="宋体" w:eastAsia="宋体" w:cs="Times New Roman"/>
          <w:sz w:val="24"/>
          <w:szCs w:val="24"/>
        </w:rPr>
        <w:t>③</w:t>
      </w:r>
      <w:r>
        <w:rPr>
          <w:rFonts w:ascii="Times New Roman" w:hAnsi="Times New Roman" w:cs="Times New Roman"/>
          <w:sz w:val="24"/>
          <w:szCs w:val="24"/>
        </w:rPr>
        <w:t>一般工业固废处置</w:t>
      </w:r>
      <w:r>
        <w:rPr>
          <w:rFonts w:hint="eastAsia" w:ascii="Times New Roman" w:hAnsi="Times New Roman" w:cs="Times New Roman"/>
          <w:sz w:val="24"/>
          <w:szCs w:val="24"/>
        </w:rPr>
        <w:t>执行</w:t>
      </w:r>
      <w:r>
        <w:rPr>
          <w:rFonts w:ascii="Times New Roman" w:hAnsi="Times New Roman" w:cs="Times New Roman"/>
          <w:sz w:val="24"/>
          <w:szCs w:val="24"/>
        </w:rPr>
        <w:t>《一般工业固体废物贮存、处置场污染控制标准》(GB18599-2001）标准及其修改单要求。</w:t>
      </w:r>
    </w:p>
    <w:p>
      <w:pPr>
        <w:overflowPunct w:val="0"/>
        <w:spacing w:line="360" w:lineRule="auto"/>
        <w:ind w:firstLine="482" w:firstLineChars="200"/>
        <w:jc w:val="center"/>
        <w:rPr>
          <w:rFonts w:ascii="Times New Roman" w:hAnsi="Times New Roman" w:eastAsia="宋体"/>
          <w:b/>
          <w:sz w:val="24"/>
          <w:szCs w:val="24"/>
        </w:rPr>
      </w:pPr>
      <w:r>
        <w:rPr>
          <w:rFonts w:ascii="Times New Roman" w:hAnsi="Times New Roman" w:eastAsia="宋体"/>
          <w:b/>
          <w:sz w:val="24"/>
          <w:szCs w:val="24"/>
        </w:rPr>
        <w:t>表2-</w:t>
      </w:r>
      <w:r>
        <w:rPr>
          <w:rFonts w:hint="eastAsia" w:ascii="Times New Roman" w:hAnsi="Times New Roman" w:eastAsia="宋体"/>
          <w:b/>
          <w:sz w:val="24"/>
          <w:szCs w:val="24"/>
        </w:rPr>
        <w:t>18</w:t>
      </w:r>
      <w:r>
        <w:rPr>
          <w:rFonts w:ascii="Times New Roman" w:hAnsi="Times New Roman" w:eastAsia="宋体"/>
          <w:b/>
          <w:sz w:val="24"/>
          <w:szCs w:val="24"/>
        </w:rPr>
        <w:t xml:space="preserve"> 固体废物控制标准</w:t>
      </w:r>
    </w:p>
    <w:tbl>
      <w:tblPr>
        <w:tblStyle w:val="27"/>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4"/>
        <w:gridCol w:w="649"/>
        <w:gridCol w:w="1582"/>
        <w:gridCol w:w="1418"/>
        <w:gridCol w:w="40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854" w:type="dxa"/>
            <w:shd w:val="clear" w:color="auto" w:fill="auto"/>
            <w:vAlign w:val="center"/>
          </w:tcPr>
          <w:p>
            <w:pPr>
              <w:overflowPunct w:val="0"/>
              <w:jc w:val="center"/>
              <w:rPr>
                <w:rFonts w:ascii="Times New Roman" w:hAnsi="Times New Roman" w:cs="Times New Roman"/>
                <w:szCs w:val="21"/>
              </w:rPr>
            </w:pPr>
            <w:r>
              <w:rPr>
                <w:rFonts w:ascii="Times New Roman" w:hAnsi="Times New Roman" w:cs="Times New Roman"/>
                <w:szCs w:val="21"/>
              </w:rPr>
              <w:t>项目</w:t>
            </w:r>
          </w:p>
        </w:tc>
        <w:tc>
          <w:tcPr>
            <w:tcW w:w="2231" w:type="dxa"/>
            <w:gridSpan w:val="2"/>
            <w:shd w:val="clear" w:color="auto" w:fill="auto"/>
            <w:vAlign w:val="center"/>
          </w:tcPr>
          <w:p>
            <w:pPr>
              <w:overflowPunct w:val="0"/>
              <w:jc w:val="center"/>
              <w:rPr>
                <w:rFonts w:ascii="Times New Roman" w:hAnsi="Times New Roman" w:cs="Times New Roman"/>
                <w:szCs w:val="21"/>
              </w:rPr>
            </w:pPr>
            <w:r>
              <w:rPr>
                <w:rFonts w:ascii="Times New Roman" w:hAnsi="Times New Roman" w:cs="Times New Roman"/>
                <w:szCs w:val="21"/>
              </w:rPr>
              <w:t>污染物</w:t>
            </w:r>
          </w:p>
        </w:tc>
        <w:tc>
          <w:tcPr>
            <w:tcW w:w="1418" w:type="dxa"/>
            <w:vAlign w:val="center"/>
          </w:tcPr>
          <w:p>
            <w:pPr>
              <w:overflowPunct w:val="0"/>
              <w:jc w:val="center"/>
              <w:rPr>
                <w:rFonts w:ascii="Times New Roman" w:hAnsi="Times New Roman" w:cs="Times New Roman"/>
                <w:szCs w:val="21"/>
              </w:rPr>
            </w:pPr>
            <w:r>
              <w:rPr>
                <w:rFonts w:ascii="Times New Roman" w:hAnsi="Times New Roman" w:cs="Times New Roman"/>
                <w:szCs w:val="21"/>
              </w:rPr>
              <w:t>标准值</w:t>
            </w:r>
          </w:p>
        </w:tc>
        <w:tc>
          <w:tcPr>
            <w:tcW w:w="4019" w:type="dxa"/>
            <w:shd w:val="clear" w:color="auto" w:fill="auto"/>
            <w:vAlign w:val="center"/>
          </w:tcPr>
          <w:p>
            <w:pPr>
              <w:overflowPunct w:val="0"/>
              <w:jc w:val="center"/>
              <w:rPr>
                <w:rFonts w:ascii="Times New Roman" w:hAnsi="Times New Roman" w:cs="Times New Roman"/>
                <w:szCs w:val="21"/>
              </w:rPr>
            </w:pPr>
            <w:r>
              <w:rPr>
                <w:rFonts w:ascii="Times New Roman" w:hAnsi="Times New Roman" w:cs="Times New Roman"/>
                <w:szCs w:val="21"/>
              </w:rPr>
              <w:t>参照标准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2" w:hRule="atLeast"/>
          <w:jc w:val="center"/>
        </w:trPr>
        <w:tc>
          <w:tcPr>
            <w:tcW w:w="854" w:type="dxa"/>
            <w:vMerge w:val="restart"/>
            <w:shd w:val="clear" w:color="auto" w:fill="auto"/>
            <w:vAlign w:val="center"/>
          </w:tcPr>
          <w:p>
            <w:pPr>
              <w:overflowPunct w:val="0"/>
              <w:jc w:val="center"/>
              <w:rPr>
                <w:rFonts w:ascii="Times New Roman" w:hAnsi="Times New Roman" w:cs="Times New Roman"/>
                <w:szCs w:val="21"/>
              </w:rPr>
            </w:pPr>
            <w:r>
              <w:rPr>
                <w:rFonts w:ascii="Times New Roman" w:hAnsi="Times New Roman" w:cs="Times New Roman"/>
                <w:szCs w:val="21"/>
              </w:rPr>
              <w:t>固体</w:t>
            </w:r>
          </w:p>
          <w:p>
            <w:pPr>
              <w:overflowPunct w:val="0"/>
              <w:jc w:val="center"/>
              <w:rPr>
                <w:rFonts w:ascii="Times New Roman" w:hAnsi="Times New Roman" w:cs="Times New Roman"/>
                <w:szCs w:val="21"/>
              </w:rPr>
            </w:pPr>
            <w:r>
              <w:rPr>
                <w:rFonts w:ascii="Times New Roman" w:hAnsi="Times New Roman" w:cs="Times New Roman"/>
                <w:szCs w:val="21"/>
              </w:rPr>
              <w:t>废物</w:t>
            </w:r>
          </w:p>
        </w:tc>
        <w:tc>
          <w:tcPr>
            <w:tcW w:w="649" w:type="dxa"/>
            <w:vMerge w:val="restart"/>
            <w:shd w:val="clear" w:color="auto" w:fill="auto"/>
            <w:vAlign w:val="center"/>
          </w:tcPr>
          <w:p>
            <w:pPr>
              <w:overflowPunct w:val="0"/>
              <w:jc w:val="center"/>
              <w:rPr>
                <w:rFonts w:ascii="Times New Roman" w:hAnsi="Times New Roman" w:cs="Times New Roman"/>
                <w:szCs w:val="21"/>
              </w:rPr>
            </w:pPr>
            <w:r>
              <w:rPr>
                <w:rFonts w:ascii="Times New Roman" w:hAnsi="Times New Roman" w:cs="Times New Roman"/>
                <w:szCs w:val="21"/>
              </w:rPr>
              <w:t>污泥</w:t>
            </w:r>
          </w:p>
        </w:tc>
        <w:tc>
          <w:tcPr>
            <w:tcW w:w="1582"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粪大肠菌群数</w:t>
            </w:r>
          </w:p>
        </w:tc>
        <w:tc>
          <w:tcPr>
            <w:tcW w:w="1418" w:type="dxa"/>
            <w:vAlign w:val="center"/>
          </w:tcPr>
          <w:p>
            <w:pPr>
              <w:jc w:val="center"/>
              <w:rPr>
                <w:rFonts w:ascii="Times New Roman" w:hAnsi="Times New Roman" w:cs="Times New Roman"/>
                <w:szCs w:val="21"/>
              </w:rPr>
            </w:pPr>
            <w:r>
              <w:rPr>
                <w:rFonts w:ascii="Times New Roman" w:hAnsi="Times New Roman" w:cs="Times New Roman"/>
                <w:szCs w:val="21"/>
              </w:rPr>
              <w:t>≤100MNP/g</w:t>
            </w:r>
          </w:p>
        </w:tc>
        <w:tc>
          <w:tcPr>
            <w:tcW w:w="4019" w:type="dxa"/>
            <w:vMerge w:val="restart"/>
            <w:shd w:val="clear" w:color="auto" w:fill="auto"/>
            <w:vAlign w:val="center"/>
          </w:tcPr>
          <w:p>
            <w:pPr>
              <w:overflowPunct w:val="0"/>
              <w:jc w:val="center"/>
              <w:rPr>
                <w:rFonts w:ascii="Times New Roman" w:hAnsi="Times New Roman" w:cs="Times New Roman"/>
                <w:szCs w:val="21"/>
              </w:rPr>
            </w:pPr>
            <w:r>
              <w:rPr>
                <w:rFonts w:ascii="Times New Roman" w:hAnsi="Times New Roman" w:cs="Times New Roman"/>
                <w:szCs w:val="21"/>
              </w:rPr>
              <w:t>《医疗机构水污染物排放标准》（GB18466-2005）表4医疗机构污泥控制标准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5" w:hRule="atLeast"/>
          <w:jc w:val="center"/>
        </w:trPr>
        <w:tc>
          <w:tcPr>
            <w:tcW w:w="854" w:type="dxa"/>
            <w:vMerge w:val="continue"/>
            <w:shd w:val="clear" w:color="auto" w:fill="auto"/>
            <w:vAlign w:val="center"/>
          </w:tcPr>
          <w:p>
            <w:pPr>
              <w:overflowPunct w:val="0"/>
              <w:jc w:val="center"/>
              <w:rPr>
                <w:rFonts w:ascii="Times New Roman" w:hAnsi="Times New Roman" w:cs="Times New Roman"/>
                <w:szCs w:val="21"/>
              </w:rPr>
            </w:pPr>
          </w:p>
        </w:tc>
        <w:tc>
          <w:tcPr>
            <w:tcW w:w="649" w:type="dxa"/>
            <w:vMerge w:val="continue"/>
            <w:shd w:val="clear" w:color="auto" w:fill="auto"/>
            <w:vAlign w:val="center"/>
          </w:tcPr>
          <w:p>
            <w:pPr>
              <w:overflowPunct w:val="0"/>
              <w:jc w:val="center"/>
              <w:rPr>
                <w:rFonts w:ascii="Times New Roman" w:hAnsi="Times New Roman" w:cs="Times New Roman"/>
                <w:szCs w:val="21"/>
              </w:rPr>
            </w:pPr>
          </w:p>
        </w:tc>
        <w:tc>
          <w:tcPr>
            <w:tcW w:w="1582"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蛔虫卵死亡率</w:t>
            </w:r>
          </w:p>
        </w:tc>
        <w:tc>
          <w:tcPr>
            <w:tcW w:w="1418" w:type="dxa"/>
            <w:vAlign w:val="center"/>
          </w:tcPr>
          <w:p>
            <w:pPr>
              <w:jc w:val="center"/>
              <w:rPr>
                <w:rFonts w:ascii="Times New Roman" w:hAnsi="Times New Roman" w:cs="Times New Roman"/>
                <w:szCs w:val="21"/>
              </w:rPr>
            </w:pPr>
            <w:r>
              <w:rPr>
                <w:rFonts w:ascii="Times New Roman" w:hAnsi="Times New Roman" w:cs="Times New Roman"/>
                <w:szCs w:val="21"/>
              </w:rPr>
              <w:t>＞95%</w:t>
            </w:r>
          </w:p>
        </w:tc>
        <w:tc>
          <w:tcPr>
            <w:tcW w:w="4019" w:type="dxa"/>
            <w:vMerge w:val="continue"/>
            <w:shd w:val="clear" w:color="auto" w:fill="auto"/>
            <w:vAlign w:val="center"/>
          </w:tcPr>
          <w:p>
            <w:pPr>
              <w:overflowPunct w:val="0"/>
              <w:jc w:val="center"/>
              <w:rPr>
                <w:rFonts w:ascii="Times New Roman" w:hAnsi="Times New Roman"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854" w:type="dxa"/>
            <w:vMerge w:val="continue"/>
            <w:shd w:val="clear" w:color="auto" w:fill="auto"/>
            <w:vAlign w:val="center"/>
          </w:tcPr>
          <w:p>
            <w:pPr>
              <w:overflowPunct w:val="0"/>
              <w:jc w:val="center"/>
              <w:rPr>
                <w:rFonts w:ascii="Times New Roman" w:hAnsi="Times New Roman" w:cs="Times New Roman"/>
                <w:szCs w:val="21"/>
              </w:rPr>
            </w:pPr>
          </w:p>
        </w:tc>
        <w:tc>
          <w:tcPr>
            <w:tcW w:w="2231" w:type="dxa"/>
            <w:gridSpan w:val="2"/>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医疗废物</w:t>
            </w:r>
          </w:p>
        </w:tc>
        <w:tc>
          <w:tcPr>
            <w:tcW w:w="1418" w:type="dxa"/>
            <w:vAlign w:val="center"/>
          </w:tcPr>
          <w:p>
            <w:pPr>
              <w:jc w:val="center"/>
              <w:rPr>
                <w:rFonts w:ascii="Times New Roman" w:hAnsi="Times New Roman" w:cs="Times New Roman"/>
                <w:spacing w:val="-10"/>
                <w:szCs w:val="21"/>
              </w:rPr>
            </w:pPr>
            <w:r>
              <w:rPr>
                <w:rFonts w:ascii="Times New Roman" w:hAnsi="Times New Roman" w:cs="Times New Roman"/>
                <w:spacing w:val="-10"/>
                <w:szCs w:val="21"/>
              </w:rPr>
              <w:t>—</w:t>
            </w:r>
          </w:p>
        </w:tc>
        <w:tc>
          <w:tcPr>
            <w:tcW w:w="4019" w:type="dxa"/>
            <w:shd w:val="clear" w:color="auto" w:fill="auto"/>
            <w:vAlign w:val="center"/>
          </w:tcPr>
          <w:p>
            <w:pPr>
              <w:widowControl/>
              <w:jc w:val="center"/>
              <w:rPr>
                <w:rFonts w:ascii="Times New Roman" w:hAnsi="Times New Roman" w:cs="Times New Roman"/>
                <w:szCs w:val="21"/>
              </w:rPr>
            </w:pPr>
            <w:r>
              <w:rPr>
                <w:rFonts w:ascii="Times New Roman" w:hAnsi="Times New Roman" w:cs="Times New Roman"/>
                <w:szCs w:val="21"/>
              </w:rPr>
              <w:t>医疗废物在医院内的临时存放应按《危险废物贮存污染控制标准》（GB18597-2001）及其修改单和《医疗废物集中处置技术规范（试行）》（环发[2003]206号）中相关规定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854" w:type="dxa"/>
            <w:vMerge w:val="continue"/>
            <w:shd w:val="clear" w:color="auto" w:fill="auto"/>
            <w:vAlign w:val="center"/>
          </w:tcPr>
          <w:p>
            <w:pPr>
              <w:overflowPunct w:val="0"/>
              <w:jc w:val="center"/>
              <w:rPr>
                <w:rFonts w:ascii="Times New Roman" w:hAnsi="Times New Roman" w:cs="Times New Roman"/>
                <w:szCs w:val="21"/>
              </w:rPr>
            </w:pPr>
          </w:p>
        </w:tc>
        <w:tc>
          <w:tcPr>
            <w:tcW w:w="2231" w:type="dxa"/>
            <w:gridSpan w:val="2"/>
            <w:shd w:val="clear" w:color="auto" w:fill="auto"/>
            <w:vAlign w:val="center"/>
          </w:tcPr>
          <w:p>
            <w:pPr>
              <w:overflowPunct w:val="0"/>
              <w:jc w:val="center"/>
              <w:rPr>
                <w:rFonts w:ascii="Times New Roman" w:hAnsi="Times New Roman" w:cs="Times New Roman"/>
                <w:szCs w:val="21"/>
              </w:rPr>
            </w:pPr>
            <w:r>
              <w:rPr>
                <w:rFonts w:ascii="Times New Roman" w:hAnsi="Times New Roman" w:cs="Times New Roman"/>
                <w:szCs w:val="21"/>
              </w:rPr>
              <w:t>一般工业固废</w:t>
            </w:r>
          </w:p>
        </w:tc>
        <w:tc>
          <w:tcPr>
            <w:tcW w:w="1418" w:type="dxa"/>
            <w:vAlign w:val="center"/>
          </w:tcPr>
          <w:p>
            <w:pPr>
              <w:overflowPunct w:val="0"/>
              <w:jc w:val="center"/>
              <w:rPr>
                <w:rFonts w:ascii="Times New Roman" w:hAnsi="Times New Roman" w:cs="Times New Roman"/>
                <w:szCs w:val="21"/>
              </w:rPr>
            </w:pPr>
            <w:r>
              <w:rPr>
                <w:rFonts w:hint="eastAsia" w:cs="Times New Roman" w:asciiTheme="minorEastAsia" w:hAnsiTheme="minorEastAsia"/>
                <w:szCs w:val="21"/>
              </w:rPr>
              <w:t>─</w:t>
            </w:r>
          </w:p>
        </w:tc>
        <w:tc>
          <w:tcPr>
            <w:tcW w:w="4019" w:type="dxa"/>
            <w:shd w:val="clear" w:color="auto" w:fill="auto"/>
            <w:vAlign w:val="center"/>
          </w:tcPr>
          <w:p>
            <w:pPr>
              <w:overflowPunct w:val="0"/>
              <w:jc w:val="center"/>
              <w:rPr>
                <w:rFonts w:ascii="Times New Roman" w:hAnsi="Times New Roman" w:cs="Times New Roman"/>
                <w:szCs w:val="21"/>
              </w:rPr>
            </w:pPr>
            <w:r>
              <w:rPr>
                <w:rFonts w:ascii="Times New Roman" w:hAnsi="Times New Roman" w:cs="Times New Roman"/>
                <w:szCs w:val="21"/>
              </w:rPr>
              <w:t>《一般工业固体废物贮存、处置场污染控制标准》(GB18599-2001）标准及其修改单要求</w:t>
            </w:r>
          </w:p>
        </w:tc>
      </w:tr>
    </w:tbl>
    <w:p>
      <w:pPr>
        <w:spacing w:line="360" w:lineRule="auto"/>
        <w:ind w:firstLine="480" w:firstLineChars="200"/>
        <w:rPr>
          <w:rFonts w:ascii="Times New Roman" w:hAnsi="Times New Roman" w:cs="Times New Roman"/>
          <w:sz w:val="24"/>
          <w:szCs w:val="24"/>
        </w:rPr>
      </w:pPr>
    </w:p>
    <w:p>
      <w:pPr>
        <w:spacing w:line="360" w:lineRule="auto"/>
        <w:ind w:firstLine="120" w:firstLineChars="50"/>
        <w:rPr>
          <w:rFonts w:ascii="Times New Roman" w:hAnsi="Times New Roman" w:cs="Times New Roman"/>
          <w:sz w:val="24"/>
          <w:szCs w:val="24"/>
        </w:rPr>
        <w:sectPr>
          <w:pgSz w:w="11906" w:h="16838"/>
          <w:pgMar w:top="1440" w:right="1800" w:bottom="1440" w:left="1800" w:header="851" w:footer="992" w:gutter="0"/>
          <w:cols w:space="425" w:num="1"/>
          <w:docGrid w:type="lines" w:linePitch="312" w:charSpace="0"/>
        </w:sectPr>
      </w:pPr>
    </w:p>
    <w:p>
      <w:pPr>
        <w:pStyle w:val="2"/>
        <w:spacing w:before="0" w:after="0" w:line="360" w:lineRule="auto"/>
        <w:rPr>
          <w:rFonts w:ascii="Times New Roman" w:hAnsi="Times New Roman" w:cs="Times New Roman"/>
          <w:sz w:val="30"/>
          <w:szCs w:val="30"/>
        </w:rPr>
      </w:pPr>
      <w:bookmarkStart w:id="22" w:name="_Toc13725348"/>
      <w:r>
        <w:rPr>
          <w:rFonts w:ascii="Times New Roman" w:hAnsi="Times New Roman" w:cs="Times New Roman"/>
          <w:sz w:val="30"/>
          <w:szCs w:val="30"/>
        </w:rPr>
        <w:t>3.建设项目工程分析</w:t>
      </w:r>
      <w:bookmarkEnd w:id="22"/>
    </w:p>
    <w:p>
      <w:pPr>
        <w:pStyle w:val="3"/>
        <w:spacing w:before="0" w:after="0" w:line="360" w:lineRule="auto"/>
        <w:rPr>
          <w:rFonts w:ascii="Times New Roman" w:hAnsi="Times New Roman" w:cs="Times New Roman"/>
          <w:sz w:val="28"/>
          <w:szCs w:val="28"/>
        </w:rPr>
      </w:pPr>
      <w:bookmarkStart w:id="23" w:name="_Toc13725349"/>
      <w:r>
        <w:rPr>
          <w:rFonts w:ascii="Times New Roman" w:hAnsi="Times New Roman" w:cs="Times New Roman"/>
          <w:sz w:val="28"/>
          <w:szCs w:val="28"/>
        </w:rPr>
        <w:t>3.1项目概况</w:t>
      </w:r>
      <w:bookmarkEnd w:id="23"/>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3.1.1建设项目基本情况</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1</w:t>
      </w:r>
      <w:r>
        <w:rPr>
          <w:rFonts w:hint="eastAsia" w:ascii="Times New Roman" w:hAnsi="Times New Roman" w:cs="Times New Roman"/>
          <w:sz w:val="24"/>
          <w:szCs w:val="24"/>
        </w:rPr>
        <w:t>）项目名称：</w:t>
      </w:r>
      <w:r>
        <w:rPr>
          <w:rFonts w:hint="eastAsia" w:ascii="Times New Roman" w:hAnsi="Times New Roman" w:cs="Times New Roman"/>
          <w:bCs/>
          <w:sz w:val="24"/>
          <w:szCs w:val="24"/>
        </w:rPr>
        <w:t>保定市第一中医院门诊、病房及综合培训楼新建项目</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2</w:t>
      </w:r>
      <w:r>
        <w:rPr>
          <w:rFonts w:hint="eastAsia" w:ascii="Times New Roman" w:hAnsi="Times New Roman" w:cs="Times New Roman"/>
          <w:sz w:val="24"/>
          <w:szCs w:val="24"/>
        </w:rPr>
        <w:t>）建设性质：新建</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3</w:t>
      </w:r>
      <w:r>
        <w:rPr>
          <w:rFonts w:hint="eastAsia" w:ascii="Times New Roman" w:hAnsi="Times New Roman" w:cs="Times New Roman"/>
          <w:sz w:val="24"/>
          <w:szCs w:val="24"/>
        </w:rPr>
        <w:t>）建设单位：</w:t>
      </w:r>
      <w:r>
        <w:rPr>
          <w:rFonts w:hint="eastAsia" w:ascii="Times New Roman" w:hAnsi="Times New Roman" w:cs="Times New Roman"/>
          <w:bCs/>
          <w:sz w:val="24"/>
          <w:szCs w:val="24"/>
        </w:rPr>
        <w:t>保定市第一中医院</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4</w:t>
      </w:r>
      <w:r>
        <w:rPr>
          <w:rFonts w:hint="eastAsia" w:ascii="Times New Roman" w:hAnsi="Times New Roman" w:cs="Times New Roman"/>
          <w:sz w:val="24"/>
          <w:szCs w:val="24"/>
        </w:rPr>
        <w:t>）建设地点：本项目位于保定市莲池区华电路南侧，秀兰﹒文景苑小区东侧，厂区中心地理位置坐标为东经</w:t>
      </w:r>
      <w:r>
        <w:rPr>
          <w:rFonts w:ascii="Times New Roman" w:hAnsi="Times New Roman" w:cs="Times New Roman"/>
          <w:sz w:val="24"/>
          <w:szCs w:val="24"/>
        </w:rPr>
        <w:t>115°</w:t>
      </w:r>
      <w:r>
        <w:rPr>
          <w:rFonts w:hint="eastAsia" w:ascii="Times New Roman" w:hAnsi="Times New Roman" w:cs="Times New Roman"/>
          <w:sz w:val="24"/>
          <w:szCs w:val="24"/>
        </w:rPr>
        <w:t>30</w:t>
      </w:r>
      <w:r>
        <w:rPr>
          <w:rFonts w:ascii="Times New Roman" w:hAnsi="Times New Roman" w:cs="Times New Roman"/>
          <w:sz w:val="24"/>
          <w:szCs w:val="24"/>
        </w:rPr>
        <w:t>′</w:t>
      </w:r>
      <w:r>
        <w:rPr>
          <w:rFonts w:hint="eastAsia" w:ascii="Times New Roman" w:hAnsi="Times New Roman" w:cs="Times New Roman"/>
          <w:sz w:val="24"/>
          <w:szCs w:val="24"/>
        </w:rPr>
        <w:t>21.56</w:t>
      </w:r>
      <w:r>
        <w:rPr>
          <w:rFonts w:ascii="Times New Roman" w:hAnsi="Times New Roman" w:cs="Times New Roman"/>
          <w:sz w:val="24"/>
          <w:szCs w:val="24"/>
        </w:rPr>
        <w:t>″ 、</w:t>
      </w:r>
      <w:r>
        <w:rPr>
          <w:rFonts w:hint="eastAsia" w:ascii="Times New Roman" w:hAnsi="Times New Roman" w:cs="Times New Roman"/>
          <w:sz w:val="24"/>
          <w:szCs w:val="24"/>
        </w:rPr>
        <w:t>北纬</w:t>
      </w:r>
      <w:r>
        <w:rPr>
          <w:rFonts w:ascii="Times New Roman" w:hAnsi="Times New Roman" w:cs="Times New Roman"/>
          <w:sz w:val="24"/>
          <w:szCs w:val="24"/>
        </w:rPr>
        <w:t>3</w:t>
      </w:r>
      <w:r>
        <w:rPr>
          <w:rFonts w:hint="eastAsia" w:ascii="Times New Roman" w:hAnsi="Times New Roman" w:cs="Times New Roman"/>
          <w:sz w:val="24"/>
          <w:szCs w:val="24"/>
        </w:rPr>
        <w:t>8</w:t>
      </w:r>
      <w:r>
        <w:rPr>
          <w:rFonts w:ascii="Times New Roman" w:hAnsi="Times New Roman" w:cs="Times New Roman"/>
          <w:sz w:val="24"/>
          <w:szCs w:val="24"/>
        </w:rPr>
        <w:t>°</w:t>
      </w:r>
      <w:r>
        <w:rPr>
          <w:rFonts w:hint="eastAsia" w:ascii="Times New Roman" w:hAnsi="Times New Roman" w:cs="Times New Roman"/>
          <w:sz w:val="24"/>
          <w:szCs w:val="24"/>
        </w:rPr>
        <w:t>53</w:t>
      </w:r>
      <w:r>
        <w:rPr>
          <w:rFonts w:ascii="Times New Roman" w:hAnsi="Times New Roman" w:cs="Times New Roman"/>
          <w:sz w:val="24"/>
          <w:szCs w:val="24"/>
        </w:rPr>
        <w:t>′</w:t>
      </w:r>
      <w:r>
        <w:rPr>
          <w:rFonts w:hint="eastAsia" w:ascii="Times New Roman" w:hAnsi="Times New Roman" w:cs="Times New Roman"/>
          <w:sz w:val="24"/>
          <w:szCs w:val="24"/>
        </w:rPr>
        <w:t>5.00</w:t>
      </w:r>
      <w:r>
        <w:rPr>
          <w:rFonts w:ascii="Times New Roman" w:hAnsi="Times New Roman" w:cs="Times New Roman"/>
          <w:sz w:val="24"/>
          <w:szCs w:val="24"/>
        </w:rPr>
        <w:t>″</w:t>
      </w:r>
      <w:r>
        <w:rPr>
          <w:rFonts w:hint="eastAsia"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（5）建设内容：建设1栋8层门诊楼，1栋15层住院楼，1栋6层综合培训楼，设计停车位516个（不设人防），容积率2.17，建筑密度38.30%，绿地率30.00%。</w:t>
      </w:r>
    </w:p>
    <w:p>
      <w:pPr>
        <w:spacing w:line="360" w:lineRule="auto"/>
        <w:ind w:firstLine="480" w:firstLineChars="200"/>
        <w:rPr>
          <w:rFonts w:ascii="Times New Roman" w:hAnsi="Times New Roman" w:cs="Times New Roman"/>
          <w:color w:val="FF0000"/>
          <w:sz w:val="24"/>
          <w:szCs w:val="24"/>
        </w:rPr>
      </w:pPr>
      <w:r>
        <w:rPr>
          <w:rFonts w:hint="eastAsia" w:ascii="Times New Roman" w:hAnsi="Times New Roman" w:cs="Times New Roman"/>
          <w:sz w:val="24"/>
          <w:szCs w:val="24"/>
        </w:rPr>
        <w:t>（6）建设规模</w:t>
      </w:r>
      <w:r>
        <w:rPr>
          <w:rFonts w:hint="eastAsia" w:ascii="Times New Roman" w:hAnsi="Times New Roman" w:cs="Times New Roman"/>
          <w:color w:val="000000" w:themeColor="text1"/>
          <w:sz w:val="24"/>
          <w:szCs w:val="24"/>
        </w:rPr>
        <w:t>：本项目总占地面积为18500m</w:t>
      </w:r>
      <w:r>
        <w:rPr>
          <w:rFonts w:hint="eastAsia" w:ascii="Times New Roman" w:hAnsi="Times New Roman" w:cs="Times New Roman"/>
          <w:color w:val="000000" w:themeColor="text1"/>
          <w:sz w:val="24"/>
          <w:szCs w:val="24"/>
          <w:vertAlign w:val="superscript"/>
        </w:rPr>
        <w:t>2</w:t>
      </w:r>
      <w:r>
        <w:rPr>
          <w:rFonts w:hint="eastAsia" w:ascii="Times New Roman" w:hAnsi="Times New Roman" w:cs="Times New Roman"/>
          <w:color w:val="000000" w:themeColor="text1"/>
          <w:sz w:val="24"/>
          <w:szCs w:val="24"/>
        </w:rPr>
        <w:t>，建筑基底面积7079.04m</w:t>
      </w:r>
      <w:r>
        <w:rPr>
          <w:rFonts w:hint="eastAsia" w:ascii="Times New Roman" w:hAnsi="Times New Roman" w:cs="Times New Roman"/>
          <w:color w:val="000000" w:themeColor="text1"/>
          <w:sz w:val="24"/>
          <w:szCs w:val="24"/>
          <w:vertAlign w:val="superscript"/>
        </w:rPr>
        <w:t>2</w:t>
      </w:r>
      <w:r>
        <w:rPr>
          <w:rFonts w:hint="eastAsia" w:ascii="Times New Roman" w:hAnsi="Times New Roman" w:cs="Times New Roman"/>
          <w:color w:val="000000" w:themeColor="text1"/>
          <w:sz w:val="24"/>
          <w:szCs w:val="24"/>
        </w:rPr>
        <w:t>，总建筑面积55350.00m</w:t>
      </w:r>
      <w:r>
        <w:rPr>
          <w:rFonts w:hint="eastAsia" w:ascii="Times New Roman" w:hAnsi="Times New Roman" w:cs="Times New Roman"/>
          <w:color w:val="000000" w:themeColor="text1"/>
          <w:sz w:val="24"/>
          <w:szCs w:val="24"/>
          <w:vertAlign w:val="superscript"/>
        </w:rPr>
        <w:t>2</w:t>
      </w:r>
      <w:r>
        <w:rPr>
          <w:rFonts w:hint="eastAsia" w:ascii="Times New Roman" w:hAnsi="Times New Roman" w:cs="Times New Roman"/>
          <w:color w:val="000000" w:themeColor="text1"/>
          <w:sz w:val="24"/>
          <w:szCs w:val="24"/>
        </w:rPr>
        <w:t>，项目设计病床数600张，其门诊接待能力2054人次/天，新建污水处理站一座，设计能力500m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w:t>
      </w:r>
    </w:p>
    <w:p>
      <w:pPr>
        <w:spacing w:line="360" w:lineRule="auto"/>
        <w:ind w:firstLine="120" w:firstLineChars="50"/>
        <w:rPr>
          <w:rFonts w:ascii="Times New Roman" w:hAnsi="Times New Roman" w:cs="Times New Roman"/>
          <w:sz w:val="24"/>
          <w:szCs w:val="24"/>
        </w:rPr>
      </w:pPr>
      <w:r>
        <w:rPr>
          <w:rFonts w:hint="eastAsia" w:ascii="Times New Roman" w:hAnsi="Times New Roman" w:cs="Times New Roman"/>
          <w:sz w:val="24"/>
          <w:szCs w:val="24"/>
        </w:rPr>
        <w:t xml:space="preserve">   （7）劳动定员：本项目劳动定员900人，年工作365天，每天3班，每班8小时。</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（8）平面布置：大门位于医院北侧，医院北部为门诊部，门诊部西侧为食堂，门诊部南侧为住院部，住院部西侧为综合培训楼，综合培训楼北侧为医疗废物暂存间，污水处理站位于医院南侧。</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项目平面布置图见附图3。</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（9）项目投资：项目总投资</w:t>
      </w:r>
      <w:r>
        <w:rPr>
          <w:rFonts w:ascii="Times New Roman" w:hAnsi="Times New Roman" w:cs="Times New Roman"/>
          <w:color w:val="000000" w:themeColor="text1"/>
          <w:sz w:val="24"/>
          <w:szCs w:val="24"/>
        </w:rPr>
        <w:t>22127万元</w:t>
      </w:r>
      <w:r>
        <w:rPr>
          <w:rFonts w:hint="eastAsia" w:ascii="Times New Roman" w:hAnsi="Times New Roman" w:cs="Times New Roman"/>
          <w:color w:val="000000" w:themeColor="text1"/>
          <w:sz w:val="24"/>
          <w:szCs w:val="24"/>
        </w:rPr>
        <w:t>，其中环保投资90万元，占总投资的0.4%。</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（10）建设阶段：项目现处于前期准备阶段，预计于2022年2月建设完成。</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（11）其它：本项目不设洗衣房，病服、被褥、床单等统一委托外协机构清洗并消毒。</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3.1.2项目建设内容</w:t>
      </w:r>
    </w:p>
    <w:p>
      <w:pPr>
        <w:spacing w:line="360" w:lineRule="auto"/>
        <w:ind w:firstLine="480" w:firstLineChars="200"/>
        <w:rPr>
          <w:rFonts w:ascii="Times New Roman" w:hAnsi="Times New Roman" w:cs="Times New Roman"/>
          <w:sz w:val="24"/>
        </w:rPr>
      </w:pPr>
      <w:r>
        <w:rPr>
          <w:rFonts w:hint="eastAsia"/>
          <w:sz w:val="24"/>
        </w:rPr>
        <w:t>项目主要建设内容见表</w:t>
      </w:r>
      <w:r>
        <w:rPr>
          <w:rFonts w:ascii="Times New Roman" w:hAnsi="Times New Roman" w:cs="Times New Roman"/>
          <w:sz w:val="24"/>
        </w:rPr>
        <w:t>3-1</w:t>
      </w:r>
      <w:r>
        <w:rPr>
          <w:rFonts w:hint="eastAsia" w:ascii="Times New Roman" w:hAnsi="Times New Roman" w:cs="Times New Roman"/>
          <w:sz w:val="24"/>
        </w:rPr>
        <w:t>；科室设置见表3-2。</w:t>
      </w:r>
    </w:p>
    <w:p>
      <w:pPr>
        <w:spacing w:line="360" w:lineRule="auto"/>
        <w:ind w:firstLine="480" w:firstLineChars="200"/>
        <w:jc w:val="center"/>
        <w:rPr>
          <w:b/>
          <w:sz w:val="24"/>
        </w:rPr>
      </w:pPr>
    </w:p>
    <w:p>
      <w:pPr>
        <w:spacing w:line="360" w:lineRule="auto"/>
        <w:rPr>
          <w:b/>
          <w:sz w:val="24"/>
        </w:rPr>
      </w:pPr>
    </w:p>
    <w:p>
      <w:pPr>
        <w:spacing w:line="360" w:lineRule="auto"/>
        <w:ind w:firstLine="480" w:firstLineChars="200"/>
        <w:jc w:val="center"/>
        <w:rPr>
          <w:b/>
          <w:sz w:val="24"/>
        </w:rPr>
      </w:pPr>
      <w:r>
        <w:rPr>
          <w:b/>
          <w:sz w:val="24"/>
        </w:rPr>
        <w:t>表</w:t>
      </w:r>
      <w:r>
        <w:rPr>
          <w:rFonts w:ascii="Times New Roman" w:hAnsi="Times New Roman" w:cs="Times New Roman"/>
          <w:b/>
          <w:sz w:val="24"/>
        </w:rPr>
        <w:t>3-1</w:t>
      </w:r>
      <w:r>
        <w:rPr>
          <w:b/>
          <w:sz w:val="24"/>
        </w:rPr>
        <w:t xml:space="preserve">  项目建设内容一览表</w:t>
      </w:r>
    </w:p>
    <w:tbl>
      <w:tblPr>
        <w:tblStyle w:val="27"/>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834"/>
        <w:gridCol w:w="559"/>
        <w:gridCol w:w="1269"/>
        <w:gridCol w:w="4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81" w:type="dxa"/>
            <w:vAlign w:val="center"/>
          </w:tcPr>
          <w:p>
            <w:pPr>
              <w:pStyle w:val="39"/>
              <w:spacing w:line="240" w:lineRule="auto"/>
              <w:rPr>
                <w:b/>
                <w:kern w:val="0"/>
                <w:szCs w:val="21"/>
              </w:rPr>
            </w:pPr>
            <w:r>
              <w:rPr>
                <w:b/>
                <w:kern w:val="0"/>
                <w:szCs w:val="21"/>
              </w:rPr>
              <w:t>工程分类</w:t>
            </w:r>
          </w:p>
        </w:tc>
        <w:tc>
          <w:tcPr>
            <w:tcW w:w="2662" w:type="dxa"/>
            <w:gridSpan w:val="3"/>
            <w:vAlign w:val="center"/>
          </w:tcPr>
          <w:p>
            <w:pPr>
              <w:pStyle w:val="39"/>
              <w:spacing w:line="240" w:lineRule="auto"/>
              <w:rPr>
                <w:b/>
                <w:kern w:val="0"/>
                <w:szCs w:val="21"/>
              </w:rPr>
            </w:pPr>
            <w:r>
              <w:rPr>
                <w:b/>
                <w:kern w:val="0"/>
                <w:szCs w:val="21"/>
              </w:rPr>
              <w:t>项目名称</w:t>
            </w:r>
          </w:p>
        </w:tc>
        <w:tc>
          <w:tcPr>
            <w:tcW w:w="4385" w:type="dxa"/>
            <w:vAlign w:val="center"/>
          </w:tcPr>
          <w:p>
            <w:pPr>
              <w:pStyle w:val="39"/>
              <w:spacing w:line="240" w:lineRule="auto"/>
              <w:rPr>
                <w:b/>
                <w:kern w:val="0"/>
                <w:szCs w:val="21"/>
              </w:rPr>
            </w:pPr>
            <w:r>
              <w:rPr>
                <w:b/>
                <w:kern w:val="0"/>
                <w:szCs w:val="21"/>
              </w:rPr>
              <w:t>项目内容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81" w:type="dxa"/>
            <w:vMerge w:val="restart"/>
            <w:vAlign w:val="center"/>
          </w:tcPr>
          <w:p>
            <w:pPr>
              <w:pStyle w:val="39"/>
              <w:spacing w:line="240" w:lineRule="auto"/>
              <w:jc w:val="both"/>
              <w:rPr>
                <w:szCs w:val="21"/>
              </w:rPr>
            </w:pPr>
            <w:r>
              <w:rPr>
                <w:rFonts w:hint="eastAsia"/>
                <w:szCs w:val="21"/>
              </w:rPr>
              <w:t>主体工程</w:t>
            </w:r>
          </w:p>
        </w:tc>
        <w:tc>
          <w:tcPr>
            <w:tcW w:w="2662" w:type="dxa"/>
            <w:gridSpan w:val="3"/>
            <w:shd w:val="clear" w:color="auto" w:fill="auto"/>
            <w:vAlign w:val="center"/>
          </w:tcPr>
          <w:p>
            <w:pPr>
              <w:pStyle w:val="39"/>
              <w:spacing w:line="240" w:lineRule="auto"/>
              <w:rPr>
                <w:szCs w:val="21"/>
              </w:rPr>
            </w:pPr>
            <w:r>
              <w:rPr>
                <w:rFonts w:hint="eastAsia"/>
                <w:szCs w:val="21"/>
              </w:rPr>
              <w:t>门诊部</w:t>
            </w:r>
          </w:p>
        </w:tc>
        <w:tc>
          <w:tcPr>
            <w:tcW w:w="4385" w:type="dxa"/>
            <w:shd w:val="clear" w:color="auto" w:fill="auto"/>
            <w:vAlign w:val="center"/>
          </w:tcPr>
          <w:p>
            <w:pPr>
              <w:pStyle w:val="39"/>
              <w:spacing w:line="240" w:lineRule="auto"/>
              <w:rPr>
                <w:szCs w:val="21"/>
              </w:rPr>
            </w:pPr>
            <w:r>
              <w:rPr>
                <w:rFonts w:hint="eastAsia"/>
                <w:szCs w:val="21"/>
              </w:rPr>
              <w:t>8</w:t>
            </w:r>
            <w:r>
              <w:rPr>
                <w:szCs w:val="21"/>
              </w:rPr>
              <w:t>层，建筑面积为</w:t>
            </w:r>
            <w:r>
              <w:rPr>
                <w:rFonts w:hint="eastAsia"/>
                <w:szCs w:val="21"/>
              </w:rPr>
              <w:t>7216</w:t>
            </w:r>
            <w:r>
              <w:rPr>
                <w:szCs w:val="21"/>
              </w:rPr>
              <w:t>m</w:t>
            </w:r>
            <w:r>
              <w:rPr>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81" w:type="dxa"/>
            <w:vMerge w:val="continue"/>
            <w:vAlign w:val="center"/>
          </w:tcPr>
          <w:p>
            <w:pPr>
              <w:pStyle w:val="39"/>
              <w:spacing w:line="240" w:lineRule="auto"/>
              <w:rPr>
                <w:szCs w:val="21"/>
              </w:rPr>
            </w:pPr>
          </w:p>
        </w:tc>
        <w:tc>
          <w:tcPr>
            <w:tcW w:w="2662" w:type="dxa"/>
            <w:gridSpan w:val="3"/>
            <w:shd w:val="clear" w:color="auto" w:fill="auto"/>
            <w:vAlign w:val="center"/>
          </w:tcPr>
          <w:p>
            <w:pPr>
              <w:pStyle w:val="39"/>
              <w:spacing w:line="240" w:lineRule="auto"/>
              <w:rPr>
                <w:szCs w:val="21"/>
              </w:rPr>
            </w:pPr>
            <w:r>
              <w:rPr>
                <w:rFonts w:hint="eastAsia"/>
                <w:szCs w:val="21"/>
              </w:rPr>
              <w:t>住院部</w:t>
            </w:r>
          </w:p>
        </w:tc>
        <w:tc>
          <w:tcPr>
            <w:tcW w:w="4385" w:type="dxa"/>
            <w:shd w:val="clear" w:color="auto" w:fill="auto"/>
            <w:vAlign w:val="center"/>
          </w:tcPr>
          <w:p>
            <w:pPr>
              <w:pStyle w:val="39"/>
              <w:spacing w:line="240" w:lineRule="auto"/>
              <w:rPr>
                <w:szCs w:val="21"/>
              </w:rPr>
            </w:pPr>
            <w:r>
              <w:rPr>
                <w:rFonts w:hint="eastAsia"/>
                <w:szCs w:val="21"/>
              </w:rPr>
              <w:t>15</w:t>
            </w:r>
            <w:r>
              <w:rPr>
                <w:szCs w:val="21"/>
              </w:rPr>
              <w:t>层，建筑面积为</w:t>
            </w:r>
            <w:r>
              <w:rPr>
                <w:rFonts w:hint="eastAsia"/>
                <w:szCs w:val="21"/>
              </w:rPr>
              <w:t>28558.8</w:t>
            </w:r>
            <w:r>
              <w:rPr>
                <w:szCs w:val="21"/>
              </w:rPr>
              <w:t>m</w:t>
            </w:r>
            <w:r>
              <w:rPr>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81" w:type="dxa"/>
            <w:vMerge w:val="continue"/>
            <w:vAlign w:val="center"/>
          </w:tcPr>
          <w:p>
            <w:pPr>
              <w:pStyle w:val="39"/>
              <w:spacing w:line="240" w:lineRule="auto"/>
              <w:rPr>
                <w:szCs w:val="21"/>
              </w:rPr>
            </w:pPr>
          </w:p>
        </w:tc>
        <w:tc>
          <w:tcPr>
            <w:tcW w:w="2662" w:type="dxa"/>
            <w:gridSpan w:val="3"/>
            <w:shd w:val="clear" w:color="auto" w:fill="auto"/>
            <w:vAlign w:val="center"/>
          </w:tcPr>
          <w:p>
            <w:pPr>
              <w:pStyle w:val="39"/>
              <w:spacing w:line="240" w:lineRule="auto"/>
              <w:rPr>
                <w:szCs w:val="21"/>
              </w:rPr>
            </w:pPr>
            <w:r>
              <w:rPr>
                <w:rFonts w:hint="eastAsia"/>
                <w:szCs w:val="21"/>
              </w:rPr>
              <w:t>综合培训楼</w:t>
            </w:r>
          </w:p>
        </w:tc>
        <w:tc>
          <w:tcPr>
            <w:tcW w:w="4385" w:type="dxa"/>
            <w:shd w:val="clear" w:color="auto" w:fill="auto"/>
            <w:vAlign w:val="center"/>
          </w:tcPr>
          <w:p>
            <w:pPr>
              <w:pStyle w:val="39"/>
              <w:spacing w:line="240" w:lineRule="auto"/>
              <w:rPr>
                <w:szCs w:val="21"/>
                <w:vertAlign w:val="superscript"/>
              </w:rPr>
            </w:pPr>
            <w:r>
              <w:rPr>
                <w:rFonts w:hint="eastAsia"/>
                <w:szCs w:val="21"/>
              </w:rPr>
              <w:t>6</w:t>
            </w:r>
            <w:r>
              <w:rPr>
                <w:szCs w:val="21"/>
              </w:rPr>
              <w:t>层，建筑面积为</w:t>
            </w:r>
            <w:r>
              <w:rPr>
                <w:rFonts w:hint="eastAsia"/>
                <w:szCs w:val="21"/>
              </w:rPr>
              <w:t>4386.96</w:t>
            </w:r>
            <w:r>
              <w:rPr>
                <w:szCs w:val="21"/>
              </w:rPr>
              <w:t>m</w:t>
            </w:r>
            <w:r>
              <w:rPr>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81" w:type="dxa"/>
            <w:vMerge w:val="restart"/>
            <w:vAlign w:val="center"/>
          </w:tcPr>
          <w:p>
            <w:pPr>
              <w:pStyle w:val="39"/>
              <w:spacing w:line="240" w:lineRule="auto"/>
              <w:rPr>
                <w:szCs w:val="21"/>
              </w:rPr>
            </w:pPr>
            <w:r>
              <w:rPr>
                <w:szCs w:val="21"/>
              </w:rPr>
              <w:t>辅助工程</w:t>
            </w:r>
          </w:p>
        </w:tc>
        <w:tc>
          <w:tcPr>
            <w:tcW w:w="2662" w:type="dxa"/>
            <w:gridSpan w:val="3"/>
            <w:shd w:val="clear" w:color="auto" w:fill="auto"/>
            <w:vAlign w:val="center"/>
          </w:tcPr>
          <w:p>
            <w:pPr>
              <w:pStyle w:val="39"/>
              <w:spacing w:line="240" w:lineRule="auto"/>
              <w:rPr>
                <w:szCs w:val="21"/>
                <w:highlight w:val="yellow"/>
              </w:rPr>
            </w:pPr>
            <w:r>
              <w:rPr>
                <w:rFonts w:hint="eastAsia"/>
                <w:szCs w:val="21"/>
              </w:rPr>
              <w:t>食堂</w:t>
            </w:r>
          </w:p>
        </w:tc>
        <w:tc>
          <w:tcPr>
            <w:tcW w:w="4385" w:type="dxa"/>
            <w:shd w:val="clear" w:color="auto" w:fill="auto"/>
            <w:vAlign w:val="center"/>
          </w:tcPr>
          <w:p>
            <w:pPr>
              <w:pStyle w:val="39"/>
              <w:spacing w:line="240" w:lineRule="auto"/>
              <w:rPr>
                <w:szCs w:val="21"/>
              </w:rPr>
            </w:pPr>
            <w:r>
              <w:rPr>
                <w:rFonts w:hint="eastAsia"/>
                <w:szCs w:val="21"/>
              </w:rPr>
              <w:t>2层，建筑面积800</w:t>
            </w:r>
            <w:r>
              <w:rPr>
                <w:rFonts w:asciiTheme="minorHAnsi" w:hAnsiTheme="minorHAnsi" w:eastAsiaTheme="minorEastAsia" w:cstheme="minorBidi"/>
                <w:szCs w:val="21"/>
              </w:rPr>
              <w:t xml:space="preserve"> </w:t>
            </w:r>
            <w:r>
              <w:rPr>
                <w:szCs w:val="21"/>
              </w:rPr>
              <w:t>m</w:t>
            </w:r>
            <w:r>
              <w:rPr>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81" w:type="dxa"/>
            <w:vMerge w:val="continue"/>
            <w:vAlign w:val="center"/>
          </w:tcPr>
          <w:p>
            <w:pPr>
              <w:pStyle w:val="39"/>
              <w:spacing w:line="240" w:lineRule="auto"/>
              <w:rPr>
                <w:szCs w:val="21"/>
              </w:rPr>
            </w:pPr>
          </w:p>
        </w:tc>
        <w:tc>
          <w:tcPr>
            <w:tcW w:w="2662" w:type="dxa"/>
            <w:gridSpan w:val="3"/>
            <w:shd w:val="clear" w:color="auto" w:fill="auto"/>
            <w:vAlign w:val="center"/>
          </w:tcPr>
          <w:p>
            <w:pPr>
              <w:pStyle w:val="39"/>
              <w:spacing w:line="240" w:lineRule="auto"/>
              <w:rPr>
                <w:szCs w:val="21"/>
                <w:highlight w:val="yellow"/>
              </w:rPr>
            </w:pPr>
            <w:r>
              <w:rPr>
                <w:rFonts w:hint="eastAsia"/>
                <w:szCs w:val="21"/>
              </w:rPr>
              <w:t>医疗废物暂存间</w:t>
            </w:r>
          </w:p>
        </w:tc>
        <w:tc>
          <w:tcPr>
            <w:tcW w:w="4385" w:type="dxa"/>
            <w:shd w:val="clear" w:color="auto" w:fill="auto"/>
            <w:vAlign w:val="center"/>
          </w:tcPr>
          <w:p>
            <w:pPr>
              <w:pStyle w:val="39"/>
              <w:spacing w:line="240" w:lineRule="auto"/>
              <w:rPr>
                <w:szCs w:val="21"/>
              </w:rPr>
            </w:pPr>
            <w:r>
              <w:rPr>
                <w:rFonts w:hint="eastAsia"/>
                <w:szCs w:val="21"/>
              </w:rPr>
              <w:t>1</w:t>
            </w:r>
            <w:r>
              <w:rPr>
                <w:szCs w:val="21"/>
              </w:rPr>
              <w:t>层，建筑面积为</w:t>
            </w:r>
            <w:r>
              <w:rPr>
                <w:rFonts w:hint="eastAsia"/>
                <w:szCs w:val="21"/>
              </w:rPr>
              <w:t>100</w:t>
            </w:r>
            <w:r>
              <w:rPr>
                <w:szCs w:val="21"/>
              </w:rPr>
              <w:t>m</w:t>
            </w:r>
            <w:r>
              <w:rPr>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81" w:type="dxa"/>
            <w:vMerge w:val="restart"/>
            <w:vAlign w:val="center"/>
          </w:tcPr>
          <w:p>
            <w:pPr>
              <w:pStyle w:val="39"/>
              <w:spacing w:line="240" w:lineRule="auto"/>
              <w:rPr>
                <w:szCs w:val="21"/>
              </w:rPr>
            </w:pPr>
            <w:r>
              <w:rPr>
                <w:szCs w:val="21"/>
              </w:rPr>
              <w:t>公用工程</w:t>
            </w:r>
          </w:p>
        </w:tc>
        <w:tc>
          <w:tcPr>
            <w:tcW w:w="2662" w:type="dxa"/>
            <w:gridSpan w:val="3"/>
            <w:shd w:val="clear" w:color="auto" w:fill="auto"/>
            <w:vAlign w:val="center"/>
          </w:tcPr>
          <w:p>
            <w:pPr>
              <w:pStyle w:val="39"/>
              <w:spacing w:line="240" w:lineRule="auto"/>
              <w:rPr>
                <w:szCs w:val="21"/>
              </w:rPr>
            </w:pPr>
            <w:r>
              <w:rPr>
                <w:szCs w:val="21"/>
              </w:rPr>
              <w:t>供水</w:t>
            </w:r>
          </w:p>
        </w:tc>
        <w:tc>
          <w:tcPr>
            <w:tcW w:w="4385" w:type="dxa"/>
            <w:shd w:val="clear" w:color="auto" w:fill="auto"/>
            <w:vAlign w:val="center"/>
          </w:tcPr>
          <w:p>
            <w:pPr>
              <w:pStyle w:val="39"/>
              <w:spacing w:line="240" w:lineRule="auto"/>
              <w:rPr>
                <w:szCs w:val="21"/>
              </w:rPr>
            </w:pPr>
            <w:r>
              <w:rPr>
                <w:szCs w:val="21"/>
              </w:rPr>
              <w:t>由</w:t>
            </w:r>
            <w:r>
              <w:rPr>
                <w:rFonts w:hint="eastAsia"/>
                <w:szCs w:val="21"/>
              </w:rPr>
              <w:t>市政供水管网</w:t>
            </w:r>
            <w:r>
              <w:rPr>
                <w:szCs w:val="21"/>
              </w:rPr>
              <w:t>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81" w:type="dxa"/>
            <w:vMerge w:val="continue"/>
            <w:vAlign w:val="center"/>
          </w:tcPr>
          <w:p>
            <w:pPr>
              <w:pStyle w:val="39"/>
              <w:spacing w:line="240" w:lineRule="auto"/>
              <w:rPr>
                <w:szCs w:val="21"/>
              </w:rPr>
            </w:pPr>
          </w:p>
        </w:tc>
        <w:tc>
          <w:tcPr>
            <w:tcW w:w="2662" w:type="dxa"/>
            <w:gridSpan w:val="3"/>
            <w:shd w:val="clear" w:color="auto" w:fill="auto"/>
            <w:vAlign w:val="center"/>
          </w:tcPr>
          <w:p>
            <w:pPr>
              <w:pStyle w:val="39"/>
              <w:spacing w:line="240" w:lineRule="auto"/>
              <w:rPr>
                <w:szCs w:val="21"/>
              </w:rPr>
            </w:pPr>
            <w:r>
              <w:rPr>
                <w:szCs w:val="21"/>
              </w:rPr>
              <w:t>供电</w:t>
            </w:r>
          </w:p>
        </w:tc>
        <w:tc>
          <w:tcPr>
            <w:tcW w:w="4385" w:type="dxa"/>
            <w:shd w:val="clear" w:color="auto" w:fill="auto"/>
            <w:vAlign w:val="center"/>
          </w:tcPr>
          <w:p>
            <w:pPr>
              <w:pStyle w:val="39"/>
              <w:spacing w:line="240" w:lineRule="auto"/>
              <w:rPr>
                <w:szCs w:val="21"/>
              </w:rPr>
            </w:pPr>
            <w:r>
              <w:rPr>
                <w:szCs w:val="21"/>
              </w:rPr>
              <w:t>由</w:t>
            </w:r>
            <w:r>
              <w:rPr>
                <w:rFonts w:hint="eastAsia"/>
                <w:szCs w:val="21"/>
              </w:rPr>
              <w:t>当地供电公司</w:t>
            </w:r>
            <w:r>
              <w:rPr>
                <w:szCs w:val="21"/>
              </w:rPr>
              <w:t>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81" w:type="dxa"/>
            <w:vMerge w:val="continue"/>
            <w:vAlign w:val="center"/>
          </w:tcPr>
          <w:p>
            <w:pPr>
              <w:pStyle w:val="39"/>
              <w:spacing w:line="240" w:lineRule="auto"/>
              <w:rPr>
                <w:szCs w:val="21"/>
              </w:rPr>
            </w:pPr>
          </w:p>
        </w:tc>
        <w:tc>
          <w:tcPr>
            <w:tcW w:w="2662" w:type="dxa"/>
            <w:gridSpan w:val="3"/>
            <w:shd w:val="clear" w:color="auto" w:fill="auto"/>
            <w:vAlign w:val="center"/>
          </w:tcPr>
          <w:p>
            <w:pPr>
              <w:pStyle w:val="39"/>
              <w:spacing w:line="240" w:lineRule="auto"/>
              <w:rPr>
                <w:color w:val="000000" w:themeColor="text1"/>
                <w:szCs w:val="21"/>
              </w:rPr>
            </w:pPr>
            <w:r>
              <w:rPr>
                <w:color w:val="000000" w:themeColor="text1"/>
                <w:szCs w:val="21"/>
              </w:rPr>
              <w:t>供热</w:t>
            </w:r>
            <w:r>
              <w:rPr>
                <w:rFonts w:hint="eastAsia"/>
                <w:color w:val="000000" w:themeColor="text1"/>
                <w:szCs w:val="21"/>
              </w:rPr>
              <w:t>及制冷</w:t>
            </w:r>
          </w:p>
        </w:tc>
        <w:tc>
          <w:tcPr>
            <w:tcW w:w="4385" w:type="dxa"/>
            <w:shd w:val="clear" w:color="auto" w:fill="auto"/>
            <w:vAlign w:val="center"/>
          </w:tcPr>
          <w:p>
            <w:pPr>
              <w:pStyle w:val="39"/>
              <w:spacing w:line="240" w:lineRule="auto"/>
              <w:rPr>
                <w:color w:val="000000" w:themeColor="text1"/>
                <w:szCs w:val="21"/>
              </w:rPr>
            </w:pPr>
            <w:r>
              <w:rPr>
                <w:rFonts w:hint="eastAsia"/>
                <w:color w:val="000000" w:themeColor="text1"/>
                <w:szCs w:val="21"/>
              </w:rPr>
              <w:t>夏季制冷采用中央空调，冬季取暖由大唐热电供给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6" w:hRule="atLeast"/>
        </w:trPr>
        <w:tc>
          <w:tcPr>
            <w:tcW w:w="1481" w:type="dxa"/>
            <w:vMerge w:val="restart"/>
            <w:vAlign w:val="center"/>
          </w:tcPr>
          <w:p>
            <w:pPr>
              <w:pStyle w:val="39"/>
              <w:rPr>
                <w:szCs w:val="21"/>
                <w:highlight w:val="yellow"/>
              </w:rPr>
            </w:pPr>
            <w:r>
              <w:rPr>
                <w:szCs w:val="21"/>
              </w:rPr>
              <w:t>环保工程</w:t>
            </w:r>
          </w:p>
        </w:tc>
        <w:tc>
          <w:tcPr>
            <w:tcW w:w="834" w:type="dxa"/>
            <w:vMerge w:val="restart"/>
            <w:vAlign w:val="center"/>
          </w:tcPr>
          <w:p>
            <w:pPr>
              <w:pStyle w:val="39"/>
              <w:rPr>
                <w:color w:val="000000" w:themeColor="text1"/>
                <w:szCs w:val="21"/>
              </w:rPr>
            </w:pPr>
            <w:r>
              <w:rPr>
                <w:color w:val="000000" w:themeColor="text1"/>
                <w:szCs w:val="21"/>
              </w:rPr>
              <w:t>废气</w:t>
            </w:r>
          </w:p>
        </w:tc>
        <w:tc>
          <w:tcPr>
            <w:tcW w:w="1828" w:type="dxa"/>
            <w:gridSpan w:val="2"/>
            <w:vAlign w:val="center"/>
          </w:tcPr>
          <w:p>
            <w:pPr>
              <w:pStyle w:val="39"/>
              <w:spacing w:line="240" w:lineRule="auto"/>
              <w:rPr>
                <w:color w:val="000000" w:themeColor="text1"/>
                <w:szCs w:val="21"/>
              </w:rPr>
            </w:pPr>
            <w:r>
              <w:rPr>
                <w:rFonts w:hint="eastAsia"/>
                <w:color w:val="000000" w:themeColor="text1"/>
                <w:szCs w:val="21"/>
              </w:rPr>
              <w:t>污水处理站恶臭气体</w:t>
            </w:r>
          </w:p>
        </w:tc>
        <w:tc>
          <w:tcPr>
            <w:tcW w:w="4385" w:type="dxa"/>
            <w:vAlign w:val="center"/>
          </w:tcPr>
          <w:p>
            <w:pPr>
              <w:pStyle w:val="39"/>
              <w:rPr>
                <w:color w:val="000000" w:themeColor="text1"/>
                <w:szCs w:val="21"/>
              </w:rPr>
            </w:pPr>
            <w:r>
              <w:rPr>
                <w:rFonts w:hint="eastAsia"/>
                <w:color w:val="000000" w:themeColor="text1"/>
                <w:szCs w:val="21"/>
              </w:rPr>
              <w:t>通过集气管道</w:t>
            </w:r>
            <w:r>
              <w:rPr>
                <w:color w:val="000000" w:themeColor="text1"/>
                <w:szCs w:val="21"/>
              </w:rPr>
              <w:t>+</w:t>
            </w:r>
            <w:r>
              <w:rPr>
                <w:rFonts w:hint="eastAsia"/>
                <w:color w:val="000000" w:themeColor="text1"/>
                <w:szCs w:val="21"/>
              </w:rPr>
              <w:t>水喷淋装置</w:t>
            </w:r>
            <w:r>
              <w:rPr>
                <w:color w:val="000000" w:themeColor="text1"/>
                <w:szCs w:val="21"/>
              </w:rPr>
              <w:t>+UV</w:t>
            </w:r>
            <w:r>
              <w:rPr>
                <w:rFonts w:hint="eastAsia"/>
                <w:color w:val="000000" w:themeColor="text1"/>
                <w:szCs w:val="21"/>
              </w:rPr>
              <w:t>紫外线光解净化器</w:t>
            </w:r>
            <w:r>
              <w:rPr>
                <w:color w:val="000000" w:themeColor="text1"/>
                <w:szCs w:val="21"/>
              </w:rPr>
              <w:t>+1</w:t>
            </w:r>
            <w:r>
              <w:rPr>
                <w:rFonts w:hint="eastAsia"/>
                <w:color w:val="000000" w:themeColor="text1"/>
                <w:szCs w:val="21"/>
              </w:rPr>
              <w:t>根</w:t>
            </w:r>
            <w:r>
              <w:rPr>
                <w:color w:val="000000" w:themeColor="text1"/>
                <w:szCs w:val="21"/>
              </w:rPr>
              <w:t>15m</w:t>
            </w:r>
            <w:r>
              <w:rPr>
                <w:rFonts w:hint="eastAsia"/>
                <w:color w:val="000000" w:themeColor="text1"/>
                <w:szCs w:val="21"/>
              </w:rPr>
              <w:t>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6" w:hRule="atLeast"/>
        </w:trPr>
        <w:tc>
          <w:tcPr>
            <w:tcW w:w="1481" w:type="dxa"/>
            <w:vMerge w:val="continue"/>
            <w:vAlign w:val="center"/>
          </w:tcPr>
          <w:p>
            <w:pPr>
              <w:pStyle w:val="39"/>
              <w:rPr>
                <w:szCs w:val="21"/>
              </w:rPr>
            </w:pPr>
          </w:p>
        </w:tc>
        <w:tc>
          <w:tcPr>
            <w:tcW w:w="834" w:type="dxa"/>
            <w:vMerge w:val="continue"/>
            <w:vAlign w:val="center"/>
          </w:tcPr>
          <w:p>
            <w:pPr>
              <w:pStyle w:val="39"/>
              <w:rPr>
                <w:color w:val="000000" w:themeColor="text1"/>
                <w:szCs w:val="21"/>
              </w:rPr>
            </w:pPr>
          </w:p>
        </w:tc>
        <w:tc>
          <w:tcPr>
            <w:tcW w:w="1828" w:type="dxa"/>
            <w:gridSpan w:val="2"/>
            <w:vAlign w:val="center"/>
          </w:tcPr>
          <w:p>
            <w:pPr>
              <w:pStyle w:val="39"/>
              <w:spacing w:line="240" w:lineRule="auto"/>
              <w:rPr>
                <w:color w:val="000000" w:themeColor="text1"/>
                <w:szCs w:val="21"/>
              </w:rPr>
            </w:pPr>
            <w:r>
              <w:rPr>
                <w:rFonts w:hint="eastAsia"/>
                <w:color w:val="000000" w:themeColor="text1"/>
                <w:szCs w:val="21"/>
              </w:rPr>
              <w:t>煎药恶臭气体</w:t>
            </w:r>
          </w:p>
        </w:tc>
        <w:tc>
          <w:tcPr>
            <w:tcW w:w="4385" w:type="dxa"/>
            <w:vAlign w:val="center"/>
          </w:tcPr>
          <w:p>
            <w:pPr>
              <w:pStyle w:val="39"/>
              <w:rPr>
                <w:color w:val="000000" w:themeColor="text1"/>
                <w:szCs w:val="21"/>
              </w:rPr>
            </w:pPr>
            <w:r>
              <w:rPr>
                <w:rFonts w:hint="eastAsia"/>
                <w:color w:val="000000" w:themeColor="text1"/>
                <w:szCs w:val="21"/>
              </w:rPr>
              <w:t>煎药设备煎药过程密闭，及时通风，无组织排放。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trPr>
        <w:tc>
          <w:tcPr>
            <w:tcW w:w="1481" w:type="dxa"/>
            <w:vMerge w:val="continue"/>
            <w:vAlign w:val="center"/>
          </w:tcPr>
          <w:p>
            <w:pPr>
              <w:pStyle w:val="39"/>
              <w:rPr>
                <w:szCs w:val="21"/>
              </w:rPr>
            </w:pPr>
          </w:p>
        </w:tc>
        <w:tc>
          <w:tcPr>
            <w:tcW w:w="834" w:type="dxa"/>
            <w:vMerge w:val="continue"/>
            <w:vAlign w:val="center"/>
          </w:tcPr>
          <w:p>
            <w:pPr>
              <w:pStyle w:val="39"/>
              <w:rPr>
                <w:color w:val="000000" w:themeColor="text1"/>
                <w:szCs w:val="21"/>
              </w:rPr>
            </w:pPr>
          </w:p>
        </w:tc>
        <w:tc>
          <w:tcPr>
            <w:tcW w:w="1828" w:type="dxa"/>
            <w:gridSpan w:val="2"/>
            <w:vAlign w:val="center"/>
          </w:tcPr>
          <w:p>
            <w:pPr>
              <w:pStyle w:val="39"/>
              <w:spacing w:line="240" w:lineRule="auto"/>
              <w:rPr>
                <w:color w:val="000000" w:themeColor="text1"/>
                <w:szCs w:val="21"/>
              </w:rPr>
            </w:pPr>
            <w:r>
              <w:rPr>
                <w:rFonts w:hint="eastAsia"/>
                <w:color w:val="000000" w:themeColor="text1"/>
                <w:szCs w:val="21"/>
              </w:rPr>
              <w:t>食堂油烟</w:t>
            </w:r>
          </w:p>
        </w:tc>
        <w:tc>
          <w:tcPr>
            <w:tcW w:w="4385" w:type="dxa"/>
            <w:vAlign w:val="center"/>
          </w:tcPr>
          <w:p>
            <w:pPr>
              <w:pStyle w:val="39"/>
              <w:spacing w:line="240" w:lineRule="auto"/>
              <w:jc w:val="both"/>
              <w:rPr>
                <w:color w:val="000000" w:themeColor="text1"/>
                <w:szCs w:val="21"/>
              </w:rPr>
            </w:pPr>
            <w:r>
              <w:rPr>
                <w:rFonts w:hint="eastAsia"/>
                <w:color w:val="000000" w:themeColor="text1"/>
                <w:szCs w:val="21"/>
              </w:rPr>
              <w:t>安装油烟净化器进行治理后于食堂楼顶排放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81" w:type="dxa"/>
            <w:vMerge w:val="continue"/>
            <w:vAlign w:val="center"/>
          </w:tcPr>
          <w:p>
            <w:pPr>
              <w:pStyle w:val="39"/>
              <w:spacing w:line="240" w:lineRule="auto"/>
              <w:rPr>
                <w:szCs w:val="21"/>
              </w:rPr>
            </w:pPr>
          </w:p>
        </w:tc>
        <w:tc>
          <w:tcPr>
            <w:tcW w:w="834" w:type="dxa"/>
            <w:vAlign w:val="center"/>
          </w:tcPr>
          <w:p>
            <w:pPr>
              <w:pStyle w:val="39"/>
              <w:spacing w:line="240" w:lineRule="auto"/>
              <w:rPr>
                <w:szCs w:val="21"/>
              </w:rPr>
            </w:pPr>
            <w:r>
              <w:rPr>
                <w:szCs w:val="21"/>
              </w:rPr>
              <w:t>废水</w:t>
            </w:r>
          </w:p>
        </w:tc>
        <w:tc>
          <w:tcPr>
            <w:tcW w:w="1828" w:type="dxa"/>
            <w:gridSpan w:val="2"/>
            <w:vAlign w:val="center"/>
          </w:tcPr>
          <w:p>
            <w:pPr>
              <w:pStyle w:val="39"/>
              <w:spacing w:line="240" w:lineRule="auto"/>
              <w:rPr>
                <w:color w:val="000000" w:themeColor="text1"/>
                <w:szCs w:val="21"/>
              </w:rPr>
            </w:pPr>
            <w:r>
              <w:rPr>
                <w:rFonts w:hint="eastAsia"/>
                <w:color w:val="000000" w:themeColor="text1"/>
                <w:szCs w:val="21"/>
              </w:rPr>
              <w:t>医疗废水、生活污水和食堂废水</w:t>
            </w:r>
          </w:p>
        </w:tc>
        <w:tc>
          <w:tcPr>
            <w:tcW w:w="4385" w:type="dxa"/>
            <w:vAlign w:val="center"/>
          </w:tcPr>
          <w:p>
            <w:pPr>
              <w:pStyle w:val="39"/>
              <w:spacing w:line="240" w:lineRule="auto"/>
              <w:rPr>
                <w:color w:val="000000" w:themeColor="text1"/>
                <w:szCs w:val="21"/>
              </w:rPr>
            </w:pPr>
            <w:r>
              <w:rPr>
                <w:color w:val="000000" w:themeColor="text1"/>
                <w:szCs w:val="21"/>
              </w:rPr>
              <w:t>食堂废水经隔油池</w:t>
            </w:r>
            <w:r>
              <w:rPr>
                <w:rFonts w:hint="eastAsia"/>
                <w:color w:val="000000" w:themeColor="text1"/>
                <w:szCs w:val="21"/>
              </w:rPr>
              <w:t>预处理后，与医疗废水、生活污水一并进入</w:t>
            </w:r>
            <w:r>
              <w:rPr>
                <w:color w:val="000000" w:themeColor="text1"/>
                <w:szCs w:val="21"/>
              </w:rPr>
              <w:t>化粪池处理后排入医院污水处理站处理，</w:t>
            </w:r>
            <w:r>
              <w:rPr>
                <w:rFonts w:hint="eastAsia"/>
                <w:color w:val="000000" w:themeColor="text1"/>
                <w:szCs w:val="21"/>
              </w:rPr>
              <w:t>最终排入银定庄污水处理厂。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81" w:type="dxa"/>
            <w:vMerge w:val="continue"/>
            <w:vAlign w:val="center"/>
          </w:tcPr>
          <w:p>
            <w:pPr>
              <w:pStyle w:val="39"/>
              <w:spacing w:line="240" w:lineRule="auto"/>
              <w:rPr>
                <w:szCs w:val="21"/>
              </w:rPr>
            </w:pPr>
          </w:p>
        </w:tc>
        <w:tc>
          <w:tcPr>
            <w:tcW w:w="834" w:type="dxa"/>
            <w:vAlign w:val="center"/>
          </w:tcPr>
          <w:p>
            <w:pPr>
              <w:pStyle w:val="39"/>
              <w:spacing w:line="240" w:lineRule="auto"/>
              <w:rPr>
                <w:szCs w:val="21"/>
              </w:rPr>
            </w:pPr>
            <w:r>
              <w:rPr>
                <w:szCs w:val="21"/>
              </w:rPr>
              <w:t>噪声</w:t>
            </w:r>
          </w:p>
        </w:tc>
        <w:tc>
          <w:tcPr>
            <w:tcW w:w="1828" w:type="dxa"/>
            <w:gridSpan w:val="2"/>
            <w:vAlign w:val="center"/>
          </w:tcPr>
          <w:p>
            <w:pPr>
              <w:pStyle w:val="39"/>
              <w:spacing w:line="240" w:lineRule="auto"/>
              <w:rPr>
                <w:color w:val="000000" w:themeColor="text1"/>
                <w:szCs w:val="21"/>
              </w:rPr>
            </w:pPr>
            <w:r>
              <w:rPr>
                <w:color w:val="000000" w:themeColor="text1"/>
                <w:szCs w:val="21"/>
              </w:rPr>
              <w:t>设备噪声</w:t>
            </w:r>
          </w:p>
        </w:tc>
        <w:tc>
          <w:tcPr>
            <w:tcW w:w="4385" w:type="dxa"/>
            <w:vAlign w:val="center"/>
          </w:tcPr>
          <w:p>
            <w:pPr>
              <w:pStyle w:val="39"/>
              <w:spacing w:line="240" w:lineRule="auto"/>
              <w:rPr>
                <w:color w:val="000000" w:themeColor="text1"/>
                <w:szCs w:val="21"/>
              </w:rPr>
            </w:pPr>
            <w:r>
              <w:rPr>
                <w:rFonts w:hint="eastAsia"/>
                <w:color w:val="000000" w:themeColor="text1"/>
                <w:szCs w:val="21"/>
              </w:rPr>
              <w:t>水泵、风机等设备选用低噪声设备，并设置减振基础，风机进出口软连接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81" w:type="dxa"/>
            <w:vMerge w:val="continue"/>
            <w:vAlign w:val="center"/>
          </w:tcPr>
          <w:p>
            <w:pPr>
              <w:pStyle w:val="39"/>
              <w:spacing w:line="240" w:lineRule="auto"/>
              <w:rPr>
                <w:szCs w:val="21"/>
              </w:rPr>
            </w:pPr>
          </w:p>
        </w:tc>
        <w:tc>
          <w:tcPr>
            <w:tcW w:w="834" w:type="dxa"/>
            <w:vMerge w:val="restart"/>
            <w:vAlign w:val="center"/>
          </w:tcPr>
          <w:p>
            <w:pPr>
              <w:pStyle w:val="39"/>
              <w:spacing w:line="240" w:lineRule="auto"/>
              <w:rPr>
                <w:szCs w:val="21"/>
              </w:rPr>
            </w:pPr>
            <w:r>
              <w:rPr>
                <w:rFonts w:hint="eastAsia"/>
                <w:szCs w:val="21"/>
              </w:rPr>
              <w:t>固废</w:t>
            </w:r>
          </w:p>
        </w:tc>
        <w:tc>
          <w:tcPr>
            <w:tcW w:w="559" w:type="dxa"/>
            <w:vMerge w:val="restart"/>
            <w:vAlign w:val="center"/>
          </w:tcPr>
          <w:p>
            <w:pPr>
              <w:pStyle w:val="39"/>
              <w:spacing w:line="240" w:lineRule="auto"/>
              <w:rPr>
                <w:color w:val="000000" w:themeColor="text1"/>
                <w:szCs w:val="21"/>
              </w:rPr>
            </w:pPr>
            <w:r>
              <w:rPr>
                <w:rFonts w:hint="eastAsia"/>
                <w:color w:val="000000" w:themeColor="text1"/>
                <w:szCs w:val="21"/>
              </w:rPr>
              <w:t>一般固废</w:t>
            </w:r>
          </w:p>
        </w:tc>
        <w:tc>
          <w:tcPr>
            <w:tcW w:w="1269" w:type="dxa"/>
            <w:vAlign w:val="center"/>
          </w:tcPr>
          <w:p>
            <w:pPr>
              <w:pStyle w:val="39"/>
              <w:spacing w:line="240" w:lineRule="auto"/>
              <w:rPr>
                <w:color w:val="000000" w:themeColor="text1"/>
                <w:szCs w:val="21"/>
              </w:rPr>
            </w:pPr>
            <w:r>
              <w:rPr>
                <w:rFonts w:hint="eastAsia"/>
                <w:color w:val="000000" w:themeColor="text1"/>
                <w:szCs w:val="21"/>
              </w:rPr>
              <w:t>职工生活</w:t>
            </w:r>
          </w:p>
          <w:p>
            <w:pPr>
              <w:pStyle w:val="39"/>
              <w:spacing w:line="240" w:lineRule="auto"/>
              <w:rPr>
                <w:color w:val="000000" w:themeColor="text1"/>
                <w:szCs w:val="21"/>
              </w:rPr>
            </w:pPr>
            <w:r>
              <w:rPr>
                <w:rFonts w:hint="eastAsia"/>
                <w:color w:val="000000" w:themeColor="text1"/>
                <w:szCs w:val="21"/>
              </w:rPr>
              <w:t>垃圾</w:t>
            </w:r>
          </w:p>
        </w:tc>
        <w:tc>
          <w:tcPr>
            <w:tcW w:w="4385" w:type="dxa"/>
            <w:vAlign w:val="center"/>
          </w:tcPr>
          <w:p>
            <w:pPr>
              <w:pStyle w:val="39"/>
              <w:spacing w:line="240" w:lineRule="auto"/>
              <w:rPr>
                <w:color w:val="000000" w:themeColor="text1"/>
                <w:szCs w:val="21"/>
              </w:rPr>
            </w:pPr>
            <w:r>
              <w:rPr>
                <w:rFonts w:hint="eastAsia"/>
                <w:color w:val="000000" w:themeColor="text1"/>
                <w:szCs w:val="21"/>
              </w:rPr>
              <w:t>由环卫部门统一收集处置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81" w:type="dxa"/>
            <w:vMerge w:val="continue"/>
            <w:vAlign w:val="center"/>
          </w:tcPr>
          <w:p>
            <w:pPr>
              <w:pStyle w:val="39"/>
              <w:spacing w:line="240" w:lineRule="auto"/>
              <w:rPr>
                <w:szCs w:val="21"/>
              </w:rPr>
            </w:pPr>
          </w:p>
        </w:tc>
        <w:tc>
          <w:tcPr>
            <w:tcW w:w="834" w:type="dxa"/>
            <w:vMerge w:val="continue"/>
            <w:vAlign w:val="center"/>
          </w:tcPr>
          <w:p>
            <w:pPr>
              <w:pStyle w:val="39"/>
              <w:spacing w:line="240" w:lineRule="auto"/>
              <w:rPr>
                <w:szCs w:val="21"/>
              </w:rPr>
            </w:pPr>
          </w:p>
        </w:tc>
        <w:tc>
          <w:tcPr>
            <w:tcW w:w="559" w:type="dxa"/>
            <w:vMerge w:val="continue"/>
            <w:vAlign w:val="center"/>
          </w:tcPr>
          <w:p>
            <w:pPr>
              <w:pStyle w:val="39"/>
              <w:spacing w:line="240" w:lineRule="auto"/>
              <w:rPr>
                <w:color w:val="000000" w:themeColor="text1"/>
                <w:szCs w:val="21"/>
              </w:rPr>
            </w:pPr>
          </w:p>
        </w:tc>
        <w:tc>
          <w:tcPr>
            <w:tcW w:w="1269" w:type="dxa"/>
            <w:vAlign w:val="center"/>
          </w:tcPr>
          <w:p>
            <w:pPr>
              <w:pStyle w:val="39"/>
              <w:spacing w:line="240" w:lineRule="auto"/>
              <w:rPr>
                <w:color w:val="000000" w:themeColor="text1"/>
                <w:szCs w:val="21"/>
              </w:rPr>
            </w:pPr>
            <w:r>
              <w:rPr>
                <w:rFonts w:hint="eastAsia"/>
                <w:color w:val="000000" w:themeColor="text1"/>
                <w:szCs w:val="21"/>
              </w:rPr>
              <w:t>煎药药渣</w:t>
            </w:r>
          </w:p>
        </w:tc>
        <w:tc>
          <w:tcPr>
            <w:tcW w:w="4385" w:type="dxa"/>
            <w:vAlign w:val="center"/>
          </w:tcPr>
          <w:p>
            <w:pPr>
              <w:pStyle w:val="39"/>
              <w:spacing w:line="240" w:lineRule="auto"/>
              <w:rPr>
                <w:color w:val="000000" w:themeColor="text1"/>
                <w:szCs w:val="21"/>
              </w:rPr>
            </w:pPr>
            <w:r>
              <w:rPr>
                <w:rFonts w:hint="eastAsia"/>
                <w:bCs/>
                <w:color w:val="000000" w:themeColor="text1"/>
                <w:szCs w:val="21"/>
              </w:rPr>
              <w:t>定期由环卫部门统一收集处置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1481" w:type="dxa"/>
            <w:vMerge w:val="continue"/>
            <w:vAlign w:val="center"/>
          </w:tcPr>
          <w:p>
            <w:pPr>
              <w:pStyle w:val="39"/>
              <w:spacing w:line="240" w:lineRule="auto"/>
              <w:rPr>
                <w:szCs w:val="21"/>
              </w:rPr>
            </w:pPr>
          </w:p>
        </w:tc>
        <w:tc>
          <w:tcPr>
            <w:tcW w:w="834" w:type="dxa"/>
            <w:vMerge w:val="continue"/>
            <w:vAlign w:val="center"/>
          </w:tcPr>
          <w:p>
            <w:pPr>
              <w:pStyle w:val="39"/>
              <w:spacing w:line="240" w:lineRule="auto"/>
              <w:rPr>
                <w:szCs w:val="21"/>
              </w:rPr>
            </w:pPr>
          </w:p>
        </w:tc>
        <w:tc>
          <w:tcPr>
            <w:tcW w:w="559" w:type="dxa"/>
            <w:vMerge w:val="restart"/>
            <w:vAlign w:val="center"/>
          </w:tcPr>
          <w:p>
            <w:pPr>
              <w:pStyle w:val="39"/>
              <w:spacing w:line="240" w:lineRule="auto"/>
              <w:rPr>
                <w:color w:val="000000" w:themeColor="text1"/>
                <w:szCs w:val="21"/>
              </w:rPr>
            </w:pPr>
            <w:r>
              <w:rPr>
                <w:rFonts w:hint="eastAsia"/>
                <w:color w:val="000000" w:themeColor="text1"/>
                <w:szCs w:val="21"/>
              </w:rPr>
              <w:t>危险废物</w:t>
            </w:r>
          </w:p>
        </w:tc>
        <w:tc>
          <w:tcPr>
            <w:tcW w:w="1269" w:type="dxa"/>
            <w:vAlign w:val="center"/>
          </w:tcPr>
          <w:p>
            <w:pPr>
              <w:pStyle w:val="39"/>
              <w:spacing w:line="240" w:lineRule="auto"/>
              <w:rPr>
                <w:color w:val="000000" w:themeColor="text1"/>
                <w:szCs w:val="21"/>
              </w:rPr>
            </w:pPr>
            <w:r>
              <w:rPr>
                <w:rFonts w:hint="eastAsia"/>
                <w:color w:val="000000" w:themeColor="text1"/>
                <w:szCs w:val="21"/>
              </w:rPr>
              <w:t>医疗废物</w:t>
            </w:r>
          </w:p>
        </w:tc>
        <w:tc>
          <w:tcPr>
            <w:tcW w:w="4385" w:type="dxa"/>
            <w:vAlign w:val="center"/>
          </w:tcPr>
          <w:p>
            <w:pPr>
              <w:pStyle w:val="39"/>
              <w:spacing w:line="240" w:lineRule="auto"/>
              <w:rPr>
                <w:color w:val="000000" w:themeColor="text1"/>
                <w:szCs w:val="21"/>
              </w:rPr>
            </w:pPr>
            <w:r>
              <w:rPr>
                <w:rFonts w:hint="eastAsia"/>
                <w:color w:val="000000" w:themeColor="text1"/>
                <w:szCs w:val="21"/>
              </w:rPr>
              <w:t>暂存于医疗废物暂存间，定期由有资质单位收集处置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1481" w:type="dxa"/>
            <w:vMerge w:val="continue"/>
            <w:vAlign w:val="center"/>
          </w:tcPr>
          <w:p>
            <w:pPr>
              <w:pStyle w:val="39"/>
              <w:spacing w:line="240" w:lineRule="auto"/>
              <w:rPr>
                <w:szCs w:val="21"/>
              </w:rPr>
            </w:pPr>
          </w:p>
        </w:tc>
        <w:tc>
          <w:tcPr>
            <w:tcW w:w="834" w:type="dxa"/>
            <w:vMerge w:val="continue"/>
            <w:vAlign w:val="center"/>
          </w:tcPr>
          <w:p>
            <w:pPr>
              <w:pStyle w:val="39"/>
              <w:spacing w:line="240" w:lineRule="auto"/>
              <w:rPr>
                <w:szCs w:val="21"/>
              </w:rPr>
            </w:pPr>
          </w:p>
        </w:tc>
        <w:tc>
          <w:tcPr>
            <w:tcW w:w="559" w:type="dxa"/>
            <w:vMerge w:val="continue"/>
            <w:vAlign w:val="center"/>
          </w:tcPr>
          <w:p>
            <w:pPr>
              <w:pStyle w:val="39"/>
              <w:spacing w:line="240" w:lineRule="auto"/>
              <w:rPr>
                <w:color w:val="000000" w:themeColor="text1"/>
                <w:szCs w:val="21"/>
              </w:rPr>
            </w:pPr>
          </w:p>
        </w:tc>
        <w:tc>
          <w:tcPr>
            <w:tcW w:w="1269" w:type="dxa"/>
            <w:vAlign w:val="center"/>
          </w:tcPr>
          <w:p>
            <w:pPr>
              <w:pStyle w:val="39"/>
              <w:spacing w:line="240" w:lineRule="auto"/>
              <w:rPr>
                <w:color w:val="000000" w:themeColor="text1"/>
                <w:szCs w:val="21"/>
              </w:rPr>
            </w:pPr>
            <w:r>
              <w:rPr>
                <w:bCs/>
                <w:color w:val="000000" w:themeColor="text1"/>
                <w:szCs w:val="21"/>
              </w:rPr>
              <w:t>COD、氨氮在线监测仪</w:t>
            </w:r>
            <w:r>
              <w:rPr>
                <w:rFonts w:hint="eastAsia"/>
                <w:bCs/>
                <w:color w:val="000000" w:themeColor="text1"/>
                <w:szCs w:val="21"/>
              </w:rPr>
              <w:t>废液</w:t>
            </w:r>
          </w:p>
        </w:tc>
        <w:tc>
          <w:tcPr>
            <w:tcW w:w="4385" w:type="dxa"/>
            <w:vAlign w:val="center"/>
          </w:tcPr>
          <w:p>
            <w:pPr>
              <w:pStyle w:val="39"/>
              <w:spacing w:line="240" w:lineRule="auto"/>
              <w:rPr>
                <w:color w:val="000000" w:themeColor="text1"/>
                <w:szCs w:val="21"/>
              </w:rPr>
            </w:pPr>
            <w:r>
              <w:rPr>
                <w:rFonts w:hint="eastAsia"/>
                <w:color w:val="000000" w:themeColor="text1"/>
                <w:szCs w:val="21"/>
              </w:rPr>
              <w:t>暂存于医疗废物暂存间，定期由有资质单位收集处置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trPr>
        <w:tc>
          <w:tcPr>
            <w:tcW w:w="1481" w:type="dxa"/>
            <w:vMerge w:val="continue"/>
            <w:vAlign w:val="center"/>
          </w:tcPr>
          <w:p>
            <w:pPr>
              <w:pStyle w:val="39"/>
              <w:spacing w:line="240" w:lineRule="auto"/>
              <w:rPr>
                <w:szCs w:val="21"/>
              </w:rPr>
            </w:pPr>
          </w:p>
        </w:tc>
        <w:tc>
          <w:tcPr>
            <w:tcW w:w="834" w:type="dxa"/>
            <w:vMerge w:val="continue"/>
            <w:vAlign w:val="center"/>
          </w:tcPr>
          <w:p>
            <w:pPr>
              <w:pStyle w:val="39"/>
              <w:spacing w:line="240" w:lineRule="auto"/>
              <w:rPr>
                <w:szCs w:val="21"/>
              </w:rPr>
            </w:pPr>
          </w:p>
        </w:tc>
        <w:tc>
          <w:tcPr>
            <w:tcW w:w="559" w:type="dxa"/>
            <w:vMerge w:val="continue"/>
            <w:vAlign w:val="center"/>
          </w:tcPr>
          <w:p>
            <w:pPr>
              <w:pStyle w:val="39"/>
              <w:spacing w:line="240" w:lineRule="auto"/>
              <w:rPr>
                <w:color w:val="000000" w:themeColor="text1"/>
                <w:szCs w:val="21"/>
              </w:rPr>
            </w:pPr>
          </w:p>
        </w:tc>
        <w:tc>
          <w:tcPr>
            <w:tcW w:w="1269" w:type="dxa"/>
            <w:vAlign w:val="center"/>
          </w:tcPr>
          <w:p>
            <w:pPr>
              <w:pStyle w:val="39"/>
              <w:spacing w:line="240" w:lineRule="auto"/>
              <w:rPr>
                <w:color w:val="000000" w:themeColor="text1"/>
                <w:szCs w:val="21"/>
              </w:rPr>
            </w:pPr>
            <w:r>
              <w:rPr>
                <w:rFonts w:hint="eastAsia"/>
                <w:color w:val="000000" w:themeColor="text1"/>
                <w:szCs w:val="21"/>
              </w:rPr>
              <w:t>污水站与化粪池污泥</w:t>
            </w:r>
          </w:p>
        </w:tc>
        <w:tc>
          <w:tcPr>
            <w:tcW w:w="4385" w:type="dxa"/>
            <w:vAlign w:val="center"/>
          </w:tcPr>
          <w:p>
            <w:pPr>
              <w:pStyle w:val="39"/>
              <w:spacing w:line="240" w:lineRule="auto"/>
              <w:rPr>
                <w:color w:val="000000" w:themeColor="text1"/>
                <w:szCs w:val="21"/>
              </w:rPr>
            </w:pPr>
            <w:r>
              <w:rPr>
                <w:rFonts w:hint="eastAsia"/>
                <w:color w:val="000000" w:themeColor="text1"/>
                <w:szCs w:val="21"/>
              </w:rPr>
              <w:t>由有资质单位处理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81" w:type="dxa"/>
            <w:vMerge w:val="continue"/>
            <w:vAlign w:val="center"/>
          </w:tcPr>
          <w:p>
            <w:pPr>
              <w:pStyle w:val="39"/>
              <w:spacing w:line="240" w:lineRule="auto"/>
              <w:rPr>
                <w:szCs w:val="21"/>
              </w:rPr>
            </w:pPr>
          </w:p>
        </w:tc>
        <w:tc>
          <w:tcPr>
            <w:tcW w:w="834" w:type="dxa"/>
            <w:vAlign w:val="center"/>
          </w:tcPr>
          <w:p>
            <w:pPr>
              <w:pStyle w:val="39"/>
              <w:spacing w:line="240" w:lineRule="auto"/>
              <w:rPr>
                <w:szCs w:val="21"/>
              </w:rPr>
            </w:pPr>
            <w:r>
              <w:rPr>
                <w:rFonts w:hint="eastAsia"/>
                <w:szCs w:val="21"/>
              </w:rPr>
              <w:t>其它</w:t>
            </w:r>
          </w:p>
        </w:tc>
        <w:tc>
          <w:tcPr>
            <w:tcW w:w="1828" w:type="dxa"/>
            <w:gridSpan w:val="2"/>
            <w:vAlign w:val="center"/>
          </w:tcPr>
          <w:p>
            <w:pPr>
              <w:pStyle w:val="39"/>
              <w:spacing w:line="240" w:lineRule="auto"/>
              <w:rPr>
                <w:color w:val="000000" w:themeColor="text1"/>
                <w:szCs w:val="21"/>
              </w:rPr>
            </w:pPr>
            <w:r>
              <w:rPr>
                <w:rFonts w:hint="eastAsia"/>
                <w:color w:val="000000" w:themeColor="text1"/>
                <w:szCs w:val="21"/>
              </w:rPr>
              <w:t>防腐防渗</w:t>
            </w:r>
          </w:p>
        </w:tc>
        <w:tc>
          <w:tcPr>
            <w:tcW w:w="4385" w:type="dxa"/>
            <w:vAlign w:val="center"/>
          </w:tcPr>
          <w:p>
            <w:pPr>
              <w:pStyle w:val="39"/>
              <w:spacing w:line="240" w:lineRule="auto"/>
              <w:rPr>
                <w:color w:val="000000" w:themeColor="text1"/>
                <w:szCs w:val="21"/>
              </w:rPr>
            </w:pPr>
            <w:r>
              <w:rPr>
                <w:rFonts w:hint="eastAsia"/>
                <w:color w:val="000000" w:themeColor="text1"/>
                <w:szCs w:val="21"/>
              </w:rPr>
              <w:t>化粪池、医疗废物暂存间、污水站等均采取防渗措施，厂区地面等其它区域做一般地面硬化</w:t>
            </w:r>
          </w:p>
        </w:tc>
      </w:tr>
    </w:tbl>
    <w:p>
      <w:pPr>
        <w:spacing w:line="360" w:lineRule="auto"/>
        <w:ind w:firstLine="480" w:firstLineChars="200"/>
        <w:jc w:val="center"/>
        <w:rPr>
          <w:rFonts w:ascii="Times New Roman" w:hAnsi="Times New Roman" w:cs="Times New Roman" w:eastAsiaTheme="majorEastAsia"/>
          <w:b/>
          <w:sz w:val="24"/>
        </w:rPr>
      </w:pPr>
    </w:p>
    <w:p>
      <w:pPr>
        <w:spacing w:line="360" w:lineRule="auto"/>
        <w:ind w:firstLine="480" w:firstLineChars="200"/>
        <w:jc w:val="center"/>
        <w:rPr>
          <w:rFonts w:ascii="Times New Roman" w:hAnsi="Times New Roman" w:cs="Times New Roman" w:eastAsiaTheme="majorEastAsia"/>
          <w:b/>
          <w:sz w:val="24"/>
        </w:rPr>
      </w:pPr>
    </w:p>
    <w:p>
      <w:pPr>
        <w:spacing w:line="360" w:lineRule="auto"/>
        <w:rPr>
          <w:rFonts w:ascii="Times New Roman" w:hAnsi="Times New Roman" w:cs="Times New Roman" w:eastAsiaTheme="majorEastAsia"/>
          <w:b/>
          <w:sz w:val="24"/>
        </w:rPr>
      </w:pPr>
    </w:p>
    <w:p>
      <w:pPr>
        <w:spacing w:line="360" w:lineRule="auto"/>
        <w:ind w:firstLine="480" w:firstLineChars="200"/>
        <w:jc w:val="center"/>
        <w:rPr>
          <w:rFonts w:ascii="Times New Roman" w:hAnsi="Times New Roman" w:cs="Times New Roman" w:eastAsiaTheme="majorEastAsia"/>
          <w:b/>
          <w:sz w:val="24"/>
        </w:rPr>
      </w:pPr>
      <w:r>
        <w:rPr>
          <w:rFonts w:ascii="Times New Roman" w:hAnsi="Times New Roman" w:cs="Times New Roman" w:eastAsiaTheme="majorEastAsia"/>
          <w:b/>
          <w:sz w:val="24"/>
        </w:rPr>
        <w:t>表3-</w:t>
      </w:r>
      <w:r>
        <w:rPr>
          <w:rFonts w:hint="eastAsia" w:ascii="Times New Roman" w:hAnsi="Times New Roman" w:cs="Times New Roman" w:eastAsiaTheme="majorEastAsia"/>
          <w:b/>
          <w:sz w:val="24"/>
        </w:rPr>
        <w:t>2</w:t>
      </w:r>
      <w:r>
        <w:rPr>
          <w:rFonts w:ascii="Times New Roman" w:hAnsi="Times New Roman" w:cs="Times New Roman" w:eastAsiaTheme="majorEastAsia"/>
          <w:b/>
          <w:sz w:val="24"/>
        </w:rPr>
        <w:t xml:space="preserve">  项目</w:t>
      </w:r>
      <w:r>
        <w:rPr>
          <w:rFonts w:hint="eastAsia" w:ascii="Times New Roman" w:hAnsi="Times New Roman" w:cs="Times New Roman" w:eastAsiaTheme="majorEastAsia"/>
          <w:b/>
          <w:sz w:val="24"/>
        </w:rPr>
        <w:t>科室设置</w:t>
      </w:r>
      <w:r>
        <w:rPr>
          <w:rFonts w:ascii="Times New Roman" w:hAnsi="Times New Roman" w:cs="Times New Roman" w:eastAsiaTheme="majorEastAsia"/>
          <w:b/>
          <w:sz w:val="24"/>
        </w:rPr>
        <w:t>一览表</w:t>
      </w:r>
    </w:p>
    <w:tbl>
      <w:tblPr>
        <w:tblStyle w:val="28"/>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560"/>
        <w:gridCol w:w="5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Align w:val="center"/>
          </w:tcPr>
          <w:p>
            <w:pPr>
              <w:spacing w:line="340" w:lineRule="exact"/>
              <w:jc w:val="center"/>
              <w:rPr>
                <w:rFonts w:ascii="Times New Roman" w:hAnsi="Times New Roman" w:cs="Times New Roman"/>
                <w:b/>
                <w:szCs w:val="21"/>
              </w:rPr>
            </w:pPr>
            <w:r>
              <w:rPr>
                <w:rFonts w:ascii="Times New Roman" w:hAnsi="Times New Roman" w:cs="Times New Roman"/>
                <w:b/>
                <w:szCs w:val="21"/>
              </w:rPr>
              <w:t>项目</w:t>
            </w:r>
          </w:p>
        </w:tc>
        <w:tc>
          <w:tcPr>
            <w:tcW w:w="1560" w:type="dxa"/>
            <w:vAlign w:val="center"/>
          </w:tcPr>
          <w:p>
            <w:pPr>
              <w:spacing w:line="340" w:lineRule="exact"/>
              <w:jc w:val="center"/>
              <w:rPr>
                <w:rFonts w:ascii="Times New Roman" w:hAnsi="Times New Roman" w:cs="Times New Roman"/>
                <w:b/>
                <w:szCs w:val="21"/>
              </w:rPr>
            </w:pPr>
            <w:r>
              <w:rPr>
                <w:rFonts w:ascii="Times New Roman" w:hAnsi="Times New Roman" w:cs="Times New Roman"/>
                <w:b/>
                <w:szCs w:val="21"/>
              </w:rPr>
              <w:t>楼层</w:t>
            </w:r>
          </w:p>
        </w:tc>
        <w:tc>
          <w:tcPr>
            <w:tcW w:w="5159" w:type="dxa"/>
            <w:vAlign w:val="center"/>
          </w:tcPr>
          <w:p>
            <w:pPr>
              <w:spacing w:line="340" w:lineRule="exact"/>
              <w:jc w:val="center"/>
              <w:rPr>
                <w:rFonts w:ascii="Times New Roman" w:hAnsi="Times New Roman" w:cs="Times New Roman"/>
                <w:b/>
                <w:szCs w:val="21"/>
              </w:rPr>
            </w:pPr>
            <w:r>
              <w:rPr>
                <w:rFonts w:ascii="Times New Roman" w:hAnsi="Times New Roman" w:cs="Times New Roman"/>
                <w:b/>
                <w:szCs w:val="21"/>
              </w:rPr>
              <w:t>科室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restart"/>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门诊楼</w:t>
            </w:r>
          </w:p>
        </w:tc>
        <w:tc>
          <w:tcPr>
            <w:tcW w:w="1560"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1</w:t>
            </w:r>
          </w:p>
        </w:tc>
        <w:tc>
          <w:tcPr>
            <w:tcW w:w="5159"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急诊室、门诊药房、收费处、门诊输液大厅、中药饮片质量检测室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spacing w:line="340" w:lineRule="exact"/>
              <w:jc w:val="center"/>
              <w:rPr>
                <w:rFonts w:ascii="Times New Roman" w:hAnsi="Times New Roman" w:cs="Times New Roman"/>
                <w:szCs w:val="21"/>
              </w:rPr>
            </w:pPr>
          </w:p>
        </w:tc>
        <w:tc>
          <w:tcPr>
            <w:tcW w:w="1560"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2</w:t>
            </w:r>
          </w:p>
        </w:tc>
        <w:tc>
          <w:tcPr>
            <w:tcW w:w="5159"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名老中医经验传承工作室、内外临床科室门诊诊室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spacing w:line="340" w:lineRule="exact"/>
              <w:jc w:val="center"/>
              <w:rPr>
                <w:rFonts w:ascii="Times New Roman" w:hAnsi="Times New Roman" w:cs="Times New Roman"/>
                <w:szCs w:val="21"/>
              </w:rPr>
            </w:pPr>
          </w:p>
        </w:tc>
        <w:tc>
          <w:tcPr>
            <w:tcW w:w="1560"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3</w:t>
            </w:r>
          </w:p>
        </w:tc>
        <w:tc>
          <w:tcPr>
            <w:tcW w:w="5159" w:type="dxa"/>
            <w:vAlign w:val="center"/>
          </w:tcPr>
          <w:p>
            <w:pPr>
              <w:spacing w:line="34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皮肤科、口腔科、耳鼻喉、妇产科、门诊手术室等诊室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spacing w:line="340" w:lineRule="exact"/>
              <w:jc w:val="center"/>
              <w:rPr>
                <w:rFonts w:ascii="Times New Roman" w:hAnsi="Times New Roman" w:cs="Times New Roman"/>
                <w:szCs w:val="21"/>
              </w:rPr>
            </w:pPr>
          </w:p>
        </w:tc>
        <w:tc>
          <w:tcPr>
            <w:tcW w:w="1560"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4</w:t>
            </w:r>
          </w:p>
        </w:tc>
        <w:tc>
          <w:tcPr>
            <w:tcW w:w="5159" w:type="dxa"/>
            <w:vAlign w:val="center"/>
          </w:tcPr>
          <w:p>
            <w:pPr>
              <w:spacing w:line="34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检验科、病理科、功能检查科、血库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spacing w:line="340" w:lineRule="exact"/>
              <w:jc w:val="center"/>
              <w:rPr>
                <w:rFonts w:ascii="Times New Roman" w:hAnsi="Times New Roman" w:cs="Times New Roman"/>
                <w:szCs w:val="21"/>
              </w:rPr>
            </w:pPr>
          </w:p>
        </w:tc>
        <w:tc>
          <w:tcPr>
            <w:tcW w:w="1560"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5</w:t>
            </w:r>
          </w:p>
        </w:tc>
        <w:tc>
          <w:tcPr>
            <w:tcW w:w="5159" w:type="dxa"/>
            <w:vAlign w:val="center"/>
          </w:tcPr>
          <w:p>
            <w:pPr>
              <w:spacing w:line="34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CT室、放射科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spacing w:line="340" w:lineRule="exact"/>
              <w:jc w:val="center"/>
              <w:rPr>
                <w:rFonts w:ascii="Times New Roman" w:hAnsi="Times New Roman" w:cs="Times New Roman"/>
                <w:szCs w:val="21"/>
              </w:rPr>
            </w:pPr>
          </w:p>
        </w:tc>
        <w:tc>
          <w:tcPr>
            <w:tcW w:w="1560"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6</w:t>
            </w:r>
          </w:p>
        </w:tc>
        <w:tc>
          <w:tcPr>
            <w:tcW w:w="5159"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中医医疗技术中心、疑难病中心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spacing w:line="340" w:lineRule="exact"/>
              <w:jc w:val="center"/>
              <w:rPr>
                <w:rFonts w:ascii="Times New Roman" w:hAnsi="Times New Roman" w:cs="Times New Roman"/>
                <w:szCs w:val="21"/>
              </w:rPr>
            </w:pPr>
          </w:p>
        </w:tc>
        <w:tc>
          <w:tcPr>
            <w:tcW w:w="1560"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7</w:t>
            </w:r>
          </w:p>
        </w:tc>
        <w:tc>
          <w:tcPr>
            <w:tcW w:w="5159"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治未病中心、病房中医综合治疗室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spacing w:line="340" w:lineRule="exact"/>
              <w:jc w:val="center"/>
              <w:rPr>
                <w:rFonts w:ascii="Times New Roman" w:hAnsi="Times New Roman" w:cs="Times New Roman"/>
                <w:szCs w:val="21"/>
              </w:rPr>
            </w:pPr>
          </w:p>
        </w:tc>
        <w:tc>
          <w:tcPr>
            <w:tcW w:w="1560"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8</w:t>
            </w:r>
          </w:p>
        </w:tc>
        <w:tc>
          <w:tcPr>
            <w:tcW w:w="5159"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示教室、资料室、中药临方加工室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restart"/>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住院楼</w:t>
            </w:r>
          </w:p>
        </w:tc>
        <w:tc>
          <w:tcPr>
            <w:tcW w:w="1560"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1</w:t>
            </w:r>
          </w:p>
        </w:tc>
        <w:tc>
          <w:tcPr>
            <w:tcW w:w="5159"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ICU、血液病科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spacing w:line="340" w:lineRule="exact"/>
              <w:jc w:val="center"/>
              <w:rPr>
                <w:rFonts w:ascii="Times New Roman" w:hAnsi="Times New Roman" w:cs="Times New Roman"/>
                <w:szCs w:val="21"/>
              </w:rPr>
            </w:pPr>
          </w:p>
        </w:tc>
        <w:tc>
          <w:tcPr>
            <w:tcW w:w="1560"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2</w:t>
            </w:r>
          </w:p>
        </w:tc>
        <w:tc>
          <w:tcPr>
            <w:tcW w:w="5159"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体检中心、中医康复区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spacing w:line="340" w:lineRule="exact"/>
              <w:jc w:val="center"/>
              <w:rPr>
                <w:rFonts w:ascii="Times New Roman" w:hAnsi="Times New Roman" w:cs="Times New Roman"/>
                <w:szCs w:val="21"/>
              </w:rPr>
            </w:pPr>
          </w:p>
        </w:tc>
        <w:tc>
          <w:tcPr>
            <w:tcW w:w="1560"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3</w:t>
            </w:r>
          </w:p>
        </w:tc>
        <w:tc>
          <w:tcPr>
            <w:tcW w:w="5159"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中医经典病房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spacing w:line="340" w:lineRule="exact"/>
              <w:jc w:val="center"/>
              <w:rPr>
                <w:rFonts w:ascii="Times New Roman" w:hAnsi="Times New Roman" w:cs="Times New Roman"/>
                <w:szCs w:val="21"/>
              </w:rPr>
            </w:pPr>
          </w:p>
        </w:tc>
        <w:tc>
          <w:tcPr>
            <w:tcW w:w="1560"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4</w:t>
            </w:r>
          </w:p>
        </w:tc>
        <w:tc>
          <w:tcPr>
            <w:tcW w:w="5159"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心血管科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spacing w:line="340" w:lineRule="exact"/>
              <w:jc w:val="center"/>
              <w:rPr>
                <w:rFonts w:ascii="Times New Roman" w:hAnsi="Times New Roman" w:cs="Times New Roman"/>
                <w:szCs w:val="21"/>
              </w:rPr>
            </w:pPr>
          </w:p>
        </w:tc>
        <w:tc>
          <w:tcPr>
            <w:tcW w:w="1560"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5</w:t>
            </w:r>
          </w:p>
        </w:tc>
        <w:tc>
          <w:tcPr>
            <w:tcW w:w="5159"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脾胃病科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spacing w:line="340" w:lineRule="exact"/>
              <w:jc w:val="center"/>
              <w:rPr>
                <w:rFonts w:ascii="Times New Roman" w:hAnsi="Times New Roman" w:cs="Times New Roman"/>
                <w:szCs w:val="21"/>
              </w:rPr>
            </w:pPr>
          </w:p>
        </w:tc>
        <w:tc>
          <w:tcPr>
            <w:tcW w:w="1560"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6</w:t>
            </w:r>
          </w:p>
        </w:tc>
        <w:tc>
          <w:tcPr>
            <w:tcW w:w="5159"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肾病风湿科、透析室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spacing w:line="340" w:lineRule="exact"/>
              <w:jc w:val="center"/>
              <w:rPr>
                <w:rFonts w:ascii="Times New Roman" w:hAnsi="Times New Roman" w:cs="Times New Roman"/>
                <w:szCs w:val="21"/>
              </w:rPr>
            </w:pPr>
          </w:p>
        </w:tc>
        <w:tc>
          <w:tcPr>
            <w:tcW w:w="1560"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7</w:t>
            </w:r>
          </w:p>
        </w:tc>
        <w:tc>
          <w:tcPr>
            <w:tcW w:w="5159"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骨科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spacing w:line="340" w:lineRule="exact"/>
              <w:jc w:val="center"/>
              <w:rPr>
                <w:rFonts w:ascii="Times New Roman" w:hAnsi="Times New Roman" w:cs="Times New Roman"/>
                <w:szCs w:val="21"/>
              </w:rPr>
            </w:pPr>
          </w:p>
        </w:tc>
        <w:tc>
          <w:tcPr>
            <w:tcW w:w="1560"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8</w:t>
            </w:r>
          </w:p>
        </w:tc>
        <w:tc>
          <w:tcPr>
            <w:tcW w:w="5159"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五官、皮肤科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spacing w:line="340" w:lineRule="exact"/>
              <w:jc w:val="center"/>
              <w:rPr>
                <w:rFonts w:ascii="Times New Roman" w:hAnsi="Times New Roman" w:cs="Times New Roman"/>
                <w:szCs w:val="21"/>
              </w:rPr>
            </w:pPr>
          </w:p>
        </w:tc>
        <w:tc>
          <w:tcPr>
            <w:tcW w:w="1560"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9</w:t>
            </w:r>
          </w:p>
        </w:tc>
        <w:tc>
          <w:tcPr>
            <w:tcW w:w="5159"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普外肛肠科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spacing w:line="340" w:lineRule="exact"/>
              <w:jc w:val="center"/>
              <w:rPr>
                <w:rFonts w:ascii="Times New Roman" w:hAnsi="Times New Roman" w:cs="Times New Roman"/>
                <w:szCs w:val="21"/>
              </w:rPr>
            </w:pPr>
          </w:p>
        </w:tc>
        <w:tc>
          <w:tcPr>
            <w:tcW w:w="1560"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10</w:t>
            </w:r>
          </w:p>
        </w:tc>
        <w:tc>
          <w:tcPr>
            <w:tcW w:w="5159"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儿科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spacing w:line="340" w:lineRule="exact"/>
              <w:jc w:val="center"/>
              <w:rPr>
                <w:rFonts w:ascii="Times New Roman" w:hAnsi="Times New Roman" w:cs="Times New Roman"/>
                <w:szCs w:val="21"/>
              </w:rPr>
            </w:pPr>
          </w:p>
        </w:tc>
        <w:tc>
          <w:tcPr>
            <w:tcW w:w="1560"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11</w:t>
            </w:r>
          </w:p>
        </w:tc>
        <w:tc>
          <w:tcPr>
            <w:tcW w:w="5159"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老年病科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spacing w:line="340" w:lineRule="exact"/>
              <w:jc w:val="center"/>
              <w:rPr>
                <w:rFonts w:ascii="Times New Roman" w:hAnsi="Times New Roman" w:cs="Times New Roman"/>
                <w:szCs w:val="21"/>
              </w:rPr>
            </w:pPr>
          </w:p>
        </w:tc>
        <w:tc>
          <w:tcPr>
            <w:tcW w:w="1560"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12</w:t>
            </w:r>
          </w:p>
        </w:tc>
        <w:tc>
          <w:tcPr>
            <w:tcW w:w="5159"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普内科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spacing w:line="340" w:lineRule="exact"/>
              <w:jc w:val="center"/>
              <w:rPr>
                <w:rFonts w:ascii="Times New Roman" w:hAnsi="Times New Roman" w:cs="Times New Roman"/>
                <w:szCs w:val="21"/>
              </w:rPr>
            </w:pPr>
          </w:p>
        </w:tc>
        <w:tc>
          <w:tcPr>
            <w:tcW w:w="1560"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13</w:t>
            </w:r>
          </w:p>
        </w:tc>
        <w:tc>
          <w:tcPr>
            <w:tcW w:w="5159"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脑病科（神经内科）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spacing w:line="340" w:lineRule="exact"/>
              <w:jc w:val="center"/>
              <w:rPr>
                <w:rFonts w:ascii="Times New Roman" w:hAnsi="Times New Roman" w:cs="Times New Roman"/>
                <w:szCs w:val="21"/>
              </w:rPr>
            </w:pPr>
          </w:p>
        </w:tc>
        <w:tc>
          <w:tcPr>
            <w:tcW w:w="1560"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14</w:t>
            </w:r>
          </w:p>
        </w:tc>
        <w:tc>
          <w:tcPr>
            <w:tcW w:w="5159"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妇产科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spacing w:line="340" w:lineRule="exact"/>
              <w:jc w:val="center"/>
              <w:rPr>
                <w:rFonts w:ascii="Times New Roman" w:hAnsi="Times New Roman" w:cs="Times New Roman"/>
                <w:szCs w:val="21"/>
              </w:rPr>
            </w:pPr>
          </w:p>
        </w:tc>
        <w:tc>
          <w:tcPr>
            <w:tcW w:w="1560"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15</w:t>
            </w:r>
          </w:p>
        </w:tc>
        <w:tc>
          <w:tcPr>
            <w:tcW w:w="5159"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手术室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restart"/>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综合培训楼</w:t>
            </w:r>
          </w:p>
        </w:tc>
        <w:tc>
          <w:tcPr>
            <w:tcW w:w="1560"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1</w:t>
            </w:r>
          </w:p>
        </w:tc>
        <w:tc>
          <w:tcPr>
            <w:tcW w:w="5159" w:type="dxa"/>
            <w:vAlign w:val="center"/>
          </w:tcPr>
          <w:p>
            <w:pPr>
              <w:spacing w:line="34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示教室、煎药室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spacing w:line="340" w:lineRule="exact"/>
              <w:jc w:val="center"/>
              <w:rPr>
                <w:rFonts w:ascii="Times New Roman" w:hAnsi="Times New Roman" w:cs="Times New Roman"/>
                <w:szCs w:val="21"/>
              </w:rPr>
            </w:pPr>
          </w:p>
        </w:tc>
        <w:tc>
          <w:tcPr>
            <w:tcW w:w="1560"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2</w:t>
            </w:r>
          </w:p>
        </w:tc>
        <w:tc>
          <w:tcPr>
            <w:tcW w:w="5159"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教研室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spacing w:line="340" w:lineRule="exact"/>
              <w:jc w:val="center"/>
              <w:rPr>
                <w:rFonts w:ascii="Times New Roman" w:hAnsi="Times New Roman" w:cs="Times New Roman"/>
                <w:szCs w:val="21"/>
              </w:rPr>
            </w:pPr>
          </w:p>
        </w:tc>
        <w:tc>
          <w:tcPr>
            <w:tcW w:w="1560"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3</w:t>
            </w:r>
          </w:p>
        </w:tc>
        <w:tc>
          <w:tcPr>
            <w:tcW w:w="5159"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微机室（网络中心）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spacing w:line="340" w:lineRule="exact"/>
              <w:jc w:val="center"/>
              <w:rPr>
                <w:rFonts w:ascii="Times New Roman" w:hAnsi="Times New Roman" w:cs="Times New Roman"/>
                <w:szCs w:val="21"/>
              </w:rPr>
            </w:pPr>
          </w:p>
        </w:tc>
        <w:tc>
          <w:tcPr>
            <w:tcW w:w="1560"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4</w:t>
            </w:r>
          </w:p>
        </w:tc>
        <w:tc>
          <w:tcPr>
            <w:tcW w:w="5159"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学生休息室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spacing w:line="340" w:lineRule="exact"/>
              <w:jc w:val="center"/>
              <w:rPr>
                <w:rFonts w:ascii="Times New Roman" w:hAnsi="Times New Roman" w:cs="Times New Roman"/>
                <w:szCs w:val="21"/>
              </w:rPr>
            </w:pPr>
          </w:p>
        </w:tc>
        <w:tc>
          <w:tcPr>
            <w:tcW w:w="1560"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5</w:t>
            </w:r>
          </w:p>
        </w:tc>
        <w:tc>
          <w:tcPr>
            <w:tcW w:w="5159"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09" w:type="dxa"/>
            <w:vMerge w:val="continue"/>
            <w:vAlign w:val="center"/>
          </w:tcPr>
          <w:p>
            <w:pPr>
              <w:spacing w:line="340" w:lineRule="exact"/>
              <w:jc w:val="center"/>
              <w:rPr>
                <w:rFonts w:ascii="Times New Roman" w:hAnsi="Times New Roman" w:cs="Times New Roman"/>
                <w:szCs w:val="21"/>
              </w:rPr>
            </w:pPr>
          </w:p>
        </w:tc>
        <w:tc>
          <w:tcPr>
            <w:tcW w:w="1560"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6</w:t>
            </w:r>
          </w:p>
        </w:tc>
        <w:tc>
          <w:tcPr>
            <w:tcW w:w="5159"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教室</w:t>
            </w:r>
          </w:p>
        </w:tc>
      </w:tr>
    </w:tbl>
    <w:p>
      <w:pPr>
        <w:spacing w:line="360" w:lineRule="auto"/>
        <w:ind w:firstLine="420" w:firstLineChars="200"/>
        <w:rPr>
          <w:rFonts w:ascii="Times New Roman" w:cs="Times New Roman"/>
          <w:b/>
          <w:szCs w:val="21"/>
        </w:rPr>
      </w:pPr>
      <w:r>
        <w:rPr>
          <w:rFonts w:hint="eastAsia" w:ascii="Times New Roman" w:cs="Times New Roman"/>
          <w:b/>
          <w:szCs w:val="21"/>
        </w:rPr>
        <w:t>注：医院不设传染病科室</w:t>
      </w:r>
      <w:r>
        <w:rPr>
          <w:rFonts w:hint="eastAsia" w:ascii="Times New Roman" w:cs="Times New Roman"/>
          <w:b/>
          <w:color w:val="000000" w:themeColor="text1"/>
          <w:szCs w:val="21"/>
        </w:rPr>
        <w:t>，口腔科不涉汞。</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3.1.3主要工艺设备</w:t>
      </w:r>
    </w:p>
    <w:p>
      <w:pPr>
        <w:spacing w:line="360" w:lineRule="auto"/>
        <w:ind w:firstLine="600" w:firstLineChars="250"/>
        <w:rPr>
          <w:rFonts w:ascii="Times New Roman" w:hAnsi="Times New Roman" w:cs="Times New Roman"/>
          <w:sz w:val="24"/>
          <w:szCs w:val="24"/>
        </w:rPr>
      </w:pPr>
      <w:r>
        <w:rPr>
          <w:rFonts w:hint="eastAsia" w:ascii="Times New Roman" w:hAnsi="Times New Roman" w:cs="Times New Roman"/>
          <w:sz w:val="24"/>
          <w:szCs w:val="24"/>
        </w:rPr>
        <w:t>项目</w:t>
      </w:r>
      <w:r>
        <w:rPr>
          <w:rFonts w:ascii="Times New Roman" w:hAnsi="Times New Roman" w:cs="Times New Roman"/>
          <w:sz w:val="24"/>
          <w:szCs w:val="24"/>
        </w:rPr>
        <w:t>主要设备</w:t>
      </w:r>
      <w:r>
        <w:rPr>
          <w:rFonts w:hint="eastAsia" w:ascii="Times New Roman" w:hAnsi="Times New Roman" w:cs="Times New Roman"/>
          <w:sz w:val="24"/>
          <w:szCs w:val="24"/>
        </w:rPr>
        <w:t>见表3-3。</w:t>
      </w:r>
    </w:p>
    <w:p>
      <w:pPr>
        <w:spacing w:line="360" w:lineRule="auto"/>
        <w:ind w:firstLine="480" w:firstLineChars="200"/>
        <w:jc w:val="center"/>
        <w:rPr>
          <w:rFonts w:ascii="Times New Roman" w:cs="Times New Roman"/>
          <w:b/>
          <w:sz w:val="24"/>
        </w:rPr>
      </w:pPr>
    </w:p>
    <w:p>
      <w:pPr>
        <w:spacing w:line="360" w:lineRule="auto"/>
        <w:ind w:firstLine="480" w:firstLineChars="200"/>
        <w:jc w:val="center"/>
        <w:rPr>
          <w:rFonts w:ascii="Times New Roman" w:cs="Times New Roman"/>
          <w:b/>
          <w:sz w:val="24"/>
        </w:rPr>
      </w:pPr>
    </w:p>
    <w:p>
      <w:pPr>
        <w:spacing w:line="360" w:lineRule="auto"/>
        <w:ind w:firstLine="480" w:firstLineChars="200"/>
        <w:jc w:val="center"/>
        <w:rPr>
          <w:rFonts w:ascii="Times New Roman" w:cs="Times New Roman"/>
          <w:b/>
          <w:sz w:val="24"/>
        </w:rPr>
      </w:pPr>
      <w:r>
        <w:rPr>
          <w:rFonts w:ascii="Times New Roman" w:cs="Times New Roman"/>
          <w:b/>
          <w:sz w:val="24"/>
        </w:rPr>
        <w:t>表</w:t>
      </w:r>
      <w:r>
        <w:rPr>
          <w:rFonts w:ascii="Times New Roman" w:hAnsi="Times New Roman" w:cs="Times New Roman"/>
          <w:b/>
          <w:sz w:val="24"/>
        </w:rPr>
        <w:t>3-</w:t>
      </w:r>
      <w:r>
        <w:rPr>
          <w:rFonts w:hint="eastAsia" w:ascii="Times New Roman" w:hAnsi="Times New Roman" w:cs="Times New Roman"/>
          <w:b/>
          <w:sz w:val="24"/>
        </w:rPr>
        <w:t>3</w:t>
      </w:r>
      <w:r>
        <w:rPr>
          <w:rFonts w:ascii="Times New Roman" w:hAnsi="Times New Roman" w:cs="Times New Roman"/>
          <w:b/>
          <w:sz w:val="24"/>
        </w:rPr>
        <w:t xml:space="preserve">  </w:t>
      </w:r>
      <w:r>
        <w:rPr>
          <w:rFonts w:hint="eastAsia" w:ascii="Times New Roman" w:hAnsi="Times New Roman" w:cs="Times New Roman"/>
          <w:b/>
          <w:sz w:val="24"/>
        </w:rPr>
        <w:t>项目</w:t>
      </w:r>
      <w:r>
        <w:rPr>
          <w:rFonts w:ascii="Times New Roman" w:cs="Times New Roman"/>
          <w:b/>
          <w:sz w:val="24"/>
        </w:rPr>
        <w:t>主要设备一览表</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410"/>
        <w:gridCol w:w="1134"/>
        <w:gridCol w:w="1984"/>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17" w:type="dxa"/>
            <w:vAlign w:val="center"/>
          </w:tcPr>
          <w:p>
            <w:pPr>
              <w:spacing w:line="300" w:lineRule="exact"/>
              <w:jc w:val="center"/>
              <w:rPr>
                <w:rFonts w:ascii="Times New Roman" w:hAnsi="Times New Roman" w:cs="Times New Roman"/>
                <w:szCs w:val="21"/>
              </w:rPr>
            </w:pPr>
            <w:r>
              <w:rPr>
                <w:rFonts w:ascii="Times New Roman" w:hAnsi="Times New Roman" w:cs="Times New Roman"/>
                <w:szCs w:val="21"/>
              </w:rPr>
              <w:t>序号</w:t>
            </w:r>
          </w:p>
        </w:tc>
        <w:tc>
          <w:tcPr>
            <w:tcW w:w="2410" w:type="dxa"/>
            <w:vAlign w:val="center"/>
          </w:tcPr>
          <w:p>
            <w:pPr>
              <w:spacing w:line="300" w:lineRule="exact"/>
              <w:jc w:val="center"/>
              <w:rPr>
                <w:rFonts w:ascii="Times New Roman" w:hAnsi="Times New Roman" w:cs="Times New Roman"/>
                <w:szCs w:val="21"/>
              </w:rPr>
            </w:pPr>
            <w:r>
              <w:rPr>
                <w:rFonts w:ascii="Times New Roman" w:hAnsi="Times New Roman" w:cs="Times New Roman"/>
                <w:szCs w:val="21"/>
              </w:rPr>
              <w:t>名称</w:t>
            </w:r>
          </w:p>
        </w:tc>
        <w:tc>
          <w:tcPr>
            <w:tcW w:w="1134" w:type="dxa"/>
            <w:vAlign w:val="center"/>
          </w:tcPr>
          <w:p>
            <w:pPr>
              <w:spacing w:line="300" w:lineRule="exact"/>
              <w:jc w:val="center"/>
              <w:rPr>
                <w:rFonts w:ascii="Times New Roman" w:hAnsi="Times New Roman" w:cs="Times New Roman"/>
                <w:szCs w:val="21"/>
              </w:rPr>
            </w:pPr>
            <w:r>
              <w:rPr>
                <w:rFonts w:ascii="Times New Roman" w:hAnsi="Times New Roman" w:cs="Times New Roman"/>
                <w:szCs w:val="21"/>
              </w:rPr>
              <w:t>规格</w:t>
            </w:r>
          </w:p>
        </w:tc>
        <w:tc>
          <w:tcPr>
            <w:tcW w:w="1984" w:type="dxa"/>
            <w:vAlign w:val="center"/>
          </w:tcPr>
          <w:p>
            <w:pPr>
              <w:spacing w:line="300" w:lineRule="exact"/>
              <w:jc w:val="center"/>
              <w:rPr>
                <w:rFonts w:ascii="Times New Roman" w:hAnsi="Times New Roman" w:cs="Times New Roman"/>
                <w:szCs w:val="21"/>
              </w:rPr>
            </w:pPr>
            <w:r>
              <w:rPr>
                <w:rFonts w:ascii="Times New Roman" w:hAnsi="Times New Roman" w:cs="Times New Roman"/>
                <w:szCs w:val="21"/>
              </w:rPr>
              <w:t>数量</w:t>
            </w:r>
          </w:p>
          <w:p>
            <w:pPr>
              <w:spacing w:line="300" w:lineRule="exact"/>
              <w:jc w:val="center"/>
              <w:rPr>
                <w:rFonts w:ascii="Times New Roman" w:hAnsi="Times New Roman" w:cs="Times New Roman"/>
                <w:szCs w:val="21"/>
              </w:rPr>
            </w:pPr>
            <w:r>
              <w:rPr>
                <w:rFonts w:hint="eastAsia" w:ascii="Times New Roman" w:hAnsi="Times New Roman" w:cs="Times New Roman"/>
                <w:szCs w:val="21"/>
              </w:rPr>
              <w:t>（台/套）</w:t>
            </w:r>
          </w:p>
        </w:tc>
        <w:tc>
          <w:tcPr>
            <w:tcW w:w="2177" w:type="dxa"/>
            <w:vAlign w:val="center"/>
          </w:tcPr>
          <w:p>
            <w:pPr>
              <w:spacing w:line="300" w:lineRule="exact"/>
              <w:jc w:val="center"/>
              <w:rPr>
                <w:rFonts w:ascii="Times New Roman" w:hAnsi="Times New Roman" w:cs="Times New Roman"/>
                <w:szCs w:val="21"/>
              </w:rPr>
            </w:pPr>
            <w:r>
              <w:rPr>
                <w:rFonts w:ascii="Times New Roman" w:hAnsi="Times New Roman"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17" w:type="dxa"/>
            <w:vAlign w:val="center"/>
          </w:tcPr>
          <w:p>
            <w:pPr>
              <w:spacing w:line="300" w:lineRule="exact"/>
              <w:jc w:val="center"/>
              <w:rPr>
                <w:rFonts w:ascii="Times New Roman" w:hAnsi="Times New Roman" w:cs="Times New Roman"/>
                <w:szCs w:val="21"/>
              </w:rPr>
            </w:pPr>
            <w:r>
              <w:rPr>
                <w:rFonts w:ascii="Times New Roman" w:hAnsi="Times New Roman" w:cs="Times New Roman"/>
                <w:szCs w:val="21"/>
              </w:rPr>
              <w:t>1</w:t>
            </w:r>
          </w:p>
        </w:tc>
        <w:tc>
          <w:tcPr>
            <w:tcW w:w="2410" w:type="dxa"/>
            <w:vAlign w:val="center"/>
          </w:tcPr>
          <w:p>
            <w:pPr>
              <w:spacing w:line="300" w:lineRule="exact"/>
              <w:jc w:val="center"/>
              <w:rPr>
                <w:rFonts w:ascii="Times New Roman" w:hAnsi="Times New Roman" w:cs="Times New Roman"/>
                <w:szCs w:val="21"/>
              </w:rPr>
            </w:pPr>
            <w:r>
              <w:rPr>
                <w:rFonts w:hint="eastAsia" w:ascii="Times New Roman" w:hAnsi="Times New Roman" w:cs="Times New Roman"/>
                <w:szCs w:val="21"/>
              </w:rPr>
              <w:t>全自动生化分析仪</w:t>
            </w:r>
          </w:p>
        </w:tc>
        <w:tc>
          <w:tcPr>
            <w:tcW w:w="1134" w:type="dxa"/>
            <w:vAlign w:val="center"/>
          </w:tcPr>
          <w:p>
            <w:pPr>
              <w:spacing w:line="300" w:lineRule="exact"/>
              <w:jc w:val="center"/>
              <w:rPr>
                <w:rFonts w:ascii="Times New Roman" w:hAnsi="Times New Roman" w:cs="Times New Roman"/>
                <w:szCs w:val="21"/>
              </w:rPr>
            </w:pPr>
            <w:r>
              <w:rPr>
                <w:rFonts w:hint="eastAsia" w:cs="Times New Roman" w:asciiTheme="minorEastAsia" w:hAnsiTheme="minorEastAsia"/>
                <w:szCs w:val="21"/>
              </w:rPr>
              <w:t>─</w:t>
            </w:r>
          </w:p>
        </w:tc>
        <w:tc>
          <w:tcPr>
            <w:tcW w:w="1984" w:type="dxa"/>
            <w:vAlign w:val="center"/>
          </w:tcPr>
          <w:p>
            <w:pPr>
              <w:spacing w:line="300" w:lineRule="exact"/>
              <w:jc w:val="center"/>
              <w:rPr>
                <w:rFonts w:ascii="Times New Roman" w:hAnsi="Times New Roman" w:cs="Times New Roman"/>
                <w:szCs w:val="21"/>
              </w:rPr>
            </w:pPr>
            <w:r>
              <w:rPr>
                <w:rFonts w:hint="eastAsia" w:ascii="Times New Roman" w:hAnsi="Times New Roman" w:cs="Times New Roman"/>
                <w:szCs w:val="21"/>
              </w:rPr>
              <w:t>2</w:t>
            </w:r>
          </w:p>
        </w:tc>
        <w:tc>
          <w:tcPr>
            <w:tcW w:w="2177" w:type="dxa"/>
            <w:vAlign w:val="center"/>
          </w:tcPr>
          <w:p>
            <w:pPr>
              <w:spacing w:line="300" w:lineRule="exact"/>
              <w:jc w:val="center"/>
              <w:rPr>
                <w:rFonts w:ascii="Times New Roman" w:hAnsi="Times New Roman" w:cs="Times New Roman"/>
                <w:szCs w:val="21"/>
              </w:rPr>
            </w:pPr>
            <w:r>
              <w:rPr>
                <w:rFonts w:hint="eastAsia" w:cs="Times New Roman" w:asciiTheme="minorEastAsia" w:hAnsi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17" w:type="dxa"/>
            <w:vAlign w:val="center"/>
          </w:tcPr>
          <w:p>
            <w:pPr>
              <w:spacing w:line="300" w:lineRule="exact"/>
              <w:jc w:val="center"/>
              <w:rPr>
                <w:rFonts w:ascii="Times New Roman" w:hAnsi="Times New Roman" w:cs="Times New Roman"/>
                <w:szCs w:val="21"/>
              </w:rPr>
            </w:pPr>
            <w:r>
              <w:rPr>
                <w:rFonts w:ascii="Times New Roman" w:hAnsi="Times New Roman" w:cs="Times New Roman"/>
                <w:szCs w:val="21"/>
              </w:rPr>
              <w:t>2</w:t>
            </w:r>
          </w:p>
        </w:tc>
        <w:tc>
          <w:tcPr>
            <w:tcW w:w="2410" w:type="dxa"/>
            <w:vAlign w:val="center"/>
          </w:tcPr>
          <w:p>
            <w:pPr>
              <w:spacing w:line="300" w:lineRule="exact"/>
              <w:jc w:val="center"/>
              <w:rPr>
                <w:rFonts w:ascii="Times New Roman" w:hAnsi="Times New Roman" w:cs="Times New Roman"/>
                <w:szCs w:val="21"/>
              </w:rPr>
            </w:pPr>
            <w:r>
              <w:rPr>
                <w:rFonts w:hint="eastAsia" w:ascii="Times New Roman" w:hAnsi="Times New Roman" w:cs="Times New Roman"/>
                <w:szCs w:val="21"/>
              </w:rPr>
              <w:t>彩超</w:t>
            </w:r>
          </w:p>
        </w:tc>
        <w:tc>
          <w:tcPr>
            <w:tcW w:w="1134" w:type="dxa"/>
            <w:vAlign w:val="center"/>
          </w:tcPr>
          <w:p>
            <w:pPr>
              <w:spacing w:line="300" w:lineRule="exact"/>
              <w:jc w:val="center"/>
              <w:rPr>
                <w:rFonts w:ascii="Times New Roman" w:hAnsi="Times New Roman" w:cs="Times New Roman"/>
                <w:szCs w:val="21"/>
              </w:rPr>
            </w:pPr>
            <w:r>
              <w:rPr>
                <w:rFonts w:hint="eastAsia" w:cs="Times New Roman" w:asciiTheme="minorEastAsia" w:hAnsiTheme="minorEastAsia"/>
                <w:szCs w:val="21"/>
              </w:rPr>
              <w:t>─</w:t>
            </w:r>
          </w:p>
        </w:tc>
        <w:tc>
          <w:tcPr>
            <w:tcW w:w="1984" w:type="dxa"/>
            <w:vAlign w:val="center"/>
          </w:tcPr>
          <w:p>
            <w:pPr>
              <w:spacing w:line="300" w:lineRule="exact"/>
              <w:jc w:val="center"/>
              <w:rPr>
                <w:rFonts w:ascii="Times New Roman" w:hAnsi="Times New Roman" w:cs="Times New Roman"/>
                <w:szCs w:val="21"/>
              </w:rPr>
            </w:pPr>
            <w:r>
              <w:rPr>
                <w:rFonts w:hint="eastAsia" w:ascii="Times New Roman" w:hAnsi="Times New Roman" w:cs="Times New Roman"/>
                <w:szCs w:val="21"/>
              </w:rPr>
              <w:t>2</w:t>
            </w:r>
          </w:p>
        </w:tc>
        <w:tc>
          <w:tcPr>
            <w:tcW w:w="2177" w:type="dxa"/>
            <w:vAlign w:val="center"/>
          </w:tcPr>
          <w:p>
            <w:pPr>
              <w:spacing w:line="300" w:lineRule="exact"/>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17" w:type="dxa"/>
            <w:vAlign w:val="center"/>
          </w:tcPr>
          <w:p>
            <w:pPr>
              <w:spacing w:line="300" w:lineRule="exact"/>
              <w:jc w:val="center"/>
              <w:rPr>
                <w:rFonts w:ascii="Times New Roman" w:hAnsi="Times New Roman" w:cs="Times New Roman"/>
                <w:szCs w:val="21"/>
              </w:rPr>
            </w:pPr>
            <w:r>
              <w:rPr>
                <w:rFonts w:ascii="Times New Roman" w:hAnsi="Times New Roman" w:cs="Times New Roman"/>
                <w:szCs w:val="21"/>
              </w:rPr>
              <w:t>3</w:t>
            </w:r>
          </w:p>
        </w:tc>
        <w:tc>
          <w:tcPr>
            <w:tcW w:w="2410" w:type="dxa"/>
            <w:vAlign w:val="center"/>
          </w:tcPr>
          <w:p>
            <w:pPr>
              <w:spacing w:line="300" w:lineRule="exact"/>
              <w:jc w:val="center"/>
              <w:rPr>
                <w:rFonts w:ascii="Times New Roman" w:hAnsi="Times New Roman" w:cs="Times New Roman"/>
                <w:szCs w:val="21"/>
              </w:rPr>
            </w:pPr>
            <w:r>
              <w:rPr>
                <w:rFonts w:hint="eastAsia" w:ascii="Times New Roman" w:hAnsi="Times New Roman" w:cs="Times New Roman"/>
                <w:szCs w:val="21"/>
              </w:rPr>
              <w:t>血凝仪</w:t>
            </w:r>
          </w:p>
        </w:tc>
        <w:tc>
          <w:tcPr>
            <w:tcW w:w="1134" w:type="dxa"/>
            <w:vAlign w:val="center"/>
          </w:tcPr>
          <w:p>
            <w:pPr>
              <w:spacing w:line="300" w:lineRule="exact"/>
              <w:jc w:val="center"/>
              <w:rPr>
                <w:rFonts w:ascii="Times New Roman" w:hAnsi="Times New Roman" w:cs="Times New Roman"/>
                <w:szCs w:val="21"/>
              </w:rPr>
            </w:pPr>
            <w:r>
              <w:rPr>
                <w:rFonts w:hint="eastAsia" w:cs="Times New Roman" w:asciiTheme="minorEastAsia" w:hAnsiTheme="minorEastAsia"/>
                <w:szCs w:val="21"/>
              </w:rPr>
              <w:t>─</w:t>
            </w:r>
          </w:p>
        </w:tc>
        <w:tc>
          <w:tcPr>
            <w:tcW w:w="1984" w:type="dxa"/>
            <w:vAlign w:val="center"/>
          </w:tcPr>
          <w:p>
            <w:pPr>
              <w:spacing w:line="300" w:lineRule="exact"/>
              <w:jc w:val="center"/>
              <w:rPr>
                <w:rFonts w:ascii="Times New Roman" w:hAnsi="Times New Roman" w:cs="Times New Roman"/>
                <w:szCs w:val="21"/>
              </w:rPr>
            </w:pPr>
            <w:r>
              <w:rPr>
                <w:rFonts w:hint="eastAsia" w:ascii="Times New Roman" w:hAnsi="Times New Roman" w:cs="Times New Roman"/>
                <w:szCs w:val="21"/>
              </w:rPr>
              <w:t>2</w:t>
            </w:r>
          </w:p>
        </w:tc>
        <w:tc>
          <w:tcPr>
            <w:tcW w:w="2177" w:type="dxa"/>
            <w:vAlign w:val="center"/>
          </w:tcPr>
          <w:p>
            <w:pPr>
              <w:spacing w:line="300" w:lineRule="exact"/>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17" w:type="dxa"/>
            <w:vAlign w:val="center"/>
          </w:tcPr>
          <w:p>
            <w:pPr>
              <w:spacing w:line="300" w:lineRule="exact"/>
              <w:jc w:val="center"/>
              <w:rPr>
                <w:rFonts w:ascii="Times New Roman" w:hAnsi="Times New Roman" w:cs="Times New Roman"/>
                <w:szCs w:val="21"/>
              </w:rPr>
            </w:pPr>
            <w:r>
              <w:rPr>
                <w:rFonts w:ascii="Times New Roman" w:hAnsi="Times New Roman" w:cs="Times New Roman"/>
                <w:szCs w:val="21"/>
              </w:rPr>
              <w:t>4</w:t>
            </w:r>
          </w:p>
        </w:tc>
        <w:tc>
          <w:tcPr>
            <w:tcW w:w="2410" w:type="dxa"/>
            <w:vAlign w:val="center"/>
          </w:tcPr>
          <w:p>
            <w:pPr>
              <w:spacing w:line="300" w:lineRule="exact"/>
              <w:jc w:val="center"/>
              <w:rPr>
                <w:rFonts w:ascii="Times New Roman" w:hAnsi="Times New Roman" w:cs="Times New Roman"/>
                <w:szCs w:val="21"/>
              </w:rPr>
            </w:pPr>
            <w:r>
              <w:rPr>
                <w:rFonts w:hint="eastAsia" w:ascii="Times New Roman" w:hAnsi="Times New Roman" w:cs="Times New Roman"/>
                <w:szCs w:val="21"/>
              </w:rPr>
              <w:t>血细胞分析仪</w:t>
            </w:r>
          </w:p>
        </w:tc>
        <w:tc>
          <w:tcPr>
            <w:tcW w:w="1134" w:type="dxa"/>
            <w:vAlign w:val="center"/>
          </w:tcPr>
          <w:p>
            <w:pPr>
              <w:spacing w:line="300" w:lineRule="exact"/>
              <w:jc w:val="center"/>
              <w:rPr>
                <w:rFonts w:ascii="Times New Roman" w:hAnsi="Times New Roman" w:cs="Times New Roman"/>
                <w:szCs w:val="21"/>
              </w:rPr>
            </w:pPr>
            <w:r>
              <w:rPr>
                <w:rFonts w:hint="eastAsia" w:cs="Times New Roman" w:asciiTheme="minorEastAsia" w:hAnsiTheme="minorEastAsia"/>
                <w:szCs w:val="21"/>
              </w:rPr>
              <w:t>─</w:t>
            </w:r>
          </w:p>
        </w:tc>
        <w:tc>
          <w:tcPr>
            <w:tcW w:w="1984" w:type="dxa"/>
            <w:vAlign w:val="center"/>
          </w:tcPr>
          <w:p>
            <w:pPr>
              <w:spacing w:line="300" w:lineRule="exact"/>
              <w:jc w:val="center"/>
              <w:rPr>
                <w:rFonts w:ascii="Times New Roman" w:hAnsi="Times New Roman" w:cs="Times New Roman"/>
                <w:szCs w:val="21"/>
              </w:rPr>
            </w:pPr>
            <w:r>
              <w:rPr>
                <w:rFonts w:hint="eastAsia" w:ascii="Times New Roman" w:hAnsi="Times New Roman" w:cs="Times New Roman"/>
                <w:szCs w:val="21"/>
              </w:rPr>
              <w:t>2</w:t>
            </w:r>
          </w:p>
        </w:tc>
        <w:tc>
          <w:tcPr>
            <w:tcW w:w="2177" w:type="dxa"/>
            <w:vAlign w:val="center"/>
          </w:tcPr>
          <w:p>
            <w:pPr>
              <w:spacing w:line="300" w:lineRule="exact"/>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17" w:type="dxa"/>
            <w:vAlign w:val="center"/>
          </w:tcPr>
          <w:p>
            <w:pPr>
              <w:spacing w:line="300" w:lineRule="exact"/>
              <w:jc w:val="center"/>
              <w:rPr>
                <w:rFonts w:ascii="Times New Roman" w:hAnsi="Times New Roman" w:cs="Times New Roman"/>
                <w:szCs w:val="21"/>
              </w:rPr>
            </w:pPr>
            <w:r>
              <w:rPr>
                <w:rFonts w:ascii="Times New Roman" w:hAnsi="Times New Roman" w:cs="Times New Roman"/>
                <w:szCs w:val="21"/>
              </w:rPr>
              <w:t>5</w:t>
            </w:r>
          </w:p>
        </w:tc>
        <w:tc>
          <w:tcPr>
            <w:tcW w:w="2410" w:type="dxa"/>
            <w:vAlign w:val="center"/>
          </w:tcPr>
          <w:p>
            <w:pPr>
              <w:spacing w:line="300" w:lineRule="exact"/>
              <w:jc w:val="center"/>
              <w:rPr>
                <w:rFonts w:ascii="Times New Roman" w:hAnsi="Times New Roman" w:cs="Times New Roman"/>
                <w:szCs w:val="21"/>
              </w:rPr>
            </w:pPr>
            <w:r>
              <w:rPr>
                <w:rFonts w:hint="eastAsia" w:ascii="Times New Roman" w:hAnsi="Times New Roman" w:cs="Times New Roman"/>
                <w:szCs w:val="21"/>
              </w:rPr>
              <w:t>经颅多普勒</w:t>
            </w:r>
          </w:p>
        </w:tc>
        <w:tc>
          <w:tcPr>
            <w:tcW w:w="1134" w:type="dxa"/>
            <w:vAlign w:val="center"/>
          </w:tcPr>
          <w:p>
            <w:pPr>
              <w:spacing w:line="300" w:lineRule="exact"/>
              <w:jc w:val="center"/>
              <w:rPr>
                <w:rFonts w:ascii="Times New Roman" w:hAnsi="Times New Roman" w:cs="Times New Roman"/>
                <w:szCs w:val="21"/>
              </w:rPr>
            </w:pPr>
            <w:r>
              <w:rPr>
                <w:rFonts w:hint="eastAsia" w:cs="Times New Roman" w:asciiTheme="minorEastAsia" w:hAnsiTheme="minorEastAsia"/>
                <w:szCs w:val="21"/>
              </w:rPr>
              <w:t>─</w:t>
            </w:r>
          </w:p>
        </w:tc>
        <w:tc>
          <w:tcPr>
            <w:tcW w:w="1984" w:type="dxa"/>
            <w:vAlign w:val="center"/>
          </w:tcPr>
          <w:p>
            <w:pPr>
              <w:spacing w:line="300" w:lineRule="exact"/>
              <w:jc w:val="center"/>
              <w:rPr>
                <w:rFonts w:ascii="Times New Roman" w:hAnsi="Times New Roman" w:cs="Times New Roman"/>
                <w:szCs w:val="21"/>
              </w:rPr>
            </w:pPr>
            <w:r>
              <w:rPr>
                <w:rFonts w:hint="eastAsia" w:ascii="Times New Roman" w:hAnsi="Times New Roman" w:cs="Times New Roman"/>
                <w:szCs w:val="21"/>
              </w:rPr>
              <w:t>2</w:t>
            </w:r>
          </w:p>
        </w:tc>
        <w:tc>
          <w:tcPr>
            <w:tcW w:w="2177" w:type="dxa"/>
            <w:vAlign w:val="center"/>
          </w:tcPr>
          <w:p>
            <w:pPr>
              <w:spacing w:line="300" w:lineRule="exact"/>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17" w:type="dxa"/>
            <w:vAlign w:val="center"/>
          </w:tcPr>
          <w:p>
            <w:pPr>
              <w:spacing w:line="300" w:lineRule="exact"/>
              <w:jc w:val="center"/>
              <w:rPr>
                <w:rFonts w:ascii="Times New Roman" w:hAnsi="Times New Roman" w:cs="Times New Roman"/>
                <w:szCs w:val="21"/>
              </w:rPr>
            </w:pPr>
            <w:r>
              <w:rPr>
                <w:rFonts w:ascii="Times New Roman" w:hAnsi="Times New Roman" w:cs="Times New Roman"/>
                <w:szCs w:val="21"/>
              </w:rPr>
              <w:t>6</w:t>
            </w:r>
          </w:p>
        </w:tc>
        <w:tc>
          <w:tcPr>
            <w:tcW w:w="2410" w:type="dxa"/>
            <w:vAlign w:val="center"/>
          </w:tcPr>
          <w:p>
            <w:pPr>
              <w:spacing w:line="300" w:lineRule="exact"/>
              <w:jc w:val="center"/>
              <w:rPr>
                <w:rFonts w:ascii="Times New Roman" w:hAnsi="Times New Roman" w:cs="Times New Roman"/>
                <w:szCs w:val="21"/>
              </w:rPr>
            </w:pPr>
            <w:r>
              <w:rPr>
                <w:rFonts w:hint="eastAsia" w:ascii="Times New Roman" w:hAnsi="Times New Roman" w:cs="Times New Roman"/>
                <w:szCs w:val="21"/>
              </w:rPr>
              <w:t>呼吸机</w:t>
            </w:r>
          </w:p>
        </w:tc>
        <w:tc>
          <w:tcPr>
            <w:tcW w:w="1134" w:type="dxa"/>
            <w:vAlign w:val="center"/>
          </w:tcPr>
          <w:p>
            <w:pPr>
              <w:spacing w:line="300" w:lineRule="exact"/>
              <w:jc w:val="center"/>
              <w:rPr>
                <w:rFonts w:ascii="Times New Roman" w:hAnsi="Times New Roman" w:cs="Times New Roman"/>
                <w:szCs w:val="21"/>
              </w:rPr>
            </w:pPr>
            <w:r>
              <w:rPr>
                <w:rFonts w:hint="eastAsia" w:cs="Times New Roman" w:asciiTheme="minorEastAsia" w:hAnsiTheme="minorEastAsia"/>
                <w:szCs w:val="21"/>
              </w:rPr>
              <w:t>─</w:t>
            </w:r>
          </w:p>
        </w:tc>
        <w:tc>
          <w:tcPr>
            <w:tcW w:w="1984" w:type="dxa"/>
            <w:vAlign w:val="center"/>
          </w:tcPr>
          <w:p>
            <w:pPr>
              <w:spacing w:line="300" w:lineRule="exact"/>
              <w:jc w:val="center"/>
              <w:rPr>
                <w:rFonts w:ascii="Times New Roman" w:hAnsi="Times New Roman" w:cs="Times New Roman"/>
                <w:szCs w:val="21"/>
              </w:rPr>
            </w:pPr>
            <w:r>
              <w:rPr>
                <w:rFonts w:hint="eastAsia" w:ascii="Times New Roman" w:hAnsi="Times New Roman" w:cs="Times New Roman"/>
                <w:szCs w:val="21"/>
              </w:rPr>
              <w:t>4</w:t>
            </w:r>
          </w:p>
        </w:tc>
        <w:tc>
          <w:tcPr>
            <w:tcW w:w="2177" w:type="dxa"/>
            <w:vAlign w:val="center"/>
          </w:tcPr>
          <w:p>
            <w:pPr>
              <w:spacing w:line="300" w:lineRule="exact"/>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17" w:type="dxa"/>
            <w:vAlign w:val="center"/>
          </w:tcPr>
          <w:p>
            <w:pPr>
              <w:spacing w:line="300" w:lineRule="exact"/>
              <w:jc w:val="center"/>
              <w:rPr>
                <w:rFonts w:ascii="Times New Roman" w:hAnsi="Times New Roman" w:cs="Times New Roman"/>
                <w:szCs w:val="21"/>
              </w:rPr>
            </w:pPr>
            <w:r>
              <w:rPr>
                <w:rFonts w:ascii="Times New Roman" w:hAnsi="Times New Roman" w:cs="Times New Roman"/>
                <w:szCs w:val="21"/>
              </w:rPr>
              <w:t>7</w:t>
            </w:r>
          </w:p>
        </w:tc>
        <w:tc>
          <w:tcPr>
            <w:tcW w:w="2410" w:type="dxa"/>
            <w:vAlign w:val="center"/>
          </w:tcPr>
          <w:p>
            <w:pPr>
              <w:spacing w:line="300" w:lineRule="exact"/>
              <w:jc w:val="center"/>
              <w:rPr>
                <w:rFonts w:ascii="Times New Roman" w:hAnsi="Times New Roman" w:cs="Times New Roman"/>
                <w:szCs w:val="21"/>
              </w:rPr>
            </w:pPr>
            <w:r>
              <w:rPr>
                <w:rFonts w:hint="eastAsia" w:ascii="Times New Roman" w:hAnsi="Times New Roman" w:cs="Times New Roman"/>
                <w:szCs w:val="21"/>
              </w:rPr>
              <w:t>多功能手术床</w:t>
            </w:r>
          </w:p>
        </w:tc>
        <w:tc>
          <w:tcPr>
            <w:tcW w:w="1134" w:type="dxa"/>
            <w:vAlign w:val="center"/>
          </w:tcPr>
          <w:p>
            <w:pPr>
              <w:spacing w:line="300" w:lineRule="exact"/>
              <w:jc w:val="center"/>
              <w:rPr>
                <w:rFonts w:ascii="Times New Roman" w:hAnsi="Times New Roman" w:cs="Times New Roman"/>
                <w:szCs w:val="21"/>
              </w:rPr>
            </w:pPr>
            <w:r>
              <w:rPr>
                <w:rFonts w:hint="eastAsia" w:cs="Times New Roman" w:asciiTheme="minorEastAsia" w:hAnsiTheme="minorEastAsia"/>
                <w:szCs w:val="21"/>
              </w:rPr>
              <w:t>─</w:t>
            </w:r>
          </w:p>
        </w:tc>
        <w:tc>
          <w:tcPr>
            <w:tcW w:w="1984" w:type="dxa"/>
            <w:vAlign w:val="center"/>
          </w:tcPr>
          <w:p>
            <w:pPr>
              <w:spacing w:line="300" w:lineRule="exact"/>
              <w:jc w:val="center"/>
              <w:rPr>
                <w:rFonts w:ascii="Times New Roman" w:hAnsi="Times New Roman" w:cs="Times New Roman"/>
                <w:szCs w:val="21"/>
              </w:rPr>
            </w:pPr>
            <w:r>
              <w:rPr>
                <w:rFonts w:hint="eastAsia" w:ascii="Times New Roman" w:hAnsi="Times New Roman" w:cs="Times New Roman"/>
                <w:szCs w:val="21"/>
              </w:rPr>
              <w:t>6</w:t>
            </w:r>
          </w:p>
        </w:tc>
        <w:tc>
          <w:tcPr>
            <w:tcW w:w="2177" w:type="dxa"/>
            <w:vAlign w:val="center"/>
          </w:tcPr>
          <w:p>
            <w:pPr>
              <w:spacing w:line="300" w:lineRule="exact"/>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17" w:type="dxa"/>
            <w:vAlign w:val="center"/>
          </w:tcPr>
          <w:p>
            <w:pPr>
              <w:spacing w:line="300" w:lineRule="exact"/>
              <w:jc w:val="center"/>
              <w:rPr>
                <w:rFonts w:ascii="Times New Roman" w:hAnsi="Times New Roman" w:cs="Times New Roman"/>
                <w:szCs w:val="21"/>
              </w:rPr>
            </w:pPr>
            <w:r>
              <w:rPr>
                <w:rFonts w:ascii="Times New Roman" w:hAnsi="Times New Roman" w:cs="Times New Roman"/>
                <w:szCs w:val="21"/>
              </w:rPr>
              <w:t>8</w:t>
            </w:r>
          </w:p>
        </w:tc>
        <w:tc>
          <w:tcPr>
            <w:tcW w:w="2410" w:type="dxa"/>
            <w:vAlign w:val="center"/>
          </w:tcPr>
          <w:p>
            <w:pPr>
              <w:spacing w:line="300" w:lineRule="exact"/>
              <w:jc w:val="center"/>
              <w:rPr>
                <w:rFonts w:ascii="Times New Roman" w:hAnsi="Times New Roman" w:cs="Times New Roman"/>
                <w:szCs w:val="21"/>
              </w:rPr>
            </w:pPr>
            <w:r>
              <w:rPr>
                <w:rFonts w:hint="eastAsia" w:ascii="Times New Roman" w:hAnsi="Times New Roman" w:cs="Times New Roman"/>
                <w:szCs w:val="21"/>
              </w:rPr>
              <w:t>病床</w:t>
            </w:r>
          </w:p>
        </w:tc>
        <w:tc>
          <w:tcPr>
            <w:tcW w:w="1134" w:type="dxa"/>
            <w:vAlign w:val="center"/>
          </w:tcPr>
          <w:p>
            <w:pPr>
              <w:spacing w:line="300" w:lineRule="exact"/>
              <w:jc w:val="center"/>
              <w:rPr>
                <w:rFonts w:ascii="Times New Roman" w:hAnsi="Times New Roman" w:cs="Times New Roman"/>
                <w:szCs w:val="21"/>
              </w:rPr>
            </w:pPr>
            <w:r>
              <w:rPr>
                <w:rFonts w:hint="eastAsia" w:cs="Times New Roman" w:asciiTheme="minorEastAsia" w:hAnsiTheme="minorEastAsia"/>
                <w:szCs w:val="21"/>
              </w:rPr>
              <w:t>─</w:t>
            </w:r>
          </w:p>
        </w:tc>
        <w:tc>
          <w:tcPr>
            <w:tcW w:w="1984" w:type="dxa"/>
            <w:vAlign w:val="center"/>
          </w:tcPr>
          <w:p>
            <w:pPr>
              <w:spacing w:line="300" w:lineRule="exact"/>
              <w:jc w:val="center"/>
              <w:rPr>
                <w:rFonts w:ascii="Times New Roman" w:hAnsi="Times New Roman" w:cs="Times New Roman"/>
                <w:szCs w:val="21"/>
              </w:rPr>
            </w:pPr>
            <w:r>
              <w:rPr>
                <w:rFonts w:hint="eastAsia" w:ascii="Times New Roman" w:hAnsi="Times New Roman" w:cs="Times New Roman"/>
                <w:szCs w:val="21"/>
              </w:rPr>
              <w:t>600</w:t>
            </w:r>
          </w:p>
        </w:tc>
        <w:tc>
          <w:tcPr>
            <w:tcW w:w="2177" w:type="dxa"/>
            <w:vAlign w:val="center"/>
          </w:tcPr>
          <w:p>
            <w:pPr>
              <w:spacing w:line="300" w:lineRule="exact"/>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17" w:type="dxa"/>
            <w:vAlign w:val="center"/>
          </w:tcPr>
          <w:p>
            <w:pPr>
              <w:spacing w:line="300" w:lineRule="exact"/>
              <w:jc w:val="center"/>
              <w:rPr>
                <w:rFonts w:ascii="Times New Roman" w:hAnsi="Times New Roman" w:cs="Times New Roman"/>
                <w:szCs w:val="21"/>
              </w:rPr>
            </w:pPr>
            <w:r>
              <w:rPr>
                <w:rFonts w:ascii="Times New Roman" w:hAnsi="Times New Roman" w:cs="Times New Roman"/>
                <w:szCs w:val="21"/>
              </w:rPr>
              <w:t>9</w:t>
            </w:r>
          </w:p>
        </w:tc>
        <w:tc>
          <w:tcPr>
            <w:tcW w:w="2410" w:type="dxa"/>
            <w:vAlign w:val="center"/>
          </w:tcPr>
          <w:p>
            <w:pPr>
              <w:spacing w:line="300" w:lineRule="exact"/>
              <w:jc w:val="center"/>
              <w:rPr>
                <w:rFonts w:ascii="Times New Roman" w:hAnsi="Times New Roman" w:cs="Times New Roman"/>
                <w:szCs w:val="21"/>
              </w:rPr>
            </w:pPr>
            <w:r>
              <w:rPr>
                <w:rFonts w:hint="eastAsia" w:ascii="Times New Roman" w:hAnsi="Times New Roman" w:cs="Times New Roman"/>
                <w:szCs w:val="21"/>
              </w:rPr>
              <w:t>供氧、负压及呼叫系统</w:t>
            </w:r>
          </w:p>
        </w:tc>
        <w:tc>
          <w:tcPr>
            <w:tcW w:w="1134" w:type="dxa"/>
            <w:vAlign w:val="center"/>
          </w:tcPr>
          <w:p>
            <w:pPr>
              <w:spacing w:line="300" w:lineRule="exact"/>
              <w:jc w:val="center"/>
              <w:rPr>
                <w:rFonts w:ascii="Times New Roman" w:hAnsi="Times New Roman" w:cs="Times New Roman"/>
                <w:szCs w:val="21"/>
              </w:rPr>
            </w:pPr>
            <w:r>
              <w:rPr>
                <w:rFonts w:hint="eastAsia" w:cs="Times New Roman" w:asciiTheme="minorEastAsia" w:hAnsiTheme="minorEastAsia"/>
                <w:szCs w:val="21"/>
              </w:rPr>
              <w:t>─</w:t>
            </w:r>
          </w:p>
        </w:tc>
        <w:tc>
          <w:tcPr>
            <w:tcW w:w="1984" w:type="dxa"/>
            <w:vAlign w:val="center"/>
          </w:tcPr>
          <w:p>
            <w:pPr>
              <w:spacing w:line="300" w:lineRule="exact"/>
              <w:jc w:val="center"/>
              <w:rPr>
                <w:rFonts w:ascii="Times New Roman" w:hAnsi="Times New Roman" w:cs="Times New Roman"/>
                <w:szCs w:val="21"/>
              </w:rPr>
            </w:pPr>
            <w:r>
              <w:rPr>
                <w:rFonts w:hint="eastAsia" w:ascii="Times New Roman" w:hAnsi="Times New Roman" w:cs="Times New Roman"/>
                <w:szCs w:val="21"/>
              </w:rPr>
              <w:t>1</w:t>
            </w:r>
          </w:p>
        </w:tc>
        <w:tc>
          <w:tcPr>
            <w:tcW w:w="2177" w:type="dxa"/>
            <w:vAlign w:val="center"/>
          </w:tcPr>
          <w:p>
            <w:pPr>
              <w:spacing w:line="300" w:lineRule="exact"/>
              <w:jc w:val="center"/>
              <w:rPr>
                <w:rFonts w:ascii="Times New Roman" w:hAnsi="Times New Roman" w:cs="Times New Roman"/>
                <w:szCs w:val="21"/>
              </w:rPr>
            </w:pPr>
            <w:r>
              <w:rPr>
                <w:rFonts w:hint="eastAsia" w:ascii="Times New Roman" w:hAnsi="Times New Roman" w:cs="Times New Roman"/>
                <w:szCs w:val="21"/>
              </w:rPr>
              <w:t>─</w:t>
            </w:r>
          </w:p>
        </w:tc>
      </w:tr>
    </w:tbl>
    <w:p>
      <w:pPr>
        <w:spacing w:line="360" w:lineRule="auto"/>
        <w:rPr>
          <w:rFonts w:ascii="Times New Roman" w:cs="Times New Roman"/>
          <w:b/>
          <w:szCs w:val="21"/>
        </w:rPr>
      </w:pPr>
      <w:r>
        <w:rPr>
          <w:rFonts w:hint="eastAsia" w:ascii="Times New Roman" w:cs="Times New Roman"/>
          <w:b/>
          <w:szCs w:val="21"/>
        </w:rPr>
        <w:t>注：以上未列出辐射类设备，辐射类设备需另行办理环评手续。</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3.1.4原辅材料及能源消耗</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项目原辅材料及能源消耗见表3-4。</w:t>
      </w:r>
    </w:p>
    <w:p>
      <w:pPr>
        <w:spacing w:line="360" w:lineRule="auto"/>
        <w:ind w:firstLine="480" w:firstLineChars="200"/>
        <w:jc w:val="center"/>
        <w:rPr>
          <w:rFonts w:ascii="Times New Roman" w:cs="Times New Roman"/>
          <w:b/>
          <w:sz w:val="24"/>
        </w:rPr>
      </w:pPr>
      <w:r>
        <w:rPr>
          <w:rFonts w:ascii="Times New Roman" w:cs="Times New Roman"/>
          <w:b/>
          <w:sz w:val="24"/>
        </w:rPr>
        <w:t>表</w:t>
      </w:r>
      <w:r>
        <w:rPr>
          <w:rFonts w:ascii="Times New Roman" w:hAnsi="Times New Roman" w:cs="Times New Roman"/>
          <w:b/>
          <w:sz w:val="24"/>
        </w:rPr>
        <w:t>3-</w:t>
      </w:r>
      <w:r>
        <w:rPr>
          <w:rFonts w:hint="eastAsia" w:ascii="Times New Roman" w:hAnsi="Times New Roman" w:cs="Times New Roman"/>
          <w:b/>
          <w:sz w:val="24"/>
        </w:rPr>
        <w:t>4</w:t>
      </w:r>
      <w:r>
        <w:rPr>
          <w:rFonts w:ascii="Times New Roman" w:hAnsi="Times New Roman" w:cs="Times New Roman"/>
          <w:b/>
          <w:sz w:val="24"/>
        </w:rPr>
        <w:t xml:space="preserve"> </w:t>
      </w:r>
      <w:r>
        <w:rPr>
          <w:rFonts w:ascii="Times New Roman" w:cs="Times New Roman"/>
          <w:b/>
          <w:sz w:val="24"/>
        </w:rPr>
        <w:t>项目原辅材料及能源消耗一览表</w:t>
      </w:r>
    </w:p>
    <w:tbl>
      <w:tblPr>
        <w:tblStyle w:val="27"/>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944"/>
        <w:gridCol w:w="1417"/>
        <w:gridCol w:w="1417"/>
        <w:gridCol w:w="1417"/>
        <w:gridCol w:w="2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52" w:type="dxa"/>
            <w:shd w:val="clear" w:color="auto" w:fill="auto"/>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分类</w:t>
            </w:r>
          </w:p>
        </w:tc>
        <w:tc>
          <w:tcPr>
            <w:tcW w:w="2361" w:type="dxa"/>
            <w:gridSpan w:val="2"/>
            <w:shd w:val="clear" w:color="auto" w:fill="auto"/>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名称</w:t>
            </w:r>
          </w:p>
        </w:tc>
        <w:tc>
          <w:tcPr>
            <w:tcW w:w="1417" w:type="dxa"/>
            <w:shd w:val="clear" w:color="auto" w:fill="auto"/>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单位</w:t>
            </w:r>
          </w:p>
        </w:tc>
        <w:tc>
          <w:tcPr>
            <w:tcW w:w="1417" w:type="dxa"/>
            <w:shd w:val="clear" w:color="auto" w:fill="auto"/>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年用量</w:t>
            </w:r>
          </w:p>
        </w:tc>
        <w:tc>
          <w:tcPr>
            <w:tcW w:w="2181" w:type="dxa"/>
            <w:shd w:val="clear" w:color="auto" w:fill="auto"/>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52" w:type="dxa"/>
            <w:vMerge w:val="restart"/>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原辅材料</w:t>
            </w:r>
          </w:p>
        </w:tc>
        <w:tc>
          <w:tcPr>
            <w:tcW w:w="2361" w:type="dxa"/>
            <w:gridSpan w:val="2"/>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纱布</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块/a</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46960</w:t>
            </w:r>
          </w:p>
        </w:tc>
        <w:tc>
          <w:tcPr>
            <w:tcW w:w="2181" w:type="dxa"/>
            <w:shd w:val="clear" w:color="auto" w:fill="auto"/>
            <w:vAlign w:val="center"/>
          </w:tcPr>
          <w:p>
            <w:pPr>
              <w:jc w:val="center"/>
              <w:rPr>
                <w:rFonts w:ascii="Times New Roman" w:hAnsi="Times New Roman" w:eastAsia="宋体" w:cs="Times New Roman"/>
                <w:szCs w:val="21"/>
              </w:rPr>
            </w:pPr>
            <w:r>
              <w:rPr>
                <w:rFonts w:hint="eastAsia" w:ascii="宋体" w:hAnsi="宋体"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52" w:type="dxa"/>
            <w:vMerge w:val="continue"/>
            <w:shd w:val="clear" w:color="auto" w:fill="auto"/>
            <w:vAlign w:val="center"/>
          </w:tcPr>
          <w:p>
            <w:pPr>
              <w:jc w:val="center"/>
              <w:rPr>
                <w:rFonts w:ascii="Times New Roman" w:hAnsi="Times New Roman" w:eastAsia="宋体" w:cs="Times New Roman"/>
                <w:szCs w:val="21"/>
              </w:rPr>
            </w:pPr>
          </w:p>
        </w:tc>
        <w:tc>
          <w:tcPr>
            <w:tcW w:w="2361" w:type="dxa"/>
            <w:gridSpan w:val="2"/>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脱脂棉</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包/a</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56</w:t>
            </w:r>
          </w:p>
        </w:tc>
        <w:tc>
          <w:tcPr>
            <w:tcW w:w="2181" w:type="dxa"/>
            <w:shd w:val="clear" w:color="auto" w:fill="auto"/>
            <w:vAlign w:val="center"/>
          </w:tcPr>
          <w:p>
            <w:pPr>
              <w:jc w:val="center"/>
              <w:rPr>
                <w:rFonts w:ascii="Times New Roman" w:hAnsi="Times New Roman" w:eastAsia="宋体" w:cs="Times New Roman"/>
                <w:szCs w:val="21"/>
              </w:rPr>
            </w:pPr>
            <w:r>
              <w:rPr>
                <w:rFonts w:hint="eastAsia" w:ascii="宋体" w:hAnsi="宋体"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52" w:type="dxa"/>
            <w:vMerge w:val="continue"/>
            <w:shd w:val="clear" w:color="auto" w:fill="auto"/>
            <w:vAlign w:val="center"/>
          </w:tcPr>
          <w:p>
            <w:pPr>
              <w:jc w:val="center"/>
              <w:rPr>
                <w:rFonts w:ascii="Times New Roman" w:hAnsi="Times New Roman" w:eastAsia="宋体" w:cs="Times New Roman"/>
                <w:szCs w:val="21"/>
              </w:rPr>
            </w:pPr>
          </w:p>
        </w:tc>
        <w:tc>
          <w:tcPr>
            <w:tcW w:w="2361" w:type="dxa"/>
            <w:gridSpan w:val="2"/>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输液器</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个/a</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94877</w:t>
            </w:r>
          </w:p>
        </w:tc>
        <w:tc>
          <w:tcPr>
            <w:tcW w:w="2181" w:type="dxa"/>
            <w:shd w:val="clear" w:color="auto" w:fill="auto"/>
            <w:vAlign w:val="center"/>
          </w:tcPr>
          <w:p>
            <w:pPr>
              <w:jc w:val="center"/>
              <w:rPr>
                <w:rFonts w:ascii="Times New Roman" w:hAnsi="Times New Roman" w:eastAsia="宋体" w:cs="Times New Roman"/>
                <w:szCs w:val="21"/>
              </w:rPr>
            </w:pPr>
            <w:r>
              <w:rPr>
                <w:rFonts w:hint="eastAsia" w:ascii="宋体" w:hAnsi="宋体"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52" w:type="dxa"/>
            <w:vMerge w:val="continue"/>
            <w:shd w:val="clear" w:color="auto" w:fill="auto"/>
            <w:vAlign w:val="center"/>
          </w:tcPr>
          <w:p>
            <w:pPr>
              <w:jc w:val="center"/>
              <w:rPr>
                <w:rFonts w:ascii="Times New Roman" w:hAnsi="Times New Roman" w:eastAsia="宋体" w:cs="Times New Roman"/>
                <w:szCs w:val="21"/>
              </w:rPr>
            </w:pPr>
          </w:p>
        </w:tc>
        <w:tc>
          <w:tcPr>
            <w:tcW w:w="2361" w:type="dxa"/>
            <w:gridSpan w:val="2"/>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注射器</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个/a</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221528</w:t>
            </w:r>
          </w:p>
        </w:tc>
        <w:tc>
          <w:tcPr>
            <w:tcW w:w="2181" w:type="dxa"/>
            <w:shd w:val="clear" w:color="auto" w:fill="auto"/>
            <w:vAlign w:val="center"/>
          </w:tcPr>
          <w:p>
            <w:pPr>
              <w:jc w:val="center"/>
              <w:rPr>
                <w:rFonts w:ascii="Times New Roman" w:hAnsi="Times New Roman" w:eastAsia="宋体" w:cs="Times New Roman"/>
                <w:szCs w:val="21"/>
              </w:rPr>
            </w:pPr>
            <w:r>
              <w:rPr>
                <w:rFonts w:hint="eastAsia" w:ascii="宋体" w:hAnsi="宋体"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52" w:type="dxa"/>
            <w:vMerge w:val="continue"/>
            <w:shd w:val="clear" w:color="auto" w:fill="auto"/>
            <w:vAlign w:val="center"/>
          </w:tcPr>
          <w:p>
            <w:pPr>
              <w:jc w:val="center"/>
              <w:rPr>
                <w:rFonts w:ascii="Times New Roman" w:hAnsi="Times New Roman" w:eastAsia="宋体" w:cs="Times New Roman"/>
                <w:szCs w:val="21"/>
              </w:rPr>
            </w:pPr>
          </w:p>
        </w:tc>
        <w:tc>
          <w:tcPr>
            <w:tcW w:w="2361" w:type="dxa"/>
            <w:gridSpan w:val="2"/>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液氧</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L/a</w:t>
            </w:r>
          </w:p>
        </w:tc>
        <w:tc>
          <w:tcPr>
            <w:tcW w:w="1417" w:type="dxa"/>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349600</w:t>
            </w:r>
          </w:p>
        </w:tc>
        <w:tc>
          <w:tcPr>
            <w:tcW w:w="2181" w:type="dxa"/>
            <w:shd w:val="clear" w:color="auto" w:fill="auto"/>
            <w:vAlign w:val="center"/>
          </w:tcPr>
          <w:p>
            <w:pPr>
              <w:jc w:val="center"/>
              <w:rPr>
                <w:rFonts w:ascii="Times New Roman" w:hAnsi="Times New Roman" w:eastAsia="宋体" w:cs="Times New Roman"/>
                <w:szCs w:val="21"/>
              </w:rPr>
            </w:pPr>
            <w:r>
              <w:rPr>
                <w:rFonts w:hint="eastAsia" w:ascii="宋体" w:hAnsi="宋体"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52" w:type="dxa"/>
            <w:vMerge w:val="continue"/>
            <w:shd w:val="clear" w:color="auto" w:fill="auto"/>
            <w:vAlign w:val="center"/>
          </w:tcPr>
          <w:p>
            <w:pPr>
              <w:jc w:val="center"/>
              <w:rPr>
                <w:rFonts w:ascii="Times New Roman" w:hAnsi="Times New Roman" w:eastAsia="宋体" w:cs="Times New Roman"/>
                <w:szCs w:val="21"/>
              </w:rPr>
            </w:pPr>
          </w:p>
        </w:tc>
        <w:tc>
          <w:tcPr>
            <w:tcW w:w="944" w:type="dxa"/>
            <w:vMerge w:val="restart"/>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化验测试试剂</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免疫类</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盒/a</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1800</w:t>
            </w:r>
          </w:p>
        </w:tc>
        <w:tc>
          <w:tcPr>
            <w:tcW w:w="2181" w:type="dxa"/>
            <w:vMerge w:val="restart"/>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此类药剂不含重金属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52" w:type="dxa"/>
            <w:vMerge w:val="continue"/>
            <w:shd w:val="clear" w:color="auto" w:fill="auto"/>
            <w:vAlign w:val="center"/>
          </w:tcPr>
          <w:p>
            <w:pPr>
              <w:jc w:val="center"/>
              <w:rPr>
                <w:rFonts w:ascii="Times New Roman" w:hAnsi="Times New Roman" w:eastAsia="宋体" w:cs="Times New Roman"/>
                <w:szCs w:val="21"/>
              </w:rPr>
            </w:pPr>
          </w:p>
        </w:tc>
        <w:tc>
          <w:tcPr>
            <w:tcW w:w="944" w:type="dxa"/>
            <w:vMerge w:val="continue"/>
            <w:shd w:val="clear" w:color="auto" w:fill="auto"/>
            <w:vAlign w:val="center"/>
          </w:tcPr>
          <w:p>
            <w:pPr>
              <w:jc w:val="center"/>
              <w:rPr>
                <w:rFonts w:ascii="Times New Roman" w:hAnsi="Times New Roman" w:eastAsia="宋体" w:cs="Times New Roman"/>
                <w:szCs w:val="21"/>
              </w:rPr>
            </w:pP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细菌类</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盒/a</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1750</w:t>
            </w:r>
          </w:p>
        </w:tc>
        <w:tc>
          <w:tcPr>
            <w:tcW w:w="2181" w:type="dxa"/>
            <w:vMerge w:val="continue"/>
            <w:shd w:val="clear" w:color="auto" w:fill="auto"/>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52" w:type="dxa"/>
            <w:vMerge w:val="continue"/>
            <w:shd w:val="clear" w:color="auto" w:fill="auto"/>
            <w:vAlign w:val="center"/>
          </w:tcPr>
          <w:p>
            <w:pPr>
              <w:jc w:val="center"/>
              <w:rPr>
                <w:rFonts w:ascii="Times New Roman" w:hAnsi="Times New Roman" w:eastAsia="宋体" w:cs="Times New Roman"/>
                <w:szCs w:val="21"/>
              </w:rPr>
            </w:pPr>
          </w:p>
        </w:tc>
        <w:tc>
          <w:tcPr>
            <w:tcW w:w="944" w:type="dxa"/>
            <w:vMerge w:val="continue"/>
            <w:shd w:val="clear" w:color="auto" w:fill="auto"/>
            <w:vAlign w:val="center"/>
          </w:tcPr>
          <w:p>
            <w:pPr>
              <w:jc w:val="center"/>
              <w:rPr>
                <w:rFonts w:ascii="Times New Roman" w:hAnsi="Times New Roman" w:eastAsia="宋体" w:cs="Times New Roman"/>
                <w:szCs w:val="21"/>
              </w:rPr>
            </w:pP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常规类</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盒/a</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600</w:t>
            </w:r>
          </w:p>
        </w:tc>
        <w:tc>
          <w:tcPr>
            <w:tcW w:w="2181" w:type="dxa"/>
            <w:vMerge w:val="continue"/>
            <w:shd w:val="clear" w:color="auto" w:fill="auto"/>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52" w:type="dxa"/>
            <w:vMerge w:val="continue"/>
            <w:shd w:val="clear" w:color="auto" w:fill="auto"/>
            <w:vAlign w:val="center"/>
          </w:tcPr>
          <w:p>
            <w:pPr>
              <w:jc w:val="center"/>
              <w:rPr>
                <w:rFonts w:ascii="Times New Roman" w:hAnsi="Times New Roman" w:eastAsia="宋体" w:cs="Times New Roman"/>
                <w:szCs w:val="21"/>
              </w:rPr>
            </w:pPr>
          </w:p>
        </w:tc>
        <w:tc>
          <w:tcPr>
            <w:tcW w:w="944" w:type="dxa"/>
            <w:vMerge w:val="continue"/>
            <w:shd w:val="clear" w:color="auto" w:fill="auto"/>
            <w:vAlign w:val="center"/>
          </w:tcPr>
          <w:p>
            <w:pPr>
              <w:jc w:val="center"/>
              <w:rPr>
                <w:rFonts w:ascii="Times New Roman" w:hAnsi="Times New Roman" w:eastAsia="宋体" w:cs="Times New Roman"/>
                <w:szCs w:val="21"/>
              </w:rPr>
            </w:pP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生化类</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盒/a</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200</w:t>
            </w:r>
          </w:p>
        </w:tc>
        <w:tc>
          <w:tcPr>
            <w:tcW w:w="2181" w:type="dxa"/>
            <w:vMerge w:val="continue"/>
            <w:shd w:val="clear" w:color="auto" w:fill="auto"/>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52" w:type="dxa"/>
            <w:vMerge w:val="continue"/>
            <w:shd w:val="clear" w:color="auto" w:fill="auto"/>
            <w:vAlign w:val="center"/>
          </w:tcPr>
          <w:p>
            <w:pPr>
              <w:jc w:val="center"/>
              <w:rPr>
                <w:rFonts w:ascii="Times New Roman" w:hAnsi="Times New Roman" w:eastAsia="宋体" w:cs="Times New Roman"/>
                <w:szCs w:val="21"/>
              </w:rPr>
            </w:pPr>
          </w:p>
        </w:tc>
        <w:tc>
          <w:tcPr>
            <w:tcW w:w="944" w:type="dxa"/>
            <w:vMerge w:val="continue"/>
            <w:shd w:val="clear" w:color="auto" w:fill="auto"/>
            <w:vAlign w:val="center"/>
          </w:tcPr>
          <w:p>
            <w:pPr>
              <w:jc w:val="center"/>
              <w:rPr>
                <w:rFonts w:ascii="Times New Roman" w:hAnsi="Times New Roman" w:eastAsia="宋体" w:cs="Times New Roman"/>
                <w:szCs w:val="21"/>
              </w:rPr>
            </w:pP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血凝类</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盒/a</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150</w:t>
            </w:r>
          </w:p>
        </w:tc>
        <w:tc>
          <w:tcPr>
            <w:tcW w:w="2181" w:type="dxa"/>
            <w:vMerge w:val="continue"/>
            <w:shd w:val="clear" w:color="auto" w:fill="auto"/>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52" w:type="dxa"/>
            <w:vMerge w:val="continue"/>
            <w:shd w:val="clear" w:color="auto" w:fill="auto"/>
            <w:vAlign w:val="center"/>
          </w:tcPr>
          <w:p>
            <w:pPr>
              <w:jc w:val="center"/>
              <w:rPr>
                <w:rFonts w:ascii="Times New Roman" w:hAnsi="Times New Roman" w:eastAsia="宋体" w:cs="Times New Roman"/>
                <w:szCs w:val="21"/>
              </w:rPr>
            </w:pPr>
          </w:p>
        </w:tc>
        <w:tc>
          <w:tcPr>
            <w:tcW w:w="944" w:type="dxa"/>
            <w:vMerge w:val="continue"/>
            <w:shd w:val="clear" w:color="auto" w:fill="auto"/>
            <w:vAlign w:val="center"/>
          </w:tcPr>
          <w:p>
            <w:pPr>
              <w:jc w:val="center"/>
              <w:rPr>
                <w:rFonts w:ascii="Times New Roman" w:hAnsi="Times New Roman" w:eastAsia="宋体" w:cs="Times New Roman"/>
                <w:szCs w:val="21"/>
              </w:rPr>
            </w:pP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输血类</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盒/a</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c>
          <w:tcPr>
            <w:tcW w:w="2181" w:type="dxa"/>
            <w:vMerge w:val="continue"/>
            <w:shd w:val="clear" w:color="auto" w:fill="auto"/>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52" w:type="dxa"/>
            <w:vMerge w:val="continue"/>
            <w:shd w:val="clear" w:color="auto" w:fill="auto"/>
            <w:vAlign w:val="center"/>
          </w:tcPr>
          <w:p>
            <w:pPr>
              <w:jc w:val="center"/>
              <w:rPr>
                <w:rFonts w:ascii="Times New Roman" w:hAnsi="Times New Roman" w:eastAsia="宋体" w:cs="Times New Roman"/>
                <w:szCs w:val="21"/>
              </w:rPr>
            </w:pPr>
          </w:p>
        </w:tc>
        <w:tc>
          <w:tcPr>
            <w:tcW w:w="944" w:type="dxa"/>
            <w:vMerge w:val="restart"/>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药品</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中草药</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t/a</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82</w:t>
            </w:r>
          </w:p>
        </w:tc>
        <w:tc>
          <w:tcPr>
            <w:tcW w:w="2181"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约510种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52" w:type="dxa"/>
            <w:vMerge w:val="continue"/>
            <w:shd w:val="clear" w:color="auto" w:fill="auto"/>
            <w:vAlign w:val="center"/>
          </w:tcPr>
          <w:p>
            <w:pPr>
              <w:jc w:val="center"/>
              <w:rPr>
                <w:rFonts w:ascii="Times New Roman" w:hAnsi="Times New Roman" w:eastAsia="宋体" w:cs="Times New Roman"/>
                <w:szCs w:val="21"/>
              </w:rPr>
            </w:pPr>
          </w:p>
        </w:tc>
        <w:tc>
          <w:tcPr>
            <w:tcW w:w="944" w:type="dxa"/>
            <w:vMerge w:val="continue"/>
            <w:shd w:val="clear" w:color="auto" w:fill="auto"/>
            <w:vAlign w:val="center"/>
          </w:tcPr>
          <w:p>
            <w:pPr>
              <w:jc w:val="center"/>
              <w:rPr>
                <w:rFonts w:ascii="Times New Roman" w:hAnsi="Times New Roman" w:eastAsia="宋体" w:cs="Times New Roman"/>
                <w:szCs w:val="21"/>
              </w:rPr>
            </w:pP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中成药</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盒/a</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10000</w:t>
            </w:r>
          </w:p>
        </w:tc>
        <w:tc>
          <w:tcPr>
            <w:tcW w:w="2181"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约115种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52" w:type="dxa"/>
            <w:vMerge w:val="continue"/>
            <w:shd w:val="clear" w:color="auto" w:fill="auto"/>
            <w:vAlign w:val="center"/>
          </w:tcPr>
          <w:p>
            <w:pPr>
              <w:jc w:val="center"/>
              <w:rPr>
                <w:rFonts w:ascii="Times New Roman" w:hAnsi="Times New Roman" w:eastAsia="宋体" w:cs="Times New Roman"/>
                <w:szCs w:val="21"/>
              </w:rPr>
            </w:pPr>
          </w:p>
        </w:tc>
        <w:tc>
          <w:tcPr>
            <w:tcW w:w="944" w:type="dxa"/>
            <w:vMerge w:val="continue"/>
            <w:shd w:val="clear" w:color="auto" w:fill="auto"/>
            <w:vAlign w:val="center"/>
          </w:tcPr>
          <w:p>
            <w:pPr>
              <w:jc w:val="center"/>
              <w:rPr>
                <w:rFonts w:ascii="Times New Roman" w:hAnsi="Times New Roman" w:eastAsia="宋体" w:cs="Times New Roman"/>
                <w:szCs w:val="21"/>
              </w:rPr>
            </w:pP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西药</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盒/a</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40000</w:t>
            </w:r>
          </w:p>
        </w:tc>
        <w:tc>
          <w:tcPr>
            <w:tcW w:w="2181"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约423种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52" w:type="dxa"/>
            <w:vMerge w:val="continue"/>
            <w:shd w:val="clear" w:color="auto" w:fill="auto"/>
            <w:vAlign w:val="center"/>
          </w:tcPr>
          <w:p>
            <w:pPr>
              <w:jc w:val="center"/>
              <w:rPr>
                <w:rFonts w:ascii="Times New Roman" w:hAnsi="Times New Roman" w:eastAsia="宋体" w:cs="Times New Roman"/>
                <w:szCs w:val="21"/>
              </w:rPr>
            </w:pPr>
          </w:p>
        </w:tc>
        <w:tc>
          <w:tcPr>
            <w:tcW w:w="944" w:type="dxa"/>
            <w:vMerge w:val="restart"/>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消毒剂</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医用酒精</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mL/a</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258500</w:t>
            </w:r>
          </w:p>
        </w:tc>
        <w:tc>
          <w:tcPr>
            <w:tcW w:w="2181" w:type="dxa"/>
            <w:shd w:val="clear" w:color="auto" w:fill="auto"/>
            <w:vAlign w:val="center"/>
          </w:tcPr>
          <w:p>
            <w:pPr>
              <w:jc w:val="center"/>
              <w:rPr>
                <w:rFonts w:ascii="Times New Roman" w:hAnsi="Times New Roman" w:eastAsia="宋体" w:cs="Times New Roman"/>
                <w:szCs w:val="21"/>
              </w:rPr>
            </w:pPr>
            <w:r>
              <w:rPr>
                <w:rFonts w:hint="eastAsia" w:ascii="宋体" w:hAnsi="宋体"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52" w:type="dxa"/>
            <w:vMerge w:val="continue"/>
            <w:shd w:val="clear" w:color="auto" w:fill="auto"/>
            <w:vAlign w:val="center"/>
          </w:tcPr>
          <w:p>
            <w:pPr>
              <w:jc w:val="center"/>
              <w:rPr>
                <w:rFonts w:ascii="Times New Roman" w:hAnsi="Times New Roman" w:eastAsia="宋体" w:cs="Times New Roman"/>
                <w:szCs w:val="21"/>
              </w:rPr>
            </w:pPr>
          </w:p>
        </w:tc>
        <w:tc>
          <w:tcPr>
            <w:tcW w:w="944" w:type="dxa"/>
            <w:vMerge w:val="continue"/>
            <w:shd w:val="clear" w:color="auto" w:fill="auto"/>
            <w:vAlign w:val="center"/>
          </w:tcPr>
          <w:p>
            <w:pPr>
              <w:jc w:val="center"/>
              <w:rPr>
                <w:rFonts w:ascii="Times New Roman" w:hAnsi="Times New Roman" w:eastAsia="宋体" w:cs="Times New Roman"/>
                <w:szCs w:val="21"/>
              </w:rPr>
            </w:pP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含氯消毒液</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瓶/a</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940</w:t>
            </w:r>
          </w:p>
        </w:tc>
        <w:tc>
          <w:tcPr>
            <w:tcW w:w="2181"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次氯酸钠5.5%~6.5%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52" w:type="dxa"/>
            <w:vMerge w:val="restart"/>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能源</w:t>
            </w:r>
          </w:p>
        </w:tc>
        <w:tc>
          <w:tcPr>
            <w:tcW w:w="2361" w:type="dxa"/>
            <w:gridSpan w:val="2"/>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新鲜水</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/a</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156952.920</w:t>
            </w:r>
          </w:p>
        </w:tc>
        <w:tc>
          <w:tcPr>
            <w:tcW w:w="2181" w:type="dxa"/>
            <w:shd w:val="clear" w:color="auto" w:fill="auto"/>
            <w:vAlign w:val="center"/>
          </w:tcPr>
          <w:p>
            <w:pPr>
              <w:pStyle w:val="39"/>
              <w:spacing w:line="240" w:lineRule="auto"/>
              <w:rPr>
                <w:szCs w:val="21"/>
              </w:rPr>
            </w:pPr>
            <w:r>
              <w:rPr>
                <w:szCs w:val="21"/>
              </w:rPr>
              <w:t>由</w:t>
            </w:r>
            <w:r>
              <w:rPr>
                <w:rFonts w:hint="eastAsia"/>
                <w:szCs w:val="21"/>
              </w:rPr>
              <w:t>市政供水管网</w:t>
            </w:r>
            <w:r>
              <w:rPr>
                <w:szCs w:val="21"/>
              </w:rPr>
              <w:t>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52" w:type="dxa"/>
            <w:vMerge w:val="continue"/>
            <w:shd w:val="clear" w:color="auto" w:fill="auto"/>
            <w:vAlign w:val="center"/>
          </w:tcPr>
          <w:p>
            <w:pPr>
              <w:jc w:val="center"/>
              <w:rPr>
                <w:rFonts w:ascii="Times New Roman" w:hAnsi="Times New Roman" w:eastAsia="宋体" w:cs="Times New Roman"/>
                <w:szCs w:val="21"/>
              </w:rPr>
            </w:pPr>
          </w:p>
        </w:tc>
        <w:tc>
          <w:tcPr>
            <w:tcW w:w="2361" w:type="dxa"/>
            <w:gridSpan w:val="2"/>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电</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万kWh/a</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1155.31</w:t>
            </w:r>
          </w:p>
        </w:tc>
        <w:tc>
          <w:tcPr>
            <w:tcW w:w="2181" w:type="dxa"/>
            <w:shd w:val="clear" w:color="auto" w:fill="auto"/>
            <w:vAlign w:val="center"/>
          </w:tcPr>
          <w:p>
            <w:pPr>
              <w:pStyle w:val="39"/>
              <w:spacing w:line="240" w:lineRule="auto"/>
              <w:rPr>
                <w:szCs w:val="21"/>
              </w:rPr>
            </w:pPr>
            <w:r>
              <w:rPr>
                <w:szCs w:val="21"/>
              </w:rPr>
              <w:t>由</w:t>
            </w:r>
            <w:r>
              <w:rPr>
                <w:rFonts w:hint="eastAsia"/>
                <w:szCs w:val="21"/>
              </w:rPr>
              <w:t>当地供电公司</w:t>
            </w:r>
            <w:r>
              <w:rPr>
                <w:szCs w:val="21"/>
              </w:rPr>
              <w:t>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52" w:type="dxa"/>
            <w:vMerge w:val="continue"/>
            <w:shd w:val="clear" w:color="auto" w:fill="auto"/>
            <w:vAlign w:val="center"/>
          </w:tcPr>
          <w:p>
            <w:pPr>
              <w:jc w:val="center"/>
              <w:rPr>
                <w:rFonts w:ascii="Times New Roman" w:hAnsi="Times New Roman" w:eastAsia="宋体" w:cs="Times New Roman"/>
                <w:szCs w:val="21"/>
              </w:rPr>
            </w:pPr>
          </w:p>
        </w:tc>
        <w:tc>
          <w:tcPr>
            <w:tcW w:w="2361" w:type="dxa"/>
            <w:gridSpan w:val="2"/>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食堂用天然气</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/a</w:t>
            </w:r>
          </w:p>
        </w:tc>
        <w:tc>
          <w:tcPr>
            <w:tcW w:w="1417"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7.55万</w:t>
            </w:r>
          </w:p>
        </w:tc>
        <w:tc>
          <w:tcPr>
            <w:tcW w:w="2181" w:type="dxa"/>
            <w:shd w:val="clear" w:color="auto" w:fill="auto"/>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市政燃气管网供应</w:t>
            </w:r>
          </w:p>
        </w:tc>
      </w:tr>
    </w:tbl>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3.1.5公用工程</w:t>
      </w:r>
    </w:p>
    <w:p>
      <w:pPr>
        <w:pStyle w:val="5"/>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3.1.5.1供热</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sz w:val="24"/>
          <w:szCs w:val="24"/>
        </w:rPr>
        <w:t>本项目不设燃煤锅炉</w:t>
      </w:r>
      <w:r>
        <w:rPr>
          <w:rFonts w:hint="eastAsia" w:ascii="Times New Roman" w:hAnsi="Times New Roman" w:cs="Times New Roman"/>
          <w:color w:val="000000" w:themeColor="text1"/>
          <w:sz w:val="24"/>
          <w:szCs w:val="24"/>
        </w:rPr>
        <w:t>，夏季制冷采用中央空调，冬季取暖由大唐热电供给。</w:t>
      </w:r>
    </w:p>
    <w:p>
      <w:pPr>
        <w:pStyle w:val="5"/>
        <w:spacing w:before="0" w:after="0" w:line="36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3.1.9.2供电</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本项目用电由保定市供电公司供应，用电负荷7593.75KW，安装8台1250KVA的变压器，用电量为1155.31万kWh/a，能够满足本项目用电需求。</w:t>
      </w:r>
    </w:p>
    <w:p>
      <w:pPr>
        <w:pStyle w:val="5"/>
        <w:spacing w:before="0" w:after="0" w:line="36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3.1.9.3给排水</w:t>
      </w:r>
    </w:p>
    <w:p>
      <w:pPr>
        <w:spacing w:line="360" w:lineRule="auto"/>
        <w:ind w:firstLine="120" w:firstLineChars="5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 xml:space="preserve">   （1）给水</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本项目新鲜水总用水量为494.958m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/d（180622.920m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a），主要分为职工生活用水、病房区生活用水、门诊用水、医疗器械清洗用水、食堂用水、恶臭气体治理水喷淋设施补水、中央空调冷却塔补水。本项目供水水源由市政自来水管网供给，能够满足本项目用水需求。</w:t>
      </w:r>
    </w:p>
    <w:p>
      <w:pPr>
        <w:spacing w:line="360" w:lineRule="auto"/>
        <w:ind w:firstLine="420" w:firstLineChars="200"/>
        <w:rPr>
          <w:rFonts w:ascii="Times New Roman" w:hAnsi="Times New Roman" w:cs="Times New Roman"/>
          <w:b/>
          <w:color w:val="000000" w:themeColor="text1"/>
          <w:szCs w:val="21"/>
        </w:rPr>
      </w:pPr>
      <w:r>
        <w:rPr>
          <w:rFonts w:hint="eastAsia" w:ascii="Times New Roman" w:hAnsi="Times New Roman" w:cs="Times New Roman"/>
          <w:b/>
          <w:color w:val="000000" w:themeColor="text1"/>
          <w:szCs w:val="21"/>
        </w:rPr>
        <w:t>注：本项目不设传染病科室，无传染废水产生；辐射类设备需另行办理环评手续，本次环评不涉及放射性废水；口腔科不设汞，无含汞废水；无洗印、含氰、含铬废水。检验室无检验废水产生，检验废液作为医疗废物，暂存于医疗废物暂存间，交由有资质单位处理。</w:t>
      </w:r>
    </w:p>
    <w:p>
      <w:pPr>
        <w:spacing w:line="360" w:lineRule="auto"/>
        <w:ind w:firstLine="480" w:firstLineChars="200"/>
        <w:rPr>
          <w:rFonts w:ascii="Times New Roman" w:hAnsi="Times New Roman" w:cs="Times New Roman"/>
          <w:color w:val="000000" w:themeColor="text1"/>
          <w:sz w:val="24"/>
          <w:szCs w:val="24"/>
        </w:rPr>
      </w:pPr>
      <w:r>
        <w:rPr>
          <w:rFonts w:hint="eastAsia" w:cs="Times New Roman" w:asciiTheme="minorEastAsia" w:hAnsiTheme="minorEastAsia"/>
          <w:color w:val="000000" w:themeColor="text1"/>
          <w:sz w:val="24"/>
          <w:szCs w:val="24"/>
        </w:rPr>
        <w:t>①职</w:t>
      </w:r>
      <w:r>
        <w:rPr>
          <w:rFonts w:hint="eastAsia" w:ascii="Times New Roman" w:hAnsi="Times New Roman" w:cs="Times New Roman"/>
          <w:color w:val="000000" w:themeColor="text1"/>
          <w:sz w:val="24"/>
          <w:szCs w:val="24"/>
        </w:rPr>
        <w:t>工生活用水：根据河北省地方标准《用水定额 第3部分 生活用水》（DB13/T1161.3-2016）及本项目特点确定用水定额为80L/人•d，本项目职工共900人，则本项目职工生活用水量为72m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/d（26280m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/a）；</w:t>
      </w:r>
    </w:p>
    <w:p>
      <w:pPr>
        <w:pStyle w:val="50"/>
        <w:spacing w:line="360" w:lineRule="auto"/>
        <w:ind w:firstLine="480"/>
        <w:rPr>
          <w:rFonts w:ascii="Times New Roman" w:hAnsi="Times New Roman" w:cs="Times New Roman"/>
          <w:color w:val="000000" w:themeColor="text1"/>
          <w:sz w:val="24"/>
          <w:szCs w:val="24"/>
        </w:rPr>
      </w:pPr>
      <w:r>
        <w:rPr>
          <w:rFonts w:hint="eastAsia" w:cs="Times New Roman" w:asciiTheme="minorEastAsia" w:hAnsiTheme="minorEastAsia"/>
          <w:color w:val="000000" w:themeColor="text1"/>
          <w:sz w:val="24"/>
          <w:szCs w:val="24"/>
        </w:rPr>
        <w:t>②</w:t>
      </w:r>
      <w:r>
        <w:rPr>
          <w:rFonts w:hint="eastAsia" w:ascii="Times New Roman" w:hAnsi="Times New Roman" w:cs="Times New Roman"/>
          <w:color w:val="000000" w:themeColor="text1"/>
          <w:sz w:val="24"/>
          <w:szCs w:val="24"/>
        </w:rPr>
        <w:t>病房区生活用水：根据河北省地方标准《用水定额 第3部分  生活用水》（DB13/T1161.3-2016）及本项目特点确定用水定额为650L/床•d，本项目床位600张，则病房区用水量为390m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/d（142350m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a）；</w:t>
      </w:r>
    </w:p>
    <w:p>
      <w:pPr>
        <w:spacing w:line="360" w:lineRule="auto"/>
        <w:ind w:firstLine="480" w:firstLineChars="200"/>
        <w:rPr>
          <w:rFonts w:ascii="Times New Roman" w:hAnsi="Times New Roman" w:cs="Times New Roman"/>
          <w:color w:val="000000" w:themeColor="text1"/>
          <w:sz w:val="24"/>
          <w:szCs w:val="24"/>
        </w:rPr>
      </w:pPr>
      <w:r>
        <w:rPr>
          <w:rFonts w:hint="eastAsia" w:ascii="宋体" w:hAnsi="宋体" w:eastAsia="宋体" w:cs="Times New Roman"/>
          <w:color w:val="000000" w:themeColor="text1"/>
          <w:sz w:val="24"/>
          <w:szCs w:val="24"/>
        </w:rPr>
        <w:t>③</w:t>
      </w:r>
      <w:r>
        <w:rPr>
          <w:rFonts w:hint="eastAsia" w:ascii="Times New Roman" w:hAnsi="Times New Roman" w:cs="Times New Roman"/>
          <w:color w:val="000000" w:themeColor="text1"/>
          <w:sz w:val="24"/>
          <w:szCs w:val="24"/>
        </w:rPr>
        <w:t>门诊用水：根据河北省地方标准《用水定额 第3部分  生活用水》（DB13/T1161.3-2016），门诊用水根据2L/人•次，医院预计门诊量为2054人</w:t>
      </w:r>
      <w:r>
        <w:rPr>
          <w:rFonts w:hint="eastAsia" w:cs="Times New Roman" w:asciiTheme="minorEastAsia" w:hAnsiTheme="minorEastAsia"/>
          <w:color w:val="000000" w:themeColor="text1"/>
          <w:sz w:val="24"/>
          <w:szCs w:val="24"/>
        </w:rPr>
        <w:t>﹒</w:t>
      </w:r>
      <w:r>
        <w:rPr>
          <w:rFonts w:hint="eastAsia" w:ascii="Times New Roman" w:hAnsi="Times New Roman" w:cs="Times New Roman"/>
          <w:color w:val="000000" w:themeColor="text1"/>
          <w:sz w:val="24"/>
          <w:szCs w:val="24"/>
        </w:rPr>
        <w:t>次/天，则门诊用水量为4.108m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/d（1499.420m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/a）；</w:t>
      </w:r>
    </w:p>
    <w:p>
      <w:pPr>
        <w:spacing w:line="360" w:lineRule="auto"/>
        <w:ind w:firstLine="480" w:firstLineChars="200"/>
        <w:rPr>
          <w:rFonts w:ascii="Times New Roman" w:hAnsi="Times New Roman" w:cs="Times New Roman"/>
          <w:color w:val="000000" w:themeColor="text1"/>
          <w:sz w:val="24"/>
          <w:szCs w:val="24"/>
        </w:rPr>
      </w:pPr>
      <w:r>
        <w:rPr>
          <w:rFonts w:hint="eastAsia" w:ascii="宋体" w:hAnsi="宋体" w:eastAsia="宋体" w:cs="Times New Roman"/>
          <w:color w:val="000000" w:themeColor="text1"/>
          <w:sz w:val="24"/>
          <w:szCs w:val="24"/>
        </w:rPr>
        <w:t>④医疗器械清洗用水：</w:t>
      </w:r>
      <w:r>
        <w:rPr>
          <w:rFonts w:hint="eastAsia" w:ascii="Times New Roman" w:hAnsi="Times New Roman" w:cs="Times New Roman"/>
          <w:color w:val="000000" w:themeColor="text1"/>
          <w:sz w:val="24"/>
          <w:szCs w:val="24"/>
        </w:rPr>
        <w:t>医疗器具清洗等用水为1.5m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/d（547.5m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/a）；</w:t>
      </w:r>
    </w:p>
    <w:p>
      <w:pPr>
        <w:spacing w:line="360" w:lineRule="auto"/>
        <w:ind w:firstLine="480" w:firstLineChars="200"/>
        <w:rPr>
          <w:rFonts w:ascii="Times New Roman" w:hAnsi="Times New Roman" w:cs="Times New Roman"/>
          <w:color w:val="000000" w:themeColor="text1"/>
          <w:sz w:val="24"/>
          <w:szCs w:val="24"/>
        </w:rPr>
      </w:pPr>
      <w:r>
        <w:rPr>
          <w:rFonts w:hint="eastAsia" w:cs="Times New Roman" w:asciiTheme="minorEastAsia" w:hAnsiTheme="minorEastAsia"/>
          <w:color w:val="000000" w:themeColor="text1"/>
          <w:sz w:val="24"/>
          <w:szCs w:val="24"/>
        </w:rPr>
        <w:t>⑤</w:t>
      </w:r>
      <w:r>
        <w:rPr>
          <w:rFonts w:ascii="Times New Roman" w:hAnsi="Times New Roman" w:cs="Times New Roman"/>
          <w:color w:val="000000" w:themeColor="text1"/>
          <w:sz w:val="24"/>
          <w:szCs w:val="24"/>
        </w:rPr>
        <w:t>食堂用水：根据河北省地方标准《用水定额 第3部分  生活用水》（DB13/T1161.3-2016），</w:t>
      </w:r>
      <w:r>
        <w:rPr>
          <w:rFonts w:hint="eastAsia" w:ascii="Times New Roman" w:hAnsi="Times New Roman" w:cs="Times New Roman"/>
          <w:color w:val="000000" w:themeColor="text1"/>
          <w:sz w:val="24"/>
          <w:szCs w:val="24"/>
        </w:rPr>
        <w:t>食堂用水按10L/人•餐计，供应三餐，根据医院提供数据，职工就餐人数按300人，病房人数600人，则本项目食堂用水量为27m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/d（9855m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/a）。</w:t>
      </w:r>
    </w:p>
    <w:p>
      <w:pPr>
        <w:spacing w:line="360" w:lineRule="auto"/>
        <w:ind w:firstLine="480" w:firstLineChars="200"/>
        <w:rPr>
          <w:rFonts w:ascii="Times New Roman" w:hAnsi="Times New Roman" w:cs="Times New Roman"/>
          <w:color w:val="000000" w:themeColor="text1"/>
          <w:sz w:val="24"/>
          <w:szCs w:val="24"/>
        </w:rPr>
      </w:pPr>
      <w:r>
        <w:rPr>
          <w:rFonts w:hint="eastAsia" w:cs="Times New Roman" w:asciiTheme="minorEastAsia" w:hAnsiTheme="minorEastAsia"/>
          <w:color w:val="000000" w:themeColor="text1"/>
          <w:sz w:val="24"/>
          <w:szCs w:val="24"/>
        </w:rPr>
        <w:t>⑥</w:t>
      </w:r>
      <w:r>
        <w:rPr>
          <w:rFonts w:hint="eastAsia" w:ascii="Times New Roman" w:hAnsi="Times New Roman" w:cs="Times New Roman"/>
          <w:color w:val="000000" w:themeColor="text1"/>
          <w:sz w:val="24"/>
          <w:szCs w:val="24"/>
        </w:rPr>
        <w:t>水喷淋设施补水：项目水喷淋设施定期补充，补水量为0.2 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/d（73m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/a），循环水量25m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w:t>
      </w:r>
    </w:p>
    <w:p>
      <w:pPr>
        <w:spacing w:line="360" w:lineRule="auto"/>
        <w:ind w:firstLine="480" w:firstLineChars="200"/>
        <w:rPr>
          <w:rFonts w:ascii="Times New Roman" w:hAnsi="Times New Roman" w:cs="Times New Roman"/>
          <w:color w:val="000000" w:themeColor="text1"/>
          <w:sz w:val="24"/>
          <w:szCs w:val="24"/>
        </w:rPr>
      </w:pPr>
      <w:r>
        <w:rPr>
          <w:rFonts w:hint="eastAsia" w:cs="Times New Roman" w:asciiTheme="minorEastAsia" w:hAnsiTheme="minorEastAsia"/>
          <w:color w:val="000000" w:themeColor="text1"/>
          <w:sz w:val="24"/>
          <w:szCs w:val="24"/>
        </w:rPr>
        <w:t>⑦</w:t>
      </w:r>
      <w:r>
        <w:rPr>
          <w:rFonts w:hint="eastAsia" w:ascii="Times New Roman" w:hAnsi="Times New Roman" w:cs="Times New Roman"/>
          <w:color w:val="000000" w:themeColor="text1"/>
          <w:sz w:val="24"/>
          <w:szCs w:val="24"/>
        </w:rPr>
        <w:t>中央空调冷却塔补水：项目夏天制冷采用中央空调，工作时间为120d，中央空调冷却塔需定期补水，补水量为0.15 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/d（18m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/a），循环水量为10m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（2）排水</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本项目废水总排放量为395.686m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/d（144425.390m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/a），主要为门诊废水、医疗器械清洗废水、职工生活污水、病房区生活污水、食堂废水。本项目废水产生量均按用水量的80%计，则门诊废水产生量为3.286m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/d（1199.390                                                                               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/a）、医疗器械清洗废水产生量为1.2m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/d（438m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/a）、职工生活污水产生量为57.6m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/d（21024m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/a）、病房区生活污水量为312m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/d（113880m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/a）、食堂废水量为21.6m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/d（7884m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/a）。</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项目</w:t>
      </w:r>
      <w:r>
        <w:rPr>
          <w:rFonts w:ascii="Times New Roman" w:hAnsi="Times New Roman" w:cs="Times New Roman"/>
          <w:color w:val="000000" w:themeColor="text1"/>
          <w:sz w:val="24"/>
          <w:szCs w:val="24"/>
        </w:rPr>
        <w:t>食堂废水经隔油池</w:t>
      </w:r>
      <w:r>
        <w:rPr>
          <w:rFonts w:hint="eastAsia" w:ascii="Times New Roman" w:hAnsi="Times New Roman" w:cs="Times New Roman"/>
          <w:color w:val="000000" w:themeColor="text1"/>
          <w:sz w:val="24"/>
          <w:szCs w:val="24"/>
        </w:rPr>
        <w:t>预处理后，与医疗废水、生活污水一并进入</w:t>
      </w:r>
      <w:r>
        <w:rPr>
          <w:rFonts w:ascii="Times New Roman" w:hAnsi="Times New Roman" w:cs="Times New Roman"/>
          <w:color w:val="000000" w:themeColor="text1"/>
          <w:sz w:val="24"/>
          <w:szCs w:val="24"/>
        </w:rPr>
        <w:t>化粪池处理后排入医院污水处理站处理，</w:t>
      </w:r>
      <w:r>
        <w:rPr>
          <w:rFonts w:hint="eastAsia" w:ascii="Times New Roman" w:hAnsi="Times New Roman" w:cs="Times New Roman"/>
          <w:color w:val="000000" w:themeColor="text1"/>
          <w:sz w:val="24"/>
          <w:szCs w:val="24"/>
        </w:rPr>
        <w:t>最终排入银定庄污水处理厂，污水站处理能力为500m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/d，采用“格栅+调节池+混凝沉淀+消毒”处理，</w:t>
      </w:r>
      <w:r>
        <w:rPr>
          <w:rFonts w:ascii="Times New Roman" w:hAnsi="Times New Roman" w:cs="Times New Roman"/>
          <w:color w:val="000000" w:themeColor="text1"/>
          <w:sz w:val="24"/>
          <w:szCs w:val="24"/>
        </w:rPr>
        <w:t>处理达到</w:t>
      </w:r>
      <w:r>
        <w:rPr>
          <w:rFonts w:hint="eastAsia" w:ascii="Times New Roman" w:hAnsi="Times New Roman" w:cs="Times New Roman"/>
          <w:color w:val="000000" w:themeColor="text1"/>
          <w:sz w:val="24"/>
          <w:szCs w:val="24"/>
        </w:rPr>
        <w:t>《医疗机构水污染物排放标准》（GB18466-2005）表2预处理标准，同时满足银定庄污水处理厂进水水质要求，通过市政污水管网排入银定庄污水处理厂进一步处理。</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项目给排水情况见表3-5。</w:t>
      </w:r>
    </w:p>
    <w:p>
      <w:pPr>
        <w:spacing w:line="360" w:lineRule="auto"/>
        <w:ind w:firstLine="480" w:firstLineChars="200"/>
        <w:jc w:val="center"/>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表3-5  项目给排水情况表</w:t>
      </w:r>
    </w:p>
    <w:tbl>
      <w:tblPr>
        <w:tblStyle w:val="27"/>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277"/>
        <w:gridCol w:w="1416"/>
        <w:gridCol w:w="1397"/>
        <w:gridCol w:w="1058"/>
        <w:gridCol w:w="1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51" w:type="dxa"/>
            <w:shd w:val="clear" w:color="auto" w:fill="auto"/>
            <w:vAlign w:val="center"/>
          </w:tcPr>
          <w:p>
            <w:pPr>
              <w:jc w:val="center"/>
              <w:rPr>
                <w:rFonts w:ascii="Times New Roman" w:hAnsi="Times New Roman" w:eastAsia="宋体" w:cs="Times New Roman"/>
                <w:b/>
                <w:color w:val="000000" w:themeColor="text1"/>
                <w:szCs w:val="21"/>
              </w:rPr>
            </w:pPr>
            <w:r>
              <w:rPr>
                <w:rFonts w:hint="eastAsia" w:ascii="Times New Roman" w:hAnsi="Times New Roman" w:eastAsia="宋体" w:cs="Times New Roman"/>
                <w:b/>
                <w:color w:val="000000" w:themeColor="text1"/>
                <w:szCs w:val="21"/>
              </w:rPr>
              <w:t>用水类型</w:t>
            </w:r>
          </w:p>
        </w:tc>
        <w:tc>
          <w:tcPr>
            <w:tcW w:w="1277" w:type="dxa"/>
            <w:shd w:val="clear" w:color="auto" w:fill="auto"/>
            <w:vAlign w:val="center"/>
          </w:tcPr>
          <w:p>
            <w:pPr>
              <w:jc w:val="center"/>
              <w:rPr>
                <w:rFonts w:ascii="Times New Roman" w:hAnsi="Times New Roman" w:eastAsia="宋体" w:cs="Times New Roman"/>
                <w:b/>
                <w:color w:val="000000" w:themeColor="text1"/>
                <w:szCs w:val="21"/>
              </w:rPr>
            </w:pPr>
            <w:r>
              <w:rPr>
                <w:rFonts w:hint="eastAsia" w:ascii="Times New Roman" w:hAnsi="Times New Roman" w:eastAsia="宋体" w:cs="Times New Roman"/>
                <w:b/>
                <w:color w:val="000000" w:themeColor="text1"/>
                <w:szCs w:val="21"/>
              </w:rPr>
              <w:t>用水定额</w:t>
            </w:r>
          </w:p>
        </w:tc>
        <w:tc>
          <w:tcPr>
            <w:tcW w:w="1416" w:type="dxa"/>
            <w:shd w:val="clear" w:color="auto" w:fill="auto"/>
            <w:vAlign w:val="center"/>
          </w:tcPr>
          <w:p>
            <w:pPr>
              <w:jc w:val="center"/>
              <w:rPr>
                <w:rFonts w:ascii="Times New Roman" w:hAnsi="Times New Roman" w:eastAsia="宋体" w:cs="Times New Roman"/>
                <w:b/>
                <w:color w:val="000000" w:themeColor="text1"/>
                <w:szCs w:val="21"/>
              </w:rPr>
            </w:pPr>
            <w:r>
              <w:rPr>
                <w:rFonts w:hint="eastAsia" w:ascii="Times New Roman" w:hAnsi="Times New Roman" w:eastAsia="宋体" w:cs="Times New Roman"/>
                <w:b/>
                <w:color w:val="000000" w:themeColor="text1"/>
                <w:szCs w:val="21"/>
              </w:rPr>
              <w:t>计算规模</w:t>
            </w:r>
          </w:p>
        </w:tc>
        <w:tc>
          <w:tcPr>
            <w:tcW w:w="1397" w:type="dxa"/>
            <w:shd w:val="clear" w:color="auto" w:fill="auto"/>
            <w:vAlign w:val="center"/>
          </w:tcPr>
          <w:p>
            <w:pPr>
              <w:jc w:val="center"/>
              <w:rPr>
                <w:rFonts w:ascii="Times New Roman" w:hAnsi="Times New Roman" w:eastAsia="宋体" w:cs="Times New Roman"/>
                <w:b/>
                <w:color w:val="000000" w:themeColor="text1"/>
                <w:szCs w:val="21"/>
              </w:rPr>
            </w:pPr>
            <w:r>
              <w:rPr>
                <w:rFonts w:hint="eastAsia" w:ascii="Times New Roman" w:hAnsi="Times New Roman" w:eastAsia="宋体" w:cs="Times New Roman"/>
                <w:b/>
                <w:color w:val="000000" w:themeColor="text1"/>
                <w:szCs w:val="21"/>
              </w:rPr>
              <w:t>新鲜水用量（m</w:t>
            </w:r>
            <w:r>
              <w:rPr>
                <w:rFonts w:hint="eastAsia" w:ascii="Times New Roman" w:hAnsi="Times New Roman" w:eastAsia="宋体" w:cs="Times New Roman"/>
                <w:b/>
                <w:color w:val="000000" w:themeColor="text1"/>
                <w:szCs w:val="21"/>
                <w:vertAlign w:val="superscript"/>
              </w:rPr>
              <w:t>3</w:t>
            </w:r>
            <w:r>
              <w:rPr>
                <w:rFonts w:hint="eastAsia" w:ascii="Times New Roman" w:hAnsi="Times New Roman" w:eastAsia="宋体" w:cs="Times New Roman"/>
                <w:b/>
                <w:color w:val="000000" w:themeColor="text1"/>
                <w:szCs w:val="21"/>
              </w:rPr>
              <w:t>/d）</w:t>
            </w:r>
          </w:p>
        </w:tc>
        <w:tc>
          <w:tcPr>
            <w:tcW w:w="1058" w:type="dxa"/>
            <w:shd w:val="clear" w:color="auto" w:fill="auto"/>
            <w:vAlign w:val="center"/>
          </w:tcPr>
          <w:p>
            <w:pPr>
              <w:jc w:val="center"/>
              <w:rPr>
                <w:rFonts w:ascii="Times New Roman" w:hAnsi="Times New Roman" w:eastAsia="宋体" w:cs="Times New Roman"/>
                <w:b/>
                <w:color w:val="000000" w:themeColor="text1"/>
                <w:szCs w:val="21"/>
              </w:rPr>
            </w:pPr>
            <w:r>
              <w:rPr>
                <w:rFonts w:hint="eastAsia" w:ascii="Times New Roman" w:hAnsi="Times New Roman" w:eastAsia="宋体" w:cs="Times New Roman"/>
                <w:b/>
                <w:color w:val="000000" w:themeColor="text1"/>
                <w:szCs w:val="21"/>
              </w:rPr>
              <w:t>消耗量（m</w:t>
            </w:r>
            <w:r>
              <w:rPr>
                <w:rFonts w:hint="eastAsia" w:ascii="Times New Roman" w:hAnsi="Times New Roman" w:eastAsia="宋体" w:cs="Times New Roman"/>
                <w:b/>
                <w:color w:val="000000" w:themeColor="text1"/>
                <w:szCs w:val="21"/>
                <w:vertAlign w:val="superscript"/>
              </w:rPr>
              <w:t>3</w:t>
            </w:r>
            <w:r>
              <w:rPr>
                <w:rFonts w:hint="eastAsia" w:ascii="Times New Roman" w:hAnsi="Times New Roman" w:eastAsia="宋体" w:cs="Times New Roman"/>
                <w:b/>
                <w:color w:val="000000" w:themeColor="text1"/>
                <w:szCs w:val="21"/>
              </w:rPr>
              <w:t>/d）</w:t>
            </w:r>
          </w:p>
        </w:tc>
        <w:tc>
          <w:tcPr>
            <w:tcW w:w="1429" w:type="dxa"/>
            <w:shd w:val="clear" w:color="auto" w:fill="auto"/>
            <w:vAlign w:val="center"/>
          </w:tcPr>
          <w:p>
            <w:pPr>
              <w:jc w:val="center"/>
              <w:rPr>
                <w:rFonts w:ascii="Times New Roman" w:hAnsi="Times New Roman" w:eastAsia="宋体" w:cs="Times New Roman"/>
                <w:b/>
                <w:color w:val="000000" w:themeColor="text1"/>
                <w:szCs w:val="21"/>
              </w:rPr>
            </w:pPr>
            <w:r>
              <w:rPr>
                <w:rFonts w:hint="eastAsia" w:ascii="Times New Roman" w:hAnsi="Times New Roman" w:eastAsia="宋体" w:cs="Times New Roman"/>
                <w:b/>
                <w:color w:val="000000" w:themeColor="text1"/>
                <w:szCs w:val="21"/>
              </w:rPr>
              <w:t>废水产生量（m</w:t>
            </w:r>
            <w:r>
              <w:rPr>
                <w:rFonts w:hint="eastAsia" w:ascii="Times New Roman" w:hAnsi="Times New Roman" w:eastAsia="宋体" w:cs="Times New Roman"/>
                <w:b/>
                <w:color w:val="000000" w:themeColor="text1"/>
                <w:szCs w:val="21"/>
                <w:vertAlign w:val="superscript"/>
              </w:rPr>
              <w:t>3</w:t>
            </w:r>
            <w:r>
              <w:rPr>
                <w:rFonts w:hint="eastAsia" w:ascii="Times New Roman" w:hAnsi="Times New Roman" w:eastAsia="宋体" w:cs="Times New Roman"/>
                <w:b/>
                <w:color w:val="000000" w:themeColor="text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51"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门诊用水</w:t>
            </w:r>
          </w:p>
        </w:tc>
        <w:tc>
          <w:tcPr>
            <w:tcW w:w="1277"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2L/人·次</w:t>
            </w:r>
          </w:p>
        </w:tc>
        <w:tc>
          <w:tcPr>
            <w:tcW w:w="1416"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2054人次/天</w:t>
            </w:r>
          </w:p>
        </w:tc>
        <w:tc>
          <w:tcPr>
            <w:tcW w:w="1397"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4.108</w:t>
            </w:r>
          </w:p>
        </w:tc>
        <w:tc>
          <w:tcPr>
            <w:tcW w:w="1058"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0.822</w:t>
            </w:r>
          </w:p>
        </w:tc>
        <w:tc>
          <w:tcPr>
            <w:tcW w:w="1429"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3.286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51"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医疗器械清洗用水</w:t>
            </w:r>
          </w:p>
        </w:tc>
        <w:tc>
          <w:tcPr>
            <w:tcW w:w="1277"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w:t>
            </w:r>
          </w:p>
        </w:tc>
        <w:tc>
          <w:tcPr>
            <w:tcW w:w="1416"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w:t>
            </w:r>
          </w:p>
        </w:tc>
        <w:tc>
          <w:tcPr>
            <w:tcW w:w="1397"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1.5</w:t>
            </w:r>
          </w:p>
        </w:tc>
        <w:tc>
          <w:tcPr>
            <w:tcW w:w="1058"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0.3</w:t>
            </w:r>
          </w:p>
        </w:tc>
        <w:tc>
          <w:tcPr>
            <w:tcW w:w="1429"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51"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职工生活用水</w:t>
            </w:r>
          </w:p>
        </w:tc>
        <w:tc>
          <w:tcPr>
            <w:tcW w:w="1277"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80L/人•d</w:t>
            </w:r>
          </w:p>
        </w:tc>
        <w:tc>
          <w:tcPr>
            <w:tcW w:w="1416"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900人</w:t>
            </w:r>
          </w:p>
        </w:tc>
        <w:tc>
          <w:tcPr>
            <w:tcW w:w="1397"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72</w:t>
            </w:r>
          </w:p>
        </w:tc>
        <w:tc>
          <w:tcPr>
            <w:tcW w:w="1058"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14.4</w:t>
            </w:r>
          </w:p>
        </w:tc>
        <w:tc>
          <w:tcPr>
            <w:tcW w:w="1429"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51"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病房生活用水</w:t>
            </w:r>
          </w:p>
        </w:tc>
        <w:tc>
          <w:tcPr>
            <w:tcW w:w="1277"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650L/床•d</w:t>
            </w:r>
          </w:p>
        </w:tc>
        <w:tc>
          <w:tcPr>
            <w:tcW w:w="1416"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600张床</w:t>
            </w:r>
          </w:p>
        </w:tc>
        <w:tc>
          <w:tcPr>
            <w:tcW w:w="1397"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390</w:t>
            </w:r>
          </w:p>
        </w:tc>
        <w:tc>
          <w:tcPr>
            <w:tcW w:w="1058"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78</w:t>
            </w:r>
          </w:p>
        </w:tc>
        <w:tc>
          <w:tcPr>
            <w:tcW w:w="1429"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51"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食堂用水</w:t>
            </w:r>
          </w:p>
        </w:tc>
        <w:tc>
          <w:tcPr>
            <w:tcW w:w="1277"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30L/人•</w:t>
            </w:r>
            <w:r>
              <w:rPr>
                <w:rFonts w:ascii="Times New Roman" w:hAnsi="Times New Roman" w:eastAsia="宋体" w:cs="Times New Roman"/>
                <w:color w:val="000000" w:themeColor="text1"/>
                <w:szCs w:val="21"/>
              </w:rPr>
              <w:t>d</w:t>
            </w:r>
          </w:p>
        </w:tc>
        <w:tc>
          <w:tcPr>
            <w:tcW w:w="1416"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900人</w:t>
            </w:r>
          </w:p>
        </w:tc>
        <w:tc>
          <w:tcPr>
            <w:tcW w:w="1397"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27</w:t>
            </w:r>
          </w:p>
        </w:tc>
        <w:tc>
          <w:tcPr>
            <w:tcW w:w="1058"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5.4</w:t>
            </w:r>
          </w:p>
        </w:tc>
        <w:tc>
          <w:tcPr>
            <w:tcW w:w="1429"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51"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恶臭气体治理水喷淋设施补水</w:t>
            </w:r>
          </w:p>
        </w:tc>
        <w:tc>
          <w:tcPr>
            <w:tcW w:w="1277"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w:t>
            </w:r>
          </w:p>
        </w:tc>
        <w:tc>
          <w:tcPr>
            <w:tcW w:w="1416"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w:t>
            </w:r>
          </w:p>
        </w:tc>
        <w:tc>
          <w:tcPr>
            <w:tcW w:w="1397"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0.2</w:t>
            </w:r>
          </w:p>
        </w:tc>
        <w:tc>
          <w:tcPr>
            <w:tcW w:w="1058"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0.2</w:t>
            </w:r>
          </w:p>
        </w:tc>
        <w:tc>
          <w:tcPr>
            <w:tcW w:w="1429"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51"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中央空调冷却塔补水</w:t>
            </w:r>
          </w:p>
        </w:tc>
        <w:tc>
          <w:tcPr>
            <w:tcW w:w="1277"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120d</w:t>
            </w:r>
          </w:p>
        </w:tc>
        <w:tc>
          <w:tcPr>
            <w:tcW w:w="1416"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w:t>
            </w:r>
          </w:p>
        </w:tc>
        <w:tc>
          <w:tcPr>
            <w:tcW w:w="1397"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0.15</w:t>
            </w:r>
          </w:p>
        </w:tc>
        <w:tc>
          <w:tcPr>
            <w:tcW w:w="1058"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0.15</w:t>
            </w:r>
          </w:p>
        </w:tc>
        <w:tc>
          <w:tcPr>
            <w:tcW w:w="1429"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951"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合计</w:t>
            </w:r>
          </w:p>
        </w:tc>
        <w:tc>
          <w:tcPr>
            <w:tcW w:w="1277" w:type="dxa"/>
            <w:shd w:val="clear" w:color="auto" w:fill="auto"/>
            <w:vAlign w:val="center"/>
          </w:tcPr>
          <w:p>
            <w:pPr>
              <w:jc w:val="center"/>
              <w:rPr>
                <w:rFonts w:ascii="Times New Roman" w:hAnsi="Times New Roman" w:eastAsia="宋体" w:cs="Times New Roman"/>
                <w:color w:val="000000" w:themeColor="text1"/>
                <w:szCs w:val="21"/>
              </w:rPr>
            </w:pPr>
          </w:p>
        </w:tc>
        <w:tc>
          <w:tcPr>
            <w:tcW w:w="1416" w:type="dxa"/>
            <w:shd w:val="clear" w:color="auto" w:fill="auto"/>
            <w:vAlign w:val="center"/>
          </w:tcPr>
          <w:p>
            <w:pPr>
              <w:jc w:val="center"/>
              <w:rPr>
                <w:rFonts w:ascii="Times New Roman" w:hAnsi="Times New Roman" w:eastAsia="宋体" w:cs="Times New Roman"/>
                <w:color w:val="000000" w:themeColor="text1"/>
                <w:szCs w:val="21"/>
              </w:rPr>
            </w:pPr>
          </w:p>
        </w:tc>
        <w:tc>
          <w:tcPr>
            <w:tcW w:w="1397"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494.958</w:t>
            </w:r>
          </w:p>
        </w:tc>
        <w:tc>
          <w:tcPr>
            <w:tcW w:w="1058"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99.272</w:t>
            </w:r>
          </w:p>
        </w:tc>
        <w:tc>
          <w:tcPr>
            <w:tcW w:w="1429" w:type="dxa"/>
            <w:shd w:val="clear" w:color="auto" w:fill="auto"/>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395.686</w:t>
            </w:r>
          </w:p>
        </w:tc>
      </w:tr>
    </w:tbl>
    <w:p>
      <w:pPr>
        <w:spacing w:line="360" w:lineRule="auto"/>
        <w:ind w:firstLine="420" w:firstLineChars="200"/>
        <w:rPr>
          <w:rFonts w:ascii="Times New Roman" w:hAnsi="Times New Roman" w:cs="Times New Roman"/>
          <w:b/>
          <w:color w:val="000000" w:themeColor="text1"/>
          <w:szCs w:val="21"/>
        </w:rPr>
      </w:pPr>
      <w:r>
        <w:rPr>
          <w:rFonts w:hint="eastAsia" w:ascii="Times New Roman" w:hAnsi="Times New Roman" w:cs="Times New Roman"/>
          <w:b/>
          <w:color w:val="000000" w:themeColor="text1"/>
          <w:szCs w:val="21"/>
        </w:rPr>
        <w:t>注：项目中央空调冷却塔补水时间为夏季，120d。</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项目夏季</w:t>
      </w:r>
      <w:r>
        <w:rPr>
          <w:rFonts w:ascii="Times New Roman" w:hAnsi="Times New Roman" w:cs="Times New Roman"/>
          <w:color w:val="000000" w:themeColor="text1"/>
          <w:sz w:val="24"/>
          <w:szCs w:val="24"/>
        </w:rPr>
        <w:t>水量平衡图详见图3-</w:t>
      </w:r>
      <w:r>
        <w:rPr>
          <w:rFonts w:hint="eastAsia" w:ascii="Times New Roman" w:hAnsi="Times New Roman" w:cs="Times New Roman"/>
          <w:color w:val="000000" w:themeColor="text1"/>
          <w:sz w:val="24"/>
          <w:szCs w:val="24"/>
        </w:rPr>
        <w:t>1，春、秋、冬季水平衡见图3-2</w:t>
      </w:r>
      <w:r>
        <w:rPr>
          <w:rFonts w:ascii="Times New Roman" w:hAnsi="Times New Roman" w:cs="Times New Roman"/>
          <w:color w:val="000000" w:themeColor="text1"/>
          <w:sz w:val="24"/>
          <w:szCs w:val="24"/>
        </w:rPr>
        <w:t>。</w:t>
      </w:r>
    </w:p>
    <w:p>
      <w:pPr>
        <w:spacing w:line="360" w:lineRule="auto"/>
        <w:rPr>
          <w:rFonts w:ascii="Times New Roman" w:hAnsi="Times New Roman" w:cs="Times New Roman"/>
          <w:sz w:val="24"/>
          <w:szCs w:val="24"/>
        </w:rPr>
      </w:pPr>
      <w:r>
        <w:rPr>
          <w:rFonts w:ascii="Times New Roman" w:hAnsi="Times New Roman" w:cs="Times New Roman"/>
          <w:sz w:val="24"/>
          <w:szCs w:val="24"/>
        </w:rPr>
        <w:pict>
          <v:group id="_x0000_s1616" o:spid="_x0000_s1616" o:spt="203" style="position:absolute;left:0pt;margin-left:6.6pt;margin-top:14.25pt;height:316.6pt;width:405.95pt;z-index:252333056;mso-width-relative:page;mso-height-relative:page;" coordorigin="1929,1725" coordsize="8119,6332">
            <o:lock v:ext="edit"/>
            <v:shape id="_x0000_s1358" o:spid="_x0000_s1358" o:spt="202" type="#_x0000_t202" style="position:absolute;left:8073;top:1995;height:450;width:1855;" filled="f" coordsize="21600,21600">
              <v:path/>
              <v:fill on="f" focussize="0,0"/>
              <v:stroke joinstyle="miter"/>
              <v:imagedata o:title=""/>
              <o:lock v:ext="edit"/>
              <v:textbox>
                <w:txbxContent>
                  <w:p>
                    <w:pPr>
                      <w:jc w:val="center"/>
                    </w:pPr>
                    <w:r>
                      <w:rPr>
                        <w:rFonts w:hint="eastAsia"/>
                      </w:rPr>
                      <w:t>隔油池</w:t>
                    </w:r>
                  </w:p>
                </w:txbxContent>
              </v:textbox>
            </v:shape>
            <v:shape id="_x0000_s1359" o:spid="_x0000_s1359" o:spt="32" type="#_x0000_t32" style="position:absolute;left:7381;top:4114;height:5;width:692;" o:connectortype="straight" filled="f" coordsize="21600,21600">
              <v:path arrowok="t"/>
              <v:fill on="f" focussize="0,0"/>
              <v:stroke endarrow="block"/>
              <v:imagedata o:title=""/>
              <o:lock v:ext="edit"/>
            </v:shape>
            <v:shape id="_x0000_s1360" o:spid="_x0000_s1360" o:spt="32" type="#_x0000_t32" style="position:absolute;left:8970;top:2445;height:1447;width:1;" o:connectortype="straight" filled="f" coordsize="21600,21600">
              <v:path arrowok="t"/>
              <v:fill on="f" focussize="0,0"/>
              <v:stroke endarrow="block"/>
              <v:imagedata o:title=""/>
              <o:lock v:ext="edit"/>
            </v:shape>
            <v:shape id="_x0000_s1361" o:spid="_x0000_s1361" o:spt="202" type="#_x0000_t202" style="position:absolute;left:7940;top:5701;height:480;width:2108;" filled="f" stroked="f" coordsize="21600,21600">
              <v:path/>
              <v:fill on="f" focussize="0,0"/>
              <v:stroke on="f" joinstyle="miter"/>
              <v:imagedata o:title=""/>
              <o:lock v:ext="edit"/>
              <v:textbox>
                <w:txbxContent>
                  <w:p>
                    <w:pPr>
                      <w:jc w:val="center"/>
                    </w:pPr>
                    <w:r>
                      <w:rPr>
                        <w:rFonts w:hint="eastAsia"/>
                      </w:rPr>
                      <w:t>银定庄污水处理厂</w:t>
                    </w:r>
                  </w:p>
                </w:txbxContent>
              </v:textbox>
            </v:shape>
            <v:shape id="_x0000_s1362" o:spid="_x0000_s1362" o:spt="202" type="#_x0000_t202" style="position:absolute;left:7278;top:3684;height:435;width:1044;" filled="f" stroked="f" coordsize="21600,21600">
              <v:path/>
              <v:fill on="f" focussize="0,0"/>
              <v:stroke on="f" joinstyle="miter"/>
              <v:imagedata o:title=""/>
              <o:lock v:ext="edit"/>
              <v:textbox>
                <w:txbxContent>
                  <w:p>
                    <w:r>
                      <w:rPr>
                        <w:rFonts w:hint="eastAsia"/>
                      </w:rPr>
                      <w:t>374.086</w:t>
                    </w:r>
                  </w:p>
                </w:txbxContent>
              </v:textbox>
            </v:shape>
            <v:shape id="_x0000_s1363" o:spid="_x0000_s1363" o:spt="202" type="#_x0000_t202" style="position:absolute;left:8184;top:3906;height:450;width:1656;" filled="f" coordsize="21600,21600">
              <v:path/>
              <v:fill on="f" focussize="0,0"/>
              <v:stroke joinstyle="miter"/>
              <v:imagedata o:title=""/>
              <o:lock v:ext="edit"/>
              <v:textbox>
                <w:txbxContent>
                  <w:p>
                    <w:pPr>
                      <w:jc w:val="center"/>
                    </w:pPr>
                    <w:r>
                      <w:rPr>
                        <w:rFonts w:hint="eastAsia"/>
                      </w:rPr>
                      <w:t>化粪池</w:t>
                    </w:r>
                  </w:p>
                </w:txbxContent>
              </v:textbox>
            </v:shape>
            <v:shape id="_x0000_s1364" o:spid="_x0000_s1364" o:spt="202" type="#_x0000_t202" style="position:absolute;left:8073;top:4771;height:450;width:1855;" filled="f" coordsize="21600,21600">
              <v:path/>
              <v:fill on="f" focussize="0,0"/>
              <v:stroke joinstyle="miter"/>
              <v:imagedata o:title=""/>
              <o:lock v:ext="edit"/>
              <v:textbox>
                <w:txbxContent>
                  <w:p>
                    <w:pPr>
                      <w:jc w:val="center"/>
                    </w:pPr>
                    <w:r>
                      <w:rPr>
                        <w:rFonts w:hint="eastAsia"/>
                      </w:rPr>
                      <w:t>医院污水处理站</w:t>
                    </w:r>
                  </w:p>
                </w:txbxContent>
              </v:textbox>
            </v:shape>
            <v:shape id="_x0000_s1365" o:spid="_x0000_s1365" o:spt="32" type="#_x0000_t32" style="position:absolute;left:8970;top:4356;height:449;width:1;" o:connectortype="straight" filled="f" coordsize="21600,21600">
              <v:path arrowok="t"/>
              <v:fill on="f" focussize="0,0"/>
              <v:stroke endarrow="block"/>
              <v:imagedata o:title=""/>
              <o:lock v:ext="edit"/>
            </v:shape>
            <v:shape id="_x0000_s1366" o:spid="_x0000_s1366" o:spt="32" type="#_x0000_t32" style="position:absolute;left:8971;top:5221;height:539;width:0;" o:connectortype="straight" filled="f" coordsize="21600,21600">
              <v:path arrowok="t"/>
              <v:fill on="f" focussize="0,0"/>
              <v:stroke endarrow="block"/>
              <v:imagedata o:title=""/>
              <o:lock v:ext="edit"/>
            </v:shape>
            <v:shape id="_x0000_s1368" o:spid="_x0000_s1368" o:spt="202" type="#_x0000_t202" style="position:absolute;left:1929;top:3540;height:975;width:1011;" filled="f" stroked="f" coordsize="21600,21600">
              <v:path/>
              <v:fill on="f" focussize="0,0"/>
              <v:stroke on="f" joinstyle="miter"/>
              <v:imagedata o:title=""/>
              <o:lock v:ext="edit"/>
              <v:textbox>
                <w:txbxContent>
                  <w:p>
                    <w:pPr>
                      <w:jc w:val="center"/>
                    </w:pPr>
                    <w:r>
                      <w:rPr>
                        <w:rFonts w:hint="eastAsia"/>
                      </w:rPr>
                      <w:t>新鲜水</w:t>
                    </w:r>
                  </w:p>
                  <w:p>
                    <w:pPr>
                      <w:jc w:val="center"/>
                      <w:rPr>
                        <w:rFonts w:ascii="Times New Roman" w:hAnsi="Times New Roman" w:cs="Times New Roman" w:eastAsiaTheme="majorEastAsia"/>
                      </w:rPr>
                    </w:pPr>
                    <w:r>
                      <w:rPr>
                        <w:rFonts w:hint="eastAsia" w:ascii="Times New Roman" w:hAnsi="Times New Roman" w:cs="Times New Roman" w:eastAsiaTheme="majorEastAsia"/>
                      </w:rPr>
                      <w:t>494.958</w:t>
                    </w:r>
                  </w:p>
                </w:txbxContent>
              </v:textbox>
            </v:shape>
            <v:shape id="_x0000_s1369" o:spid="_x0000_s1369" o:spt="32" type="#_x0000_t32" style="position:absolute;left:3317;top:2175;flip:x;height:5120;width:43;" o:connectortype="straight" filled="f" coordsize="21600,21600">
              <v:path arrowok="t"/>
              <v:fill on="f" focussize="0,0"/>
              <v:stroke/>
              <v:imagedata o:title=""/>
              <o:lock v:ext="edit"/>
            </v:shape>
            <v:shape id="_x0000_s1370" o:spid="_x0000_s1370" o:spt="32" type="#_x0000_t32" style="position:absolute;left:3360;top:2175;height:0;width:736;" o:connectortype="straight" filled="f" coordsize="21600,21600">
              <v:path arrowok="t"/>
              <v:fill on="f" focussize="0,0"/>
              <v:stroke endarrow="block"/>
              <v:imagedata o:title=""/>
              <o:lock v:ext="edit"/>
            </v:shape>
            <v:shape id="_x0000_s1371" o:spid="_x0000_s1371" o:spt="32" type="#_x0000_t32" style="position:absolute;left:3345;top:3672;height:0;width:736;" o:connectortype="straight" filled="f" coordsize="21600,21600">
              <v:path arrowok="t"/>
              <v:fill on="f" focussize="0,0"/>
              <v:stroke endarrow="block"/>
              <v:imagedata o:title=""/>
              <o:lock v:ext="edit"/>
            </v:shape>
            <v:shape id="_x0000_s1372" o:spid="_x0000_s1372" o:spt="202" type="#_x0000_t202" style="position:absolute;left:4081;top:1968;height:450;width:2534;" filled="f" coordsize="21600,21600">
              <v:path/>
              <v:fill on="f" focussize="0,0"/>
              <v:stroke joinstyle="miter"/>
              <v:imagedata o:title=""/>
              <o:lock v:ext="edit"/>
              <v:textbox>
                <w:txbxContent>
                  <w:p>
                    <w:pPr>
                      <w:jc w:val="center"/>
                    </w:pPr>
                    <w:r>
                      <w:rPr>
                        <w:rFonts w:hint="eastAsia"/>
                      </w:rPr>
                      <w:t>食堂用水（-5.4）</w:t>
                    </w:r>
                  </w:p>
                </w:txbxContent>
              </v:textbox>
            </v:shape>
            <v:shape id="_x0000_s1373" o:spid="_x0000_s1373" o:spt="202" type="#_x0000_t202" style="position:absolute;left:4083;top:3472;height:420;width:2534;" filled="f" coordsize="21600,21600">
              <v:path/>
              <v:fill on="f" focussize="0,0"/>
              <v:stroke joinstyle="miter"/>
              <v:imagedata o:title=""/>
              <o:lock v:ext="edit"/>
              <v:textbox>
                <w:txbxContent>
                  <w:p>
                    <w:pPr>
                      <w:jc w:val="center"/>
                    </w:pPr>
                    <w:r>
                      <w:rPr>
                        <w:rFonts w:hint="eastAsia"/>
                      </w:rPr>
                      <w:t>医疗器械清洗用水（-0.3）</w:t>
                    </w:r>
                  </w:p>
                  <w:p>
                    <w:pPr>
                      <w:jc w:val="center"/>
                    </w:pPr>
                  </w:p>
                </w:txbxContent>
              </v:textbox>
            </v:shape>
            <v:shape id="_x0000_s1374" o:spid="_x0000_s1374" o:spt="202" type="#_x0000_t202" style="position:absolute;left:3392;top:3224;height:435;width:616;" filled="f" stroked="f" coordsize="21600,21600">
              <v:path/>
              <v:fill on="f" focussize="0,0"/>
              <v:stroke on="f" joinstyle="miter"/>
              <v:imagedata o:title=""/>
              <o:lock v:ext="edit"/>
              <v:textbox>
                <w:txbxContent>
                  <w:p>
                    <w:r>
                      <w:rPr>
                        <w:rFonts w:hint="eastAsia"/>
                      </w:rPr>
                      <w:t>1.5</w:t>
                    </w:r>
                  </w:p>
                </w:txbxContent>
              </v:textbox>
            </v:shape>
            <v:shape id="_x0000_s1375" o:spid="_x0000_s1375" o:spt="32" type="#_x0000_t32" style="position:absolute;left:6662;top:2160;height:1;width:1383;" o:connectortype="straight" filled="f" coordsize="21600,21600">
              <v:path arrowok="t"/>
              <v:fill on="f" focussize="0,0"/>
              <v:stroke endarrow="block"/>
              <v:imagedata o:title=""/>
              <o:lock v:ext="edit"/>
            </v:shape>
            <v:shape id="_x0000_s1376" o:spid="_x0000_s1376" o:spt="202" type="#_x0000_t202" style="position:absolute;left:6843;top:1740;height:435;width:699;" filled="f" stroked="f" coordsize="21600,21600">
              <v:path/>
              <v:fill on="f" focussize="0,0"/>
              <v:stroke on="f" joinstyle="miter"/>
              <v:imagedata o:title=""/>
              <o:lock v:ext="edit"/>
              <v:textbox>
                <w:txbxContent>
                  <w:p>
                    <w:r>
                      <w:rPr>
                        <w:rFonts w:hint="eastAsia"/>
                      </w:rPr>
                      <w:t>21.6</w:t>
                    </w:r>
                  </w:p>
                </w:txbxContent>
              </v:textbox>
            </v:shape>
            <v:shape id="_x0000_s1377" o:spid="_x0000_s1377" o:spt="202" type="#_x0000_t202" style="position:absolute;left:3360;top:1725;height:435;width:691;" filled="f" stroked="f" coordsize="21600,21600">
              <v:path/>
              <v:fill on="f" focussize="0,0"/>
              <v:stroke on="f" joinstyle="miter"/>
              <v:imagedata o:title=""/>
              <o:lock v:ext="edit"/>
              <v:textbox>
                <w:txbxContent>
                  <w:p>
                    <w:r>
                      <w:rPr>
                        <w:rFonts w:hint="eastAsia"/>
                      </w:rPr>
                      <w:t>27</w:t>
                    </w:r>
                  </w:p>
                </w:txbxContent>
              </v:textbox>
            </v:shape>
            <v:shape id="_x0000_s1378" o:spid="_x0000_s1378" o:spt="32" type="#_x0000_t32" style="position:absolute;left:3390;top:5227;height:0;width:691;" o:connectortype="straight" filled="f" coordsize="21600,21600">
              <v:path arrowok="t"/>
              <v:fill on="f" focussize="0,0"/>
              <v:stroke endarrow="block"/>
              <v:imagedata o:title=""/>
              <o:lock v:ext="edit"/>
            </v:shape>
            <v:shape id="_x0000_s1379" o:spid="_x0000_s1379" o:spt="202" type="#_x0000_t202" style="position:absolute;left:4051;top:4996;height:420;width:2534;" filled="f" coordsize="21600,21600">
              <v:path/>
              <v:fill on="f" focussize="0,0"/>
              <v:stroke joinstyle="miter"/>
              <v:imagedata o:title=""/>
              <o:lock v:ext="edit"/>
              <v:textbox>
                <w:txbxContent>
                  <w:p>
                    <w:pPr>
                      <w:jc w:val="center"/>
                    </w:pPr>
                    <w:r>
                      <w:rPr>
                        <w:rFonts w:hint="eastAsia"/>
                      </w:rPr>
                      <w:t>病房区生活用水（-78）</w:t>
                    </w:r>
                  </w:p>
                </w:txbxContent>
              </v:textbox>
            </v:shape>
            <v:shape id="_x0000_s1380" o:spid="_x0000_s1380" o:spt="202" type="#_x0000_t202" style="position:absolute;left:3342;top:4093;height:422;width:666;" filled="f" stroked="f" coordsize="21600,21600">
              <v:path/>
              <v:fill on="f" focussize="0,0"/>
              <v:stroke on="f" joinstyle="miter"/>
              <v:imagedata o:title=""/>
              <o:lock v:ext="edit"/>
              <v:textbox>
                <w:txbxContent>
                  <w:p>
                    <w:r>
                      <w:rPr>
                        <w:rFonts w:hint="eastAsia"/>
                      </w:rPr>
                      <w:t xml:space="preserve">72                                                                                                                                                                                                                                                 </w:t>
                    </w:r>
                  </w:p>
                </w:txbxContent>
              </v:textbox>
            </v:shape>
            <v:shape id="_x0000_s1381" o:spid="_x0000_s1381" o:spt="32" type="#_x0000_t32" style="position:absolute;left:2940;top:3892;height:1;width:405;" o:connectortype="straight" filled="f" coordsize="21600,21600">
              <v:path arrowok="t"/>
              <v:fill on="f" focussize="0,0"/>
              <v:stroke/>
              <v:imagedata o:title=""/>
              <o:lock v:ext="edit"/>
            </v:shape>
            <v:shape id="_x0000_s1382" o:spid="_x0000_s1382" o:spt="32" type="#_x0000_t32" style="position:absolute;left:6612;top:3672;height:0;width:704;" o:connectortype="straight" filled="f" coordsize="21600,21600">
              <v:path arrowok="t"/>
              <v:fill on="f" focussize="0,0"/>
              <v:stroke endarrow="block"/>
              <v:imagedata o:title=""/>
              <o:lock v:ext="edit"/>
            </v:shape>
            <v:shape id="_x0000_s1383" o:spid="_x0000_s1383" o:spt="202" type="#_x0000_t202" style="position:absolute;left:6662;top:4200;height:435;width:719;" filled="f" stroked="f" coordsize="21600,21600">
              <v:path/>
              <v:fill on="f" focussize="0,0"/>
              <v:stroke on="f" joinstyle="miter"/>
              <v:imagedata o:title=""/>
              <o:lock v:ext="edit"/>
              <v:textbox>
                <w:txbxContent>
                  <w:p>
                    <w:r>
                      <w:rPr>
                        <w:rFonts w:hint="eastAsia"/>
                      </w:rPr>
                      <w:t>57.6</w:t>
                    </w:r>
                  </w:p>
                </w:txbxContent>
              </v:textbox>
            </v:shape>
            <v:shape id="_x0000_s1384" o:spid="_x0000_s1384" o:spt="32" type="#_x0000_t32" style="position:absolute;left:3360;top:4515;height:0;width:691;" o:connectortype="straight" filled="f" coordsize="21600,21600">
              <v:path arrowok="t"/>
              <v:fill on="f" focussize="0,0"/>
              <v:stroke endarrow="block"/>
              <v:imagedata o:title=""/>
              <o:lock v:ext="edit"/>
            </v:shape>
            <v:shape id="_x0000_s1385" o:spid="_x0000_s1385" o:spt="202" type="#_x0000_t202" style="position:absolute;left:3342;top:4805;height:422;width:990;" filled="f" stroked="f" coordsize="21600,21600">
              <v:path/>
              <v:fill on="f" focussize="0,0"/>
              <v:stroke on="f" joinstyle="miter"/>
              <v:imagedata o:title=""/>
              <o:lock v:ext="edit"/>
              <v:textbox>
                <w:txbxContent>
                  <w:p>
                    <w:r>
                      <w:rPr>
                        <w:rFonts w:hint="eastAsia"/>
                      </w:rPr>
                      <w:t>390</w:t>
                    </w:r>
                  </w:p>
                </w:txbxContent>
              </v:textbox>
            </v:shape>
            <v:shape id="_x0000_s1386" o:spid="_x0000_s1386" o:spt="202" type="#_x0000_t202" style="position:absolute;left:4081;top:4351;height:420;width:2534;" filled="f" coordsize="21600,21600">
              <v:path/>
              <v:fill on="f" focussize="0,0"/>
              <v:stroke joinstyle="miter"/>
              <v:imagedata o:title=""/>
              <o:lock v:ext="edit"/>
              <v:textbox>
                <w:txbxContent>
                  <w:p>
                    <w:pPr>
                      <w:jc w:val="center"/>
                    </w:pPr>
                    <w:r>
                      <w:rPr>
                        <w:rFonts w:hint="eastAsia"/>
                      </w:rPr>
                      <w:t>职工生活用水（-14.4）</w:t>
                    </w:r>
                  </w:p>
                </w:txbxContent>
              </v:textbox>
            </v:shape>
            <v:shape id="_x0000_s1387" o:spid="_x0000_s1387" o:spt="32" type="#_x0000_t32" style="position:absolute;left:6617;top:4554;height:1;width:691;" o:connectortype="straight" filled="f" coordsize="21600,21600">
              <v:path arrowok="t"/>
              <v:fill on="f" focussize="0,0"/>
              <v:stroke endarrow="block"/>
              <v:imagedata o:title=""/>
              <o:lock v:ext="edit"/>
            </v:shape>
            <v:shape id="_x0000_s1388" o:spid="_x0000_s1388" o:spt="32" type="#_x0000_t32" style="position:absolute;left:6634;top:5240;height:13;width:719;" o:connectortype="straight" filled="f" coordsize="21600,21600">
              <v:path arrowok="t"/>
              <v:fill on="f" focussize="0,0"/>
              <v:stroke endarrow="block"/>
              <v:imagedata o:title=""/>
              <o:lock v:ext="edit"/>
            </v:shape>
            <v:shape id="_x0000_s1389" o:spid="_x0000_s1389" o:spt="32" type="#_x0000_t32" style="position:absolute;left:7316;top:2896;flip:x;height:2357;width:18;" o:connectortype="straight" filled="f" coordsize="21600,21600">
              <v:path arrowok="t"/>
              <v:fill on="f" focussize="0,0"/>
              <v:stroke/>
              <v:imagedata o:title=""/>
              <o:lock v:ext="edit"/>
            </v:shape>
            <v:shape id="_x0000_s1390" o:spid="_x0000_s1390" o:spt="202" type="#_x0000_t202" style="position:absolute;left:6662;top:3329;height:435;width:719;" filled="f" stroked="f" coordsize="21600,21600">
              <v:path/>
              <v:fill on="f" focussize="0,0"/>
              <v:stroke on="f" joinstyle="miter"/>
              <v:imagedata o:title=""/>
              <o:lock v:ext="edit"/>
              <v:textbox>
                <w:txbxContent>
                  <w:p>
                    <w:r>
                      <w:rPr>
                        <w:rFonts w:hint="eastAsia"/>
                      </w:rPr>
                      <w:t>1.2</w:t>
                    </w:r>
                  </w:p>
                </w:txbxContent>
              </v:textbox>
            </v:shape>
            <v:shape id="_x0000_s1391" o:spid="_x0000_s1391" o:spt="202" type="#_x0000_t202" style="position:absolute;left:6597;top:4805;height:435;width:719;" filled="f" stroked="f" coordsize="21600,21600">
              <v:path/>
              <v:fill on="f" focussize="0,0"/>
              <v:stroke on="f" joinstyle="miter"/>
              <v:imagedata o:title=""/>
              <o:lock v:ext="edit"/>
              <v:textbox>
                <w:txbxContent>
                  <w:p>
                    <w:r>
                      <w:rPr>
                        <w:rFonts w:hint="eastAsia"/>
                      </w:rPr>
                      <w:t>312</w:t>
                    </w:r>
                  </w:p>
                </w:txbxContent>
              </v:textbox>
            </v:shape>
            <v:shape id="_x0000_s1395" o:spid="_x0000_s1395" o:spt="32" type="#_x0000_t32" style="position:absolute;left:6612;top:2910;height:0;width:704;" o:connectortype="straight" filled="f" coordsize="21600,21600">
              <v:path arrowok="t"/>
              <v:fill on="f" focussize="0,0"/>
              <v:stroke endarrow="block"/>
              <v:imagedata o:title=""/>
              <o:lock v:ext="edit"/>
            </v:shape>
            <v:shape id="_x0000_s1398" o:spid="_x0000_s1398" o:spt="202" type="#_x0000_t202" style="position:absolute;left:4078;top:2685;height:420;width:2534;" filled="f" coordsize="21600,21600">
              <v:path/>
              <v:fill on="f" focussize="0,0"/>
              <v:stroke joinstyle="miter"/>
              <v:imagedata o:title=""/>
              <o:lock v:ext="edit"/>
              <v:textbox>
                <w:txbxContent>
                  <w:p>
                    <w:pPr>
                      <w:jc w:val="center"/>
                    </w:pPr>
                    <w:r>
                      <w:rPr>
                        <w:rFonts w:hint="eastAsia"/>
                      </w:rPr>
                      <w:t>门诊用水（-0.822）</w:t>
                    </w:r>
                  </w:p>
                  <w:p>
                    <w:pPr>
                      <w:jc w:val="center"/>
                    </w:pPr>
                  </w:p>
                </w:txbxContent>
              </v:textbox>
            </v:shape>
            <v:shape id="_x0000_s1399" o:spid="_x0000_s1399" o:spt="32" type="#_x0000_t32" style="position:absolute;left:3342;top:2896;height:0;width:736;" o:connectortype="straight" filled="f" coordsize="21600,21600">
              <v:path arrowok="t"/>
              <v:fill on="f" focussize="0,0"/>
              <v:stroke endarrow="block"/>
              <v:imagedata o:title=""/>
              <o:lock v:ext="edit"/>
            </v:shape>
            <v:shape id="_x0000_s1400" o:spid="_x0000_s1400" o:spt="202" type="#_x0000_t202" style="position:absolute;left:3392;top:2461;height:435;width:835;" filled="f" stroked="f" coordsize="21600,21600">
              <v:path/>
              <v:fill on="f" focussize="0,0"/>
              <v:stroke on="f" joinstyle="miter"/>
              <v:imagedata o:title=""/>
              <o:lock v:ext="edit"/>
              <v:textbox>
                <w:txbxContent>
                  <w:p>
                    <w:r>
                      <w:rPr>
                        <w:rFonts w:hint="eastAsia"/>
                      </w:rPr>
                      <w:t>4.1088</w:t>
                    </w:r>
                  </w:p>
                </w:txbxContent>
              </v:textbox>
            </v:shape>
            <v:shape id="_x0000_s1401" o:spid="_x0000_s1401" o:spt="202" type="#_x0000_t202" style="position:absolute;left:6525;top:2461;height:435;width:791;" filled="f" stroked="f" coordsize="21600,21600">
              <v:path/>
              <v:fill on="f" focussize="0,0"/>
              <v:stroke on="f" joinstyle="miter"/>
              <v:imagedata o:title=""/>
              <o:lock v:ext="edit"/>
              <v:textbox>
                <w:txbxContent>
                  <w:p>
                    <w:r>
                      <w:rPr>
                        <w:rFonts w:hint="eastAsia"/>
                      </w:rPr>
                      <w:t>3.286</w:t>
                    </w:r>
                  </w:p>
                </w:txbxContent>
              </v:textbox>
            </v:shape>
            <v:shape id="_x0000_s1402" o:spid="_x0000_s1402" o:spt="202" type="#_x0000_t202" style="position:absolute;left:8884;top:4370;height:435;width:1044;" filled="f" stroked="f" coordsize="21600,21600">
              <v:path/>
              <v:fill on="f" focussize="0,0"/>
              <v:stroke on="f" joinstyle="miter"/>
              <v:imagedata o:title=""/>
              <o:lock v:ext="edit"/>
              <v:textbox>
                <w:txbxContent>
                  <w:p>
                    <w:r>
                      <w:rPr>
                        <w:rFonts w:hint="eastAsia"/>
                      </w:rPr>
                      <w:t>395.686</w:t>
                    </w:r>
                  </w:p>
                </w:txbxContent>
              </v:textbox>
            </v:shape>
            <v:shape id="_x0000_s1559" o:spid="_x0000_s1559" o:spt="32" type="#_x0000_t32" style="position:absolute;left:3342;top:6081;height:0;width:691;" o:connectortype="straight" filled="f" coordsize="21600,21600">
              <v:path arrowok="t"/>
              <v:fill on="f" focussize="0,0"/>
              <v:stroke endarrow="block"/>
              <v:imagedata o:title=""/>
              <o:lock v:ext="edit"/>
            </v:shape>
            <v:shape id="_x0000_s1560" o:spid="_x0000_s1560" o:spt="202" type="#_x0000_t202" style="position:absolute;left:4008;top:5865;height:420;width:2534;" filled="f" coordsize="21600,21600">
              <v:path/>
              <v:fill on="f" focussize="0,0"/>
              <v:stroke joinstyle="miter"/>
              <v:imagedata o:title=""/>
              <o:lock v:ext="edit"/>
              <v:textbox>
                <w:txbxContent>
                  <w:p>
                    <w:pPr>
                      <w:jc w:val="center"/>
                    </w:pPr>
                    <w:r>
                      <w:rPr>
                        <w:rFonts w:hint="eastAsia"/>
                      </w:rPr>
                      <w:t>水喷淋设施用水（-0.2）</w:t>
                    </w:r>
                  </w:p>
                </w:txbxContent>
              </v:textbox>
            </v:shape>
            <v:shape id="_x0000_s1561" o:spid="_x0000_s1561" o:spt="202" type="#_x0000_t202" style="position:absolute;left:3359;top:5760;height:422;width:990;" filled="f" stroked="f" coordsize="21600,21600">
              <v:path/>
              <v:fill on="f" focussize="0,0"/>
              <v:stroke on="f" joinstyle="miter"/>
              <v:imagedata o:title=""/>
              <o:lock v:ext="edit"/>
              <v:textbox>
                <w:txbxContent>
                  <w:p>
                    <w:r>
                      <w:rPr>
                        <w:rFonts w:hint="eastAsia"/>
                      </w:rPr>
                      <w:t>0.2</w:t>
                    </w:r>
                  </w:p>
                </w:txbxContent>
              </v:textbox>
            </v:shape>
            <v:shape id="_x0000_s1562" o:spid="_x0000_s1562" o:spt="32" type="#_x0000_t32" style="position:absolute;left:6542;top:6106;height:0;width:342;" o:connectortype="straight" filled="f" coordsize="21600,21600">
              <v:path arrowok="t"/>
              <v:fill on="f" focussize="0,0"/>
              <v:stroke/>
              <v:imagedata o:title=""/>
              <o:lock v:ext="edit"/>
            </v:shape>
            <v:shape id="_x0000_s1563" o:spid="_x0000_s1563" o:spt="32" type="#_x0000_t32" style="position:absolute;left:6884;top:6106;height:704;width:0;" o:connectortype="straight" filled="f" coordsize="21600,21600">
              <v:path arrowok="t"/>
              <v:fill on="f" focussize="0,0"/>
              <v:stroke/>
              <v:imagedata o:title=""/>
              <o:lock v:ext="edit"/>
            </v:shape>
            <v:shape id="_x0000_s1564" o:spid="_x0000_s1564" o:spt="32" type="#_x0000_t32" style="position:absolute;left:4815;top:6810;flip:x;height:0;width:2069;" o:connectortype="straight" filled="f" coordsize="21600,21600">
              <v:path arrowok="t"/>
              <v:fill on="f" focussize="0,0"/>
              <v:stroke/>
              <v:imagedata o:title=""/>
              <o:lock v:ext="edit"/>
            </v:shape>
            <v:shape id="_x0000_s1565" o:spid="_x0000_s1565" o:spt="32" type="#_x0000_t32" style="position:absolute;left:4815;top:6285;flip:y;height:525;width:0;" o:connectortype="straight" filled="f" coordsize="21600,21600">
              <v:path arrowok="t"/>
              <v:fill on="f" focussize="0,0"/>
              <v:stroke endarrow="block"/>
              <v:imagedata o:title=""/>
              <o:lock v:ext="edit"/>
            </v:shape>
            <v:shape id="_x0000_s1566" o:spid="_x0000_s1566" o:spt="202" type="#_x0000_t202" style="position:absolute;left:5294;top:6465;height:422;width:990;" filled="f" stroked="f" coordsize="21600,21600">
              <v:path/>
              <v:fill on="f" focussize="0,0"/>
              <v:stroke on="f" joinstyle="miter"/>
              <v:imagedata o:title=""/>
              <o:lock v:ext="edit"/>
              <v:textbox>
                <w:txbxContent>
                  <w:p>
                    <w:r>
                      <w:rPr>
                        <w:rFonts w:hint="eastAsia"/>
                      </w:rPr>
                      <w:t>25</w:t>
                    </w:r>
                  </w:p>
                </w:txbxContent>
              </v:textbox>
            </v:shape>
            <v:shape id="_x0000_s1588" o:spid="_x0000_s1588" o:spt="32" type="#_x0000_t32" style="position:absolute;left:3317;top:7295;height:0;width:691;" o:connectortype="straight" filled="f" coordsize="21600,21600">
              <v:path arrowok="t"/>
              <v:fill on="f" focussize="0,0"/>
              <v:stroke endarrow="block"/>
              <v:imagedata o:title=""/>
              <o:lock v:ext="edit"/>
            </v:shape>
            <v:shape id="_x0000_s1589" o:spid="_x0000_s1589" o:spt="202" type="#_x0000_t202" style="position:absolute;left:4008;top:7065;height:420;width:3179;" filled="f" coordsize="21600,21600">
              <v:path/>
              <v:fill on="f" focussize="0,0"/>
              <v:stroke joinstyle="miter"/>
              <v:imagedata o:title=""/>
              <o:lock v:ext="edit"/>
              <v:textbox>
                <w:txbxContent>
                  <w:p>
                    <w:pPr>
                      <w:jc w:val="center"/>
                    </w:pPr>
                    <w:r>
                      <w:rPr>
                        <w:rFonts w:hint="eastAsia"/>
                      </w:rPr>
                      <w:t>中央空调冷却塔用水（-0.15）</w:t>
                    </w:r>
                  </w:p>
                </w:txbxContent>
              </v:textbox>
            </v:shape>
            <v:shape id="_x0000_s1590" o:spid="_x0000_s1590" o:spt="202" type="#_x0000_t202" style="position:absolute;left:3237;top:6887;height:422;width:990;" filled="f" stroked="f" coordsize="21600,21600">
              <v:path/>
              <v:fill on="f" focussize="0,0"/>
              <v:stroke on="f" joinstyle="miter"/>
              <v:imagedata o:title=""/>
              <o:lock v:ext="edit"/>
              <v:textbox>
                <w:txbxContent>
                  <w:p>
                    <w:r>
                      <w:rPr>
                        <w:rFonts w:hint="eastAsia"/>
                      </w:rPr>
                      <w:t>0.15</w:t>
                    </w:r>
                  </w:p>
                </w:txbxContent>
              </v:textbox>
            </v:shape>
            <v:shape id="_x0000_s1591" o:spid="_x0000_s1591" o:spt="32" type="#_x0000_t32" style="position:absolute;left:7187;top:7309;height:0;width:448;" o:connectortype="straight" filled="f" coordsize="21600,21600">
              <v:path arrowok="t"/>
              <v:fill on="f" focussize="0,0"/>
              <v:stroke/>
              <v:imagedata o:title=""/>
              <o:lock v:ext="edit"/>
            </v:shape>
            <v:shape id="_x0000_s1592" o:spid="_x0000_s1592" o:spt="32" type="#_x0000_t32" style="position:absolute;left:7635;top:7309;height:671;width:0;" o:connectortype="straight" filled="f" coordsize="21600,21600">
              <v:path arrowok="t"/>
              <v:fill on="f" focussize="0,0"/>
              <v:stroke/>
              <v:imagedata o:title=""/>
              <o:lock v:ext="edit"/>
            </v:shape>
            <v:shape id="_x0000_s1593" o:spid="_x0000_s1593" o:spt="32" type="#_x0000_t32" style="position:absolute;left:5175;top:7980;flip:x;height:0;width:2460;" o:connectortype="straight" filled="f" coordsize="21600,21600">
              <v:path arrowok="t"/>
              <v:fill on="f" focussize="0,0"/>
              <v:stroke/>
              <v:imagedata o:title=""/>
              <o:lock v:ext="edit"/>
            </v:shape>
            <v:shape id="_x0000_s1594" o:spid="_x0000_s1594" o:spt="32" type="#_x0000_t32" style="position:absolute;left:5175;top:7485;flip:y;height:495;width:0;" o:connectortype="straight" filled="f" coordsize="21600,21600">
              <v:path arrowok="t"/>
              <v:fill on="f" focussize="0,0"/>
              <v:stroke endarrow="block"/>
              <v:imagedata o:title=""/>
              <o:lock v:ext="edit"/>
            </v:shape>
            <v:shape id="_x0000_s1595" o:spid="_x0000_s1595" o:spt="202" type="#_x0000_t202" style="position:absolute;left:5595;top:7635;height:422;width:990;" filled="f" stroked="f" coordsize="21600,21600">
              <v:path/>
              <v:fill on="f" focussize="0,0"/>
              <v:stroke on="f" joinstyle="miter"/>
              <v:imagedata o:title=""/>
              <o:lock v:ext="edit"/>
              <v:textbox>
                <w:txbxContent>
                  <w:p>
                    <w:r>
                      <w:rPr>
                        <w:rFonts w:hint="eastAsia"/>
                      </w:rPr>
                      <w:t>10</w:t>
                    </w:r>
                  </w:p>
                </w:txbxContent>
              </v:textbox>
            </v:shape>
          </v:group>
        </w:pic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 </w:t>
      </w: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jc w:val="center"/>
        <w:rPr>
          <w:rFonts w:ascii="Times New Roman" w:hAnsi="Times New Roman" w:cs="Times New Roman"/>
          <w:b/>
          <w:sz w:val="24"/>
          <w:szCs w:val="24"/>
        </w:rPr>
      </w:pPr>
    </w:p>
    <w:p>
      <w:pPr>
        <w:spacing w:line="360" w:lineRule="auto"/>
        <w:ind w:firstLine="480" w:firstLineChars="200"/>
        <w:jc w:val="center"/>
        <w:rPr>
          <w:rFonts w:ascii="Times New Roman" w:hAnsi="Times New Roman" w:cs="Times New Roman"/>
          <w:b/>
          <w:sz w:val="24"/>
          <w:szCs w:val="24"/>
        </w:rPr>
      </w:pPr>
    </w:p>
    <w:p>
      <w:pPr>
        <w:spacing w:line="360" w:lineRule="auto"/>
        <w:ind w:firstLine="480" w:firstLineChars="200"/>
        <w:jc w:val="center"/>
        <w:rPr>
          <w:rFonts w:ascii="Times New Roman" w:hAnsi="Times New Roman" w:cs="Times New Roman"/>
          <w:b/>
          <w:sz w:val="24"/>
          <w:szCs w:val="24"/>
        </w:rPr>
      </w:pPr>
    </w:p>
    <w:p>
      <w:pPr>
        <w:spacing w:line="360" w:lineRule="auto"/>
        <w:rPr>
          <w:rFonts w:ascii="Times New Roman" w:hAnsi="Times New Roman" w:cs="Times New Roman"/>
          <w:b/>
          <w:sz w:val="24"/>
          <w:szCs w:val="24"/>
        </w:rPr>
      </w:pPr>
      <w:r>
        <w:rPr>
          <w:rFonts w:ascii="Times New Roman" w:hAnsi="Times New Roman" w:cs="Times New Roman"/>
          <w:b/>
          <w:sz w:val="24"/>
          <w:szCs w:val="24"/>
        </w:rPr>
        <w:pict>
          <v:shape id="文本框 817" o:spid="_x0000_s1673" o:spt="202" type="#_x0000_t202" style="position:absolute;left:0pt;margin-left:263.25pt;margin-top:8.4pt;height:30.75pt;width:181.65pt;z-index:252335104;mso-width-relative:page;mso-height-relative:page;" filled="f" stroked="f" coordsize="21600,21600">
            <v:path/>
            <v:fill on="f" focussize="0,0"/>
            <v:stroke on="f" color="#000001" joinstyle="miter"/>
            <v:imagedata o:title=""/>
            <o:lock v:ext="edit"/>
            <v:textbox>
              <w:txbxContent>
                <w:p>
                  <w:r>
                    <w:rPr>
                      <w:rFonts w:hint="eastAsia"/>
                    </w:rPr>
                    <w:t>注：“</w:t>
                  </w:r>
                  <w:r>
                    <w:rPr>
                      <w:rFonts w:hint="eastAsia" w:ascii="宋体" w:hAnsi="宋体"/>
                    </w:rPr>
                    <w:t>─</w:t>
                  </w:r>
                  <w:r>
                    <w:rPr>
                      <w:rFonts w:hint="eastAsia"/>
                    </w:rPr>
                    <w:t>”表示损耗；单位：m</w:t>
                  </w:r>
                  <w:r>
                    <w:rPr>
                      <w:rFonts w:hint="eastAsia"/>
                      <w:vertAlign w:val="superscript"/>
                    </w:rPr>
                    <w:t>3</w:t>
                  </w:r>
                  <w:r>
                    <w:rPr>
                      <w:rFonts w:hint="eastAsia"/>
                    </w:rPr>
                    <w:t>/d</w:t>
                  </w:r>
                </w:p>
              </w:txbxContent>
            </v:textbox>
          </v:shape>
        </w:pict>
      </w:r>
    </w:p>
    <w:p>
      <w:pPr>
        <w:spacing w:line="360" w:lineRule="auto"/>
        <w:rPr>
          <w:rFonts w:ascii="Times New Roman" w:hAnsi="Times New Roman" w:cs="Times New Roman"/>
          <w:b/>
          <w:sz w:val="24"/>
          <w:szCs w:val="24"/>
        </w:rPr>
      </w:pPr>
    </w:p>
    <w:p>
      <w:pPr>
        <w:spacing w:line="360" w:lineRule="auto"/>
        <w:ind w:firstLine="480" w:firstLineChars="200"/>
        <w:jc w:val="center"/>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图3-1 项目夏季水平衡图（单位：m</w:t>
      </w:r>
      <w:r>
        <w:rPr>
          <w:rFonts w:hint="eastAsia" w:ascii="Times New Roman" w:hAnsi="Times New Roman" w:cs="Times New Roman"/>
          <w:b/>
          <w:color w:val="000000" w:themeColor="text1"/>
          <w:sz w:val="24"/>
          <w:szCs w:val="24"/>
          <w:vertAlign w:val="superscript"/>
        </w:rPr>
        <w:t>3</w:t>
      </w:r>
      <w:r>
        <w:rPr>
          <w:rFonts w:hint="eastAsia" w:ascii="Times New Roman" w:hAnsi="Times New Roman" w:cs="Times New Roman"/>
          <w:b/>
          <w:color w:val="000000" w:themeColor="text1"/>
          <w:sz w:val="24"/>
          <w:szCs w:val="24"/>
        </w:rPr>
        <w:t>/d）</w:t>
      </w:r>
    </w:p>
    <w:p>
      <w:pPr>
        <w:spacing w:line="360" w:lineRule="auto"/>
        <w:rPr>
          <w:rFonts w:ascii="Times New Roman" w:hAnsi="Times New Roman" w:cs="Times New Roman"/>
          <w:b/>
          <w:sz w:val="24"/>
          <w:szCs w:val="24"/>
        </w:rPr>
      </w:pPr>
    </w:p>
    <w:p>
      <w:pPr>
        <w:spacing w:line="360" w:lineRule="auto"/>
        <w:rPr>
          <w:rFonts w:ascii="Times New Roman" w:hAnsi="Times New Roman" w:cs="Times New Roman"/>
          <w:b/>
          <w:sz w:val="24"/>
          <w:szCs w:val="24"/>
        </w:rPr>
      </w:pPr>
    </w:p>
    <w:p>
      <w:pPr>
        <w:spacing w:line="360" w:lineRule="auto"/>
        <w:rPr>
          <w:rFonts w:ascii="Times New Roman" w:hAnsi="Times New Roman" w:cs="Times New Roman"/>
          <w:b/>
          <w:sz w:val="24"/>
          <w:szCs w:val="24"/>
        </w:rPr>
      </w:pPr>
    </w:p>
    <w:p>
      <w:pPr>
        <w:spacing w:line="360" w:lineRule="auto"/>
        <w:rPr>
          <w:rFonts w:ascii="Times New Roman" w:hAnsi="Times New Roman" w:cs="Times New Roman"/>
          <w:b/>
          <w:sz w:val="24"/>
          <w:szCs w:val="24"/>
        </w:rPr>
      </w:pPr>
    </w:p>
    <w:p>
      <w:pPr>
        <w:spacing w:line="360" w:lineRule="auto"/>
        <w:rPr>
          <w:rFonts w:ascii="Times New Roman" w:hAnsi="Times New Roman" w:cs="Times New Roman"/>
          <w:b/>
          <w:sz w:val="24"/>
          <w:szCs w:val="24"/>
        </w:rPr>
      </w:pPr>
    </w:p>
    <w:p>
      <w:pPr>
        <w:spacing w:line="360" w:lineRule="auto"/>
        <w:rPr>
          <w:rFonts w:ascii="Times New Roman" w:hAnsi="Times New Roman" w:cs="Times New Roman"/>
          <w:b/>
          <w:sz w:val="24"/>
          <w:szCs w:val="24"/>
        </w:rPr>
      </w:pPr>
    </w:p>
    <w:p>
      <w:pPr>
        <w:spacing w:line="360" w:lineRule="auto"/>
        <w:rPr>
          <w:rFonts w:ascii="Times New Roman" w:hAnsi="Times New Roman" w:cs="Times New Roman"/>
          <w:b/>
          <w:sz w:val="24"/>
          <w:szCs w:val="24"/>
        </w:rPr>
      </w:pPr>
    </w:p>
    <w:p>
      <w:pPr>
        <w:spacing w:line="360" w:lineRule="auto"/>
        <w:rPr>
          <w:rFonts w:ascii="Times New Roman" w:hAnsi="Times New Roman" w:cs="Times New Roman"/>
          <w:b/>
          <w:sz w:val="24"/>
          <w:szCs w:val="24"/>
        </w:rPr>
      </w:pPr>
    </w:p>
    <w:p>
      <w:pPr>
        <w:spacing w:line="360" w:lineRule="auto"/>
        <w:rPr>
          <w:rFonts w:ascii="Times New Roman" w:hAnsi="Times New Roman" w:cs="Times New Roman"/>
          <w:b/>
          <w:sz w:val="24"/>
          <w:szCs w:val="24"/>
        </w:rPr>
      </w:pPr>
    </w:p>
    <w:p>
      <w:pPr>
        <w:spacing w:line="360" w:lineRule="auto"/>
        <w:rPr>
          <w:rFonts w:ascii="Times New Roman" w:hAnsi="Times New Roman" w:cs="Times New Roman"/>
          <w:b/>
          <w:sz w:val="24"/>
          <w:szCs w:val="24"/>
        </w:rPr>
      </w:pPr>
    </w:p>
    <w:p>
      <w:pPr>
        <w:spacing w:line="360" w:lineRule="auto"/>
        <w:rPr>
          <w:rFonts w:ascii="Times New Roman" w:hAnsi="Times New Roman" w:cs="Times New Roman"/>
          <w:b/>
          <w:sz w:val="24"/>
          <w:szCs w:val="24"/>
        </w:rPr>
      </w:pPr>
    </w:p>
    <w:p>
      <w:pPr>
        <w:spacing w:line="360" w:lineRule="auto"/>
        <w:rPr>
          <w:rFonts w:ascii="Times New Roman" w:hAnsi="Times New Roman" w:cs="Times New Roman"/>
          <w:b/>
          <w:sz w:val="24"/>
          <w:szCs w:val="24"/>
        </w:rPr>
      </w:pPr>
    </w:p>
    <w:p>
      <w:pPr>
        <w:spacing w:line="360" w:lineRule="auto"/>
        <w:rPr>
          <w:rFonts w:ascii="Times New Roman" w:hAnsi="Times New Roman" w:cs="Times New Roman"/>
          <w:b/>
          <w:sz w:val="24"/>
          <w:szCs w:val="24"/>
        </w:rPr>
      </w:pPr>
    </w:p>
    <w:p>
      <w:pPr>
        <w:spacing w:line="360" w:lineRule="auto"/>
        <w:rPr>
          <w:rFonts w:ascii="Times New Roman" w:hAnsi="Times New Roman" w:cs="Times New Roman"/>
          <w:b/>
          <w:sz w:val="24"/>
          <w:szCs w:val="24"/>
        </w:rPr>
      </w:pPr>
      <w:r>
        <w:rPr>
          <w:rFonts w:ascii="Times New Roman" w:hAnsi="Times New Roman" w:cs="Times New Roman"/>
          <w:sz w:val="24"/>
          <w:szCs w:val="24"/>
        </w:rPr>
        <w:pict>
          <v:shape id="_x0000_s1693" o:spid="_x0000_s1693" o:spt="202" type="#_x0000_t202" style="position:absolute;left:0pt;margin-left:62pt;margin-top:11.25pt;height:21.75pt;width:34.55pt;z-index:252356608;mso-width-relative:page;mso-height-relative:page;" filled="f" stroked="f" coordsize="21600,21600">
            <v:path/>
            <v:fill on="f" focussize="0,0"/>
            <v:stroke on="f" joinstyle="miter"/>
            <v:imagedata o:title=""/>
            <o:lock v:ext="edit"/>
            <v:textbox>
              <w:txbxContent>
                <w:p>
                  <w:r>
                    <w:rPr>
                      <w:rFonts w:hint="eastAsia"/>
                    </w:rPr>
                    <w:t>27</w:t>
                  </w:r>
                </w:p>
              </w:txbxContent>
            </v:textbox>
          </v:shape>
        </w:pict>
      </w:r>
      <w:r>
        <w:rPr>
          <w:rFonts w:ascii="Times New Roman" w:hAnsi="Times New Roman" w:cs="Times New Roman"/>
          <w:sz w:val="24"/>
          <w:szCs w:val="24"/>
        </w:rPr>
        <w:pict>
          <v:shape id="_x0000_s1692" o:spid="_x0000_s1692" o:spt="202" type="#_x0000_t202" style="position:absolute;left:0pt;margin-left:236.15pt;margin-top:12pt;height:21.75pt;width:34.95pt;z-index:252355584;mso-width-relative:page;mso-height-relative:page;" filled="f" stroked="f" coordsize="21600,21600">
            <v:path/>
            <v:fill on="f" focussize="0,0"/>
            <v:stroke on="f" joinstyle="miter"/>
            <v:imagedata o:title=""/>
            <o:lock v:ext="edit"/>
            <v:textbox>
              <w:txbxContent>
                <w:p>
                  <w:r>
                    <w:rPr>
                      <w:rFonts w:hint="eastAsia"/>
                    </w:rPr>
                    <w:t>21.6</w:t>
                  </w:r>
                </w:p>
              </w:txbxContent>
            </v:textbox>
          </v:shape>
        </w:pict>
      </w:r>
    </w:p>
    <w:p>
      <w:pPr>
        <w:spacing w:line="360" w:lineRule="auto"/>
        <w:rPr>
          <w:rFonts w:ascii="Times New Roman" w:hAnsi="Times New Roman" w:cs="Times New Roman"/>
          <w:b/>
          <w:sz w:val="24"/>
          <w:szCs w:val="24"/>
        </w:rPr>
      </w:pPr>
      <w:r>
        <w:rPr>
          <w:rFonts w:ascii="Times New Roman" w:hAnsi="Times New Roman" w:cs="Times New Roman"/>
          <w:b/>
          <w:sz w:val="24"/>
          <w:szCs w:val="24"/>
        </w:rPr>
        <w:pict>
          <v:shape id="_x0000_s1685" o:spid="_x0000_s1685" o:spt="32" type="#_x0000_t32" style="position:absolute;left:0pt;flip:x;margin-left:59.85pt;margin-top:10.35pt;height:196.55pt;width:2.15pt;z-index:252348416;mso-width-relative:page;mso-height-relative:page;" o:connectortype="straight" filled="f" coordsize="21600,21600">
            <v:path arrowok="t"/>
            <v:fill on="f" focussize="0,0"/>
            <v:stroke/>
            <v:imagedata o:title=""/>
            <o:lock v:ext="edit"/>
          </v:shape>
        </w:pict>
      </w:r>
      <w:r>
        <w:rPr>
          <w:rFonts w:ascii="Times New Roman" w:hAnsi="Times New Roman" w:cs="Times New Roman"/>
          <w:b/>
          <w:sz w:val="24"/>
          <w:szCs w:val="24"/>
        </w:rPr>
        <w:pict>
          <v:shape id="_x0000_s1691" o:spid="_x0000_s1691" o:spt="32" type="#_x0000_t32" style="position:absolute;left:0pt;margin-left:227.1pt;margin-top:9.6pt;height:0.05pt;width:69.15pt;z-index:252354560;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b/>
          <w:sz w:val="24"/>
          <w:szCs w:val="24"/>
        </w:rPr>
        <w:pict>
          <v:shape id="_x0000_s1688" o:spid="_x0000_s1688" o:spt="202" type="#_x0000_t202" style="position:absolute;left:0pt;margin-left:98.05pt;margin-top:0pt;height:22.5pt;width:126.7pt;z-index:252351488;mso-width-relative:page;mso-height-relative:page;" filled="f" coordsize="21600,21600">
            <v:path/>
            <v:fill on="f" focussize="0,0"/>
            <v:stroke joinstyle="miter"/>
            <v:imagedata o:title=""/>
            <o:lock v:ext="edit"/>
            <v:textbox>
              <w:txbxContent>
                <w:p>
                  <w:pPr>
                    <w:jc w:val="center"/>
                  </w:pPr>
                  <w:r>
                    <w:rPr>
                      <w:rFonts w:hint="eastAsia"/>
                    </w:rPr>
                    <w:t>食堂用水（-5.4）</w:t>
                  </w:r>
                </w:p>
              </w:txbxContent>
            </v:textbox>
          </v:shape>
        </w:pict>
      </w:r>
      <w:r>
        <w:rPr>
          <w:rFonts w:ascii="Times New Roman" w:hAnsi="Times New Roman" w:cs="Times New Roman"/>
          <w:b/>
          <w:sz w:val="24"/>
          <w:szCs w:val="24"/>
        </w:rPr>
        <w:pict>
          <v:shape id="_x0000_s1686" o:spid="_x0000_s1686" o:spt="32" type="#_x0000_t32" style="position:absolute;left:0pt;margin-left:62pt;margin-top:10.35pt;height:0pt;width:36.8pt;z-index:252349440;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b/>
          <w:sz w:val="24"/>
          <w:szCs w:val="24"/>
        </w:rPr>
        <w:pict>
          <v:shape id="_x0000_s1675" o:spid="_x0000_s1675" o:spt="202" type="#_x0000_t202" style="position:absolute;left:0pt;margin-left:297.65pt;margin-top:1.35pt;height:22.5pt;width:92.75pt;z-index:252338176;mso-width-relative:page;mso-height-relative:page;" filled="f" coordsize="21600,21600">
            <v:path/>
            <v:fill on="f" focussize="0,0"/>
            <v:stroke joinstyle="miter"/>
            <v:imagedata o:title=""/>
            <o:lock v:ext="edit"/>
            <v:textbox>
              <w:txbxContent>
                <w:p>
                  <w:pPr>
                    <w:jc w:val="center"/>
                  </w:pPr>
                  <w:r>
                    <w:rPr>
                      <w:rFonts w:hint="eastAsia"/>
                    </w:rPr>
                    <w:t>隔油池</w:t>
                  </w:r>
                </w:p>
              </w:txbxContent>
            </v:textbox>
          </v:shape>
        </w:pict>
      </w:r>
    </w:p>
    <w:p>
      <w:pPr>
        <w:spacing w:line="360" w:lineRule="auto"/>
        <w:rPr>
          <w:rFonts w:ascii="Times New Roman" w:hAnsi="Times New Roman" w:cs="Times New Roman"/>
          <w:b/>
          <w:sz w:val="24"/>
          <w:szCs w:val="24"/>
        </w:rPr>
      </w:pPr>
      <w:r>
        <w:rPr>
          <w:rFonts w:ascii="Times New Roman" w:hAnsi="Times New Roman" w:cs="Times New Roman"/>
          <w:b/>
          <w:sz w:val="24"/>
          <w:szCs w:val="24"/>
        </w:rPr>
        <w:pict>
          <v:shape id="_x0000_s1712" o:spid="_x0000_s1712" o:spt="202" type="#_x0000_t202" style="position:absolute;left:0pt;margin-left:220.25pt;margin-top:1.25pt;height:21.75pt;width:39.55pt;z-index:252376064;mso-width-relative:page;mso-height-relative:page;" filled="f" stroked="f" coordsize="21600,21600">
            <v:path/>
            <v:fill on="f" focussize="0,0"/>
            <v:stroke on="f" joinstyle="miter"/>
            <v:imagedata o:title=""/>
            <o:lock v:ext="edit"/>
            <v:textbox>
              <w:txbxContent>
                <w:p>
                  <w:r>
                    <w:rPr>
                      <w:rFonts w:hint="eastAsia"/>
                    </w:rPr>
                    <w:t>3.286</w:t>
                  </w:r>
                </w:p>
              </w:txbxContent>
            </v:textbox>
          </v:shape>
        </w:pict>
      </w:r>
      <w:r>
        <w:rPr>
          <w:rFonts w:ascii="Times New Roman" w:hAnsi="Times New Roman" w:cs="Times New Roman"/>
          <w:b/>
          <w:sz w:val="24"/>
          <w:szCs w:val="24"/>
        </w:rPr>
        <w:pict>
          <v:shape id="_x0000_s1711" o:spid="_x0000_s1711" o:spt="202" type="#_x0000_t202" style="position:absolute;left:0pt;margin-left:63.6pt;margin-top:1.25pt;height:21.75pt;width:41.75pt;z-index:252375040;mso-width-relative:page;mso-height-relative:page;" filled="f" stroked="f" coordsize="21600,21600">
            <v:path/>
            <v:fill on="f" focussize="0,0"/>
            <v:stroke on="f" joinstyle="miter"/>
            <v:imagedata o:title=""/>
            <o:lock v:ext="edit"/>
            <v:textbox>
              <w:txbxContent>
                <w:p>
                  <w:r>
                    <w:rPr>
                      <w:rFonts w:hint="eastAsia"/>
                    </w:rPr>
                    <w:t>4.1088</w:t>
                  </w:r>
                </w:p>
              </w:txbxContent>
            </v:textbox>
          </v:shape>
        </w:pict>
      </w:r>
      <w:r>
        <w:rPr>
          <w:rFonts w:ascii="Times New Roman" w:hAnsi="Times New Roman" w:cs="Times New Roman"/>
          <w:b/>
          <w:sz w:val="24"/>
          <w:szCs w:val="24"/>
        </w:rPr>
        <w:pict>
          <v:shape id="_x0000_s1710" o:spid="_x0000_s1710" o:spt="32" type="#_x0000_t32" style="position:absolute;left:0pt;margin-left:61.1pt;margin-top:23pt;height:0pt;width:36.8pt;z-index:252374016;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b/>
          <w:sz w:val="24"/>
          <w:szCs w:val="24"/>
        </w:rPr>
        <w:pict>
          <v:shape id="_x0000_s1709" o:spid="_x0000_s1709" o:spt="202" type="#_x0000_t202" style="position:absolute;left:0pt;margin-left:97.9pt;margin-top:12.45pt;height:21pt;width:126.7pt;z-index:252372992;mso-width-relative:page;mso-height-relative:page;" filled="f" coordsize="21600,21600">
            <v:path/>
            <v:fill on="f" focussize="0,0"/>
            <v:stroke joinstyle="miter"/>
            <v:imagedata o:title=""/>
            <o:lock v:ext="edit"/>
            <v:textbox>
              <w:txbxContent>
                <w:p>
                  <w:pPr>
                    <w:jc w:val="center"/>
                  </w:pPr>
                  <w:r>
                    <w:rPr>
                      <w:rFonts w:hint="eastAsia"/>
                    </w:rPr>
                    <w:t>门诊用水（-0.822）</w:t>
                  </w:r>
                </w:p>
                <w:p>
                  <w:pPr>
                    <w:jc w:val="center"/>
                  </w:pPr>
                </w:p>
              </w:txbxContent>
            </v:textbox>
          </v:shape>
        </w:pict>
      </w:r>
      <w:r>
        <w:rPr>
          <w:rFonts w:ascii="Times New Roman" w:hAnsi="Times New Roman" w:cs="Times New Roman"/>
          <w:b/>
          <w:sz w:val="24"/>
          <w:szCs w:val="24"/>
        </w:rPr>
        <w:pict>
          <v:shape id="_x0000_s1705" o:spid="_x0000_s1705" o:spt="32" type="#_x0000_t32" style="position:absolute;left:0pt;flip:x;margin-left:259.8pt;margin-top:23pt;height:117.85pt;width:0.9pt;z-index:252368896;mso-width-relative:page;mso-height-relative:page;" o:connectortype="straight" filled="f" coordsize="21600,21600">
            <v:path arrowok="t"/>
            <v:fill on="f" focussize="0,0"/>
            <v:stroke/>
            <v:imagedata o:title=""/>
            <o:lock v:ext="edit"/>
          </v:shape>
        </w:pict>
      </w:r>
      <w:r>
        <w:rPr>
          <w:rFonts w:ascii="Times New Roman" w:hAnsi="Times New Roman" w:cs="Times New Roman"/>
          <w:b/>
          <w:sz w:val="24"/>
          <w:szCs w:val="24"/>
        </w:rPr>
        <w:pict>
          <v:shape id="_x0000_s1677" o:spid="_x0000_s1677" o:spt="32" type="#_x0000_t32" style="position:absolute;left:0pt;margin-left:342.5pt;margin-top:0.45pt;height:72.35pt;width:0.05pt;z-index:252340224;mso-width-relative:page;mso-height-relative:page;" o:connectortype="straight" filled="f" coordsize="21600,21600">
            <v:path arrowok="t"/>
            <v:fill on="f" focussize="0,0"/>
            <v:stroke endarrow="block"/>
            <v:imagedata o:title=""/>
            <o:lock v:ext="edit"/>
          </v:shape>
        </w:pict>
      </w:r>
    </w:p>
    <w:p>
      <w:pPr>
        <w:spacing w:line="360" w:lineRule="auto"/>
        <w:rPr>
          <w:rFonts w:ascii="Times New Roman" w:hAnsi="Times New Roman" w:cs="Times New Roman"/>
          <w:b/>
          <w:sz w:val="24"/>
          <w:szCs w:val="24"/>
        </w:rPr>
      </w:pPr>
      <w:r>
        <w:rPr>
          <w:rFonts w:ascii="Times New Roman" w:hAnsi="Times New Roman" w:cs="Times New Roman"/>
          <w:b/>
          <w:sz w:val="24"/>
          <w:szCs w:val="24"/>
        </w:rPr>
        <w:pict>
          <v:shape id="_x0000_s1708" o:spid="_x0000_s1708" o:spt="32" type="#_x0000_t32" style="position:absolute;left:0pt;margin-left:224.6pt;margin-top:0.3pt;height:0pt;width:35.2pt;z-index:252371968;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b/>
          <w:sz w:val="24"/>
          <w:szCs w:val="24"/>
        </w:rPr>
        <w:pict>
          <v:shape id="_x0000_s1706" o:spid="_x0000_s1706" o:spt="202" type="#_x0000_t202" style="position:absolute;left:0pt;margin-left:227.1pt;margin-top:21.25pt;height:21.75pt;width:35.95pt;z-index:252369920;mso-width-relative:page;mso-height-relative:page;" filled="f" stroked="f" coordsize="21600,21600">
            <v:path/>
            <v:fill on="f" focussize="0,0"/>
            <v:stroke on="f" joinstyle="miter"/>
            <v:imagedata o:title=""/>
            <o:lock v:ext="edit"/>
            <v:textbox>
              <w:txbxContent>
                <w:p>
                  <w:r>
                    <w:rPr>
                      <w:rFonts w:hint="eastAsia"/>
                    </w:rPr>
                    <w:t>1.2</w:t>
                  </w:r>
                </w:p>
              </w:txbxContent>
            </v:textbox>
          </v:shape>
        </w:pict>
      </w:r>
      <w:r>
        <w:rPr>
          <w:rFonts w:ascii="Times New Roman" w:hAnsi="Times New Roman" w:cs="Times New Roman"/>
          <w:b/>
          <w:sz w:val="24"/>
          <w:szCs w:val="24"/>
        </w:rPr>
        <w:pict>
          <v:shape id="_x0000_s1690" o:spid="_x0000_s1690" o:spt="202" type="#_x0000_t202" style="position:absolute;left:0pt;margin-left:63.6pt;margin-top:16pt;height:21.75pt;width:30.8pt;z-index:252353536;mso-width-relative:page;mso-height-relative:page;" filled="f" stroked="f" coordsize="21600,21600">
            <v:path/>
            <v:fill on="f" focussize="0,0"/>
            <v:stroke on="f" joinstyle="miter"/>
            <v:imagedata o:title=""/>
            <o:lock v:ext="edit"/>
            <v:textbox>
              <w:txbxContent>
                <w:p>
                  <w:r>
                    <w:rPr>
                      <w:rFonts w:hint="eastAsia"/>
                    </w:rPr>
                    <w:t>1.5</w:t>
                  </w:r>
                </w:p>
              </w:txbxContent>
            </v:textbox>
          </v:shape>
        </w:pict>
      </w:r>
    </w:p>
    <w:p>
      <w:pPr>
        <w:pStyle w:val="3"/>
        <w:spacing w:before="0" w:after="0" w:line="415" w:lineRule="auto"/>
        <w:rPr>
          <w:rFonts w:ascii="Times New Roman" w:hAnsi="Times New Roman" w:cs="Times New Roman"/>
          <w:sz w:val="24"/>
          <w:szCs w:val="24"/>
        </w:rPr>
      </w:pPr>
      <w:r>
        <w:rPr>
          <w:rFonts w:ascii="Times New Roman" w:hAnsi="Times New Roman" w:cs="Times New Roman"/>
          <w:sz w:val="24"/>
          <w:szCs w:val="24"/>
        </w:rPr>
        <w:pict>
          <v:shape id="_x0000_s1698" o:spid="_x0000_s1698" o:spt="32" type="#_x0000_t32" style="position:absolute;left:0pt;margin-left:224.6pt;margin-top:15pt;height:0pt;width:35.2pt;z-index:252361728;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sz w:val="24"/>
          <w:szCs w:val="24"/>
        </w:rPr>
        <w:pict>
          <v:shape id="_x0000_s1697" o:spid="_x0000_s1697" o:spt="32" type="#_x0000_t32" style="position:absolute;left:0pt;margin-left:41pt;margin-top:26pt;height:0.05pt;width:20.25pt;z-index:252360704;mso-width-relative:page;mso-height-relative:page;" o:connectortype="straight" filled="f" coordsize="21600,21600">
            <v:path arrowok="t"/>
            <v:fill on="f" focussize="0,0"/>
            <v:stroke/>
            <v:imagedata o:title=""/>
            <o:lock v:ext="edit"/>
          </v:shape>
        </w:pict>
      </w:r>
      <w:r>
        <w:rPr>
          <w:rFonts w:ascii="Times New Roman" w:hAnsi="Times New Roman" w:cs="Times New Roman"/>
          <w:sz w:val="24"/>
          <w:szCs w:val="24"/>
        </w:rPr>
        <w:pict>
          <v:shape id="_x0000_s1689" o:spid="_x0000_s1689" o:spt="202" type="#_x0000_t202" style="position:absolute;left:0pt;margin-left:98.15pt;margin-top:5pt;height:21pt;width:126.7pt;z-index:252352512;mso-width-relative:page;mso-height-relative:page;" filled="f" coordsize="21600,21600">
            <v:path/>
            <v:fill on="f" focussize="0,0"/>
            <v:stroke joinstyle="miter"/>
            <v:imagedata o:title=""/>
            <o:lock v:ext="edit"/>
            <v:textbox>
              <w:txbxContent>
                <w:p>
                  <w:pPr>
                    <w:jc w:val="center"/>
                  </w:pPr>
                  <w:r>
                    <w:rPr>
                      <w:rFonts w:hint="eastAsia"/>
                    </w:rPr>
                    <w:t>医疗器械清洗用水（-0.3）</w:t>
                  </w:r>
                </w:p>
                <w:p>
                  <w:pPr>
                    <w:jc w:val="center"/>
                  </w:pPr>
                </w:p>
              </w:txbxContent>
            </v:textbox>
          </v:shape>
        </w:pict>
      </w:r>
      <w:r>
        <w:rPr>
          <w:rFonts w:ascii="Times New Roman" w:hAnsi="Times New Roman" w:cs="Times New Roman"/>
          <w:sz w:val="24"/>
          <w:szCs w:val="24"/>
        </w:rPr>
        <w:pict>
          <v:shape id="_x0000_s1687" o:spid="_x0000_s1687" o:spt="32" type="#_x0000_t32" style="position:absolute;left:0pt;margin-left:61.25pt;margin-top:15pt;height:0pt;width:36.8pt;z-index:252350464;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sz w:val="24"/>
          <w:szCs w:val="24"/>
        </w:rPr>
        <w:pict>
          <v:shape id="_x0000_s1684" o:spid="_x0000_s1684" o:spt="202" type="#_x0000_t202" style="position:absolute;left:0pt;margin-left:-9.55pt;margin-top:8.4pt;height:48.75pt;width:50.55pt;z-index:252347392;mso-width-relative:page;mso-height-relative:page;" filled="f" stroked="f" coordsize="21600,21600">
            <v:path/>
            <v:fill on="f" focussize="0,0"/>
            <v:stroke on="f" joinstyle="miter"/>
            <v:imagedata o:title=""/>
            <o:lock v:ext="edit"/>
            <v:textbox>
              <w:txbxContent>
                <w:p>
                  <w:pPr>
                    <w:jc w:val="center"/>
                  </w:pPr>
                  <w:r>
                    <w:rPr>
                      <w:rFonts w:hint="eastAsia"/>
                    </w:rPr>
                    <w:t>新鲜水</w:t>
                  </w:r>
                </w:p>
                <w:p>
                  <w:pPr>
                    <w:jc w:val="center"/>
                    <w:rPr>
                      <w:rFonts w:ascii="Times New Roman" w:hAnsi="Times New Roman" w:cs="Times New Roman" w:eastAsiaTheme="majorEastAsia"/>
                    </w:rPr>
                  </w:pPr>
                  <w:r>
                    <w:rPr>
                      <w:rFonts w:hint="eastAsia" w:ascii="Times New Roman" w:hAnsi="Times New Roman" w:cs="Times New Roman" w:eastAsiaTheme="majorEastAsia"/>
                    </w:rPr>
                    <w:t>494.808</w:t>
                  </w:r>
                </w:p>
              </w:txbxContent>
            </v:textbox>
          </v:shape>
        </w:pict>
      </w:r>
      <w:r>
        <w:rPr>
          <w:rFonts w:ascii="Times New Roman" w:hAnsi="Times New Roman" w:cs="Times New Roman"/>
          <w:sz w:val="24"/>
          <w:szCs w:val="24"/>
        </w:rPr>
        <w:pict>
          <v:shape id="_x0000_s1680" o:spid="_x0000_s1680" o:spt="202" type="#_x0000_t202" style="position:absolute;left:0pt;margin-left:303.2pt;margin-top:26.7pt;height:22.5pt;width:82.8pt;z-index:252343296;mso-width-relative:page;mso-height-relative:page;" filled="f" coordsize="21600,21600">
            <v:path/>
            <v:fill on="f" focussize="0,0"/>
            <v:stroke joinstyle="miter"/>
            <v:imagedata o:title=""/>
            <o:lock v:ext="edit"/>
            <v:textbox>
              <w:txbxContent>
                <w:p>
                  <w:pPr>
                    <w:jc w:val="center"/>
                  </w:pPr>
                  <w:r>
                    <w:rPr>
                      <w:rFonts w:hint="eastAsia"/>
                    </w:rPr>
                    <w:t>化粪池</w:t>
                  </w:r>
                </w:p>
              </w:txbxContent>
            </v:textbox>
          </v:shape>
        </w:pict>
      </w:r>
      <w:r>
        <w:rPr>
          <w:rFonts w:ascii="Times New Roman" w:hAnsi="Times New Roman" w:cs="Times New Roman"/>
          <w:sz w:val="24"/>
          <w:szCs w:val="24"/>
        </w:rPr>
        <w:pict>
          <v:shape id="_x0000_s1679" o:spid="_x0000_s1679" o:spt="202" type="#_x0000_t202" style="position:absolute;left:0pt;margin-left:257.9pt;margin-top:15.6pt;height:21.75pt;width:52.2pt;z-index:252342272;mso-width-relative:page;mso-height-relative:page;" filled="f" stroked="f" coordsize="21600,21600">
            <v:path/>
            <v:fill on="f" focussize="0,0"/>
            <v:stroke on="f" joinstyle="miter"/>
            <v:imagedata o:title=""/>
            <o:lock v:ext="edit"/>
            <v:textbox>
              <w:txbxContent>
                <w:p>
                  <w:r>
                    <w:rPr>
                      <w:rFonts w:hint="eastAsia"/>
                    </w:rPr>
                    <w:t>374.086</w:t>
                  </w:r>
                </w:p>
              </w:txbxContent>
            </v:textbox>
          </v:shape>
        </w:pict>
      </w:r>
    </w:p>
    <w:p>
      <w:pPr>
        <w:pStyle w:val="3"/>
        <w:spacing w:before="0" w:after="0" w:line="415" w:lineRule="auto"/>
        <w:rPr>
          <w:rFonts w:ascii="Times New Roman" w:hAnsi="Times New Roman" w:cs="Times New Roman"/>
          <w:sz w:val="24"/>
          <w:szCs w:val="24"/>
        </w:rPr>
      </w:pPr>
      <w:r>
        <w:rPr>
          <w:rFonts w:ascii="Times New Roman" w:hAnsi="Times New Roman" w:cs="Times New Roman"/>
          <w:sz w:val="24"/>
          <w:szCs w:val="24"/>
        </w:rPr>
        <w:pict>
          <v:shape id="_x0000_s1713" o:spid="_x0000_s1713" o:spt="202" type="#_x0000_t202" style="position:absolute;left:0pt;margin-left:338.2pt;margin-top:22.95pt;height:21.75pt;width:52.2pt;z-index:252377088;mso-width-relative:page;mso-height-relative:page;" filled="f" stroked="f" coordsize="21600,21600">
            <v:path/>
            <v:fill on="f" focussize="0,0"/>
            <v:stroke on="f" joinstyle="miter"/>
            <v:imagedata o:title=""/>
            <o:lock v:ext="edit"/>
            <v:textbox>
              <w:txbxContent>
                <w:p>
                  <w:r>
                    <w:rPr>
                      <w:rFonts w:hint="eastAsia"/>
                    </w:rPr>
                    <w:t>395.686</w:t>
                  </w:r>
                </w:p>
              </w:txbxContent>
            </v:textbox>
          </v:shape>
        </w:pict>
      </w:r>
      <w:r>
        <w:rPr>
          <w:rFonts w:ascii="Times New Roman" w:hAnsi="Times New Roman" w:cs="Times New Roman"/>
          <w:sz w:val="24"/>
          <w:szCs w:val="24"/>
        </w:rPr>
        <w:pict>
          <v:shape id="_x0000_s1702" o:spid="_x0000_s1702" o:spt="202" type="#_x0000_t202" style="position:absolute;left:0pt;margin-left:98.05pt;margin-top:22pt;height:21pt;width:126.7pt;z-index:252365824;mso-width-relative:page;mso-height-relative:page;" filled="f" coordsize="21600,21600">
            <v:path/>
            <v:fill on="f" focussize="0,0"/>
            <v:stroke joinstyle="miter"/>
            <v:imagedata o:title=""/>
            <o:lock v:ext="edit"/>
            <v:textbox>
              <w:txbxContent>
                <w:p>
                  <w:pPr>
                    <w:jc w:val="center"/>
                  </w:pPr>
                  <w:r>
                    <w:rPr>
                      <w:rFonts w:hint="eastAsia"/>
                    </w:rPr>
                    <w:t>职工生活用水（-14.4）</w:t>
                  </w:r>
                </w:p>
              </w:txbxContent>
            </v:textbox>
          </v:shape>
        </w:pict>
      </w:r>
      <w:r>
        <w:rPr>
          <w:rFonts w:ascii="Times New Roman" w:hAnsi="Times New Roman" w:cs="Times New Roman"/>
          <w:sz w:val="24"/>
          <w:szCs w:val="24"/>
        </w:rPr>
        <w:pict>
          <v:shape id="_x0000_s1699" o:spid="_x0000_s1699" o:spt="202" type="#_x0000_t202" style="position:absolute;left:0pt;margin-left:227.1pt;margin-top:14.45pt;height:21.75pt;width:35.95pt;z-index:252362752;mso-width-relative:page;mso-height-relative:page;" filled="f" stroked="f" coordsize="21600,21600">
            <v:path/>
            <v:fill on="f" focussize="0,0"/>
            <v:stroke on="f" joinstyle="miter"/>
            <v:imagedata o:title=""/>
            <o:lock v:ext="edit"/>
            <v:textbox>
              <w:txbxContent>
                <w:p>
                  <w:r>
                    <w:rPr>
                      <w:rFonts w:hint="eastAsia"/>
                    </w:rPr>
                    <w:t>57.6</w:t>
                  </w:r>
                </w:p>
              </w:txbxContent>
            </v:textbox>
          </v:shape>
        </w:pict>
      </w:r>
      <w:r>
        <w:rPr>
          <w:rFonts w:ascii="Times New Roman" w:hAnsi="Times New Roman" w:cs="Times New Roman"/>
          <w:sz w:val="24"/>
          <w:szCs w:val="24"/>
        </w:rPr>
        <w:pict>
          <v:shape id="_x0000_s1696" o:spid="_x0000_s1696" o:spt="202" type="#_x0000_t202" style="position:absolute;left:0pt;margin-left:61.1pt;margin-top:9.1pt;height:21.1pt;width:33.3pt;z-index:252359680;mso-width-relative:page;mso-height-relative:page;" filled="f" stroked="f" coordsize="21600,21600">
            <v:path/>
            <v:fill on="f" focussize="0,0"/>
            <v:stroke on="f" joinstyle="miter"/>
            <v:imagedata o:title=""/>
            <o:lock v:ext="edit"/>
            <v:textbox>
              <w:txbxContent>
                <w:p>
                  <w:r>
                    <w:rPr>
                      <w:rFonts w:hint="eastAsia"/>
                    </w:rPr>
                    <w:t xml:space="preserve">72                                                                                                                                                                                                                                                 </w:t>
                  </w:r>
                </w:p>
              </w:txbxContent>
            </v:textbox>
          </v:shape>
        </w:pict>
      </w:r>
      <w:r>
        <w:rPr>
          <w:rFonts w:ascii="Times New Roman" w:hAnsi="Times New Roman" w:cs="Times New Roman"/>
          <w:sz w:val="24"/>
          <w:szCs w:val="24"/>
        </w:rPr>
        <w:pict>
          <v:shape id="_x0000_s1682" o:spid="_x0000_s1682" o:spt="32" type="#_x0000_t32" style="position:absolute;left:0pt;margin-left:342.5pt;margin-top:22.25pt;height:22.45pt;width:0.05pt;z-index:252345344;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sz w:val="24"/>
          <w:szCs w:val="24"/>
        </w:rPr>
        <w:pict>
          <v:shape id="_x0000_s1676" o:spid="_x0000_s1676" o:spt="32" type="#_x0000_t32" style="position:absolute;left:0pt;margin-left:263.05pt;margin-top:10.15pt;height:0.25pt;width:34.6pt;z-index:252339200;mso-width-relative:page;mso-height-relative:page;" o:connectortype="straight" filled="f" coordsize="21600,21600">
            <v:path arrowok="t"/>
            <v:fill on="f" focussize="0,0"/>
            <v:stroke endarrow="block"/>
            <v:imagedata o:title=""/>
            <o:lock v:ext="edit"/>
          </v:shape>
        </w:pict>
      </w:r>
    </w:p>
    <w:p>
      <w:pPr>
        <w:pStyle w:val="3"/>
        <w:spacing w:before="0" w:after="0" w:line="415" w:lineRule="auto"/>
        <w:rPr>
          <w:rFonts w:ascii="Times New Roman" w:hAnsi="Times New Roman" w:cs="Times New Roman"/>
          <w:sz w:val="24"/>
          <w:szCs w:val="24"/>
        </w:rPr>
      </w:pPr>
      <w:r>
        <w:rPr>
          <w:rFonts w:ascii="Times New Roman" w:hAnsi="Times New Roman" w:cs="Times New Roman"/>
          <w:sz w:val="24"/>
          <w:szCs w:val="24"/>
        </w:rPr>
        <w:pict>
          <v:shape id="_x0000_s1707" o:spid="_x0000_s1707" o:spt="202" type="#_x0000_t202" style="position:absolute;left:0pt;margin-left:223.85pt;margin-top:17.7pt;height:21.75pt;width:35.95pt;z-index:252370944;mso-width-relative:page;mso-height-relative:page;" filled="f" stroked="f" coordsize="21600,21600">
            <v:path/>
            <v:fill on="f" focussize="0,0"/>
            <v:stroke on="f" joinstyle="miter"/>
            <v:imagedata o:title=""/>
            <o:lock v:ext="edit"/>
            <v:textbox>
              <w:txbxContent>
                <w:p>
                  <w:r>
                    <w:rPr>
                      <w:rFonts w:hint="eastAsia"/>
                    </w:rPr>
                    <w:t>312</w:t>
                  </w:r>
                </w:p>
              </w:txbxContent>
            </v:textbox>
          </v:shape>
        </w:pict>
      </w:r>
      <w:r>
        <w:rPr>
          <w:rFonts w:ascii="Times New Roman" w:hAnsi="Times New Roman" w:cs="Times New Roman"/>
          <w:sz w:val="24"/>
          <w:szCs w:val="24"/>
        </w:rPr>
        <w:pict>
          <v:shape id="_x0000_s1703" o:spid="_x0000_s1703" o:spt="32" type="#_x0000_t32" style="position:absolute;left:0pt;margin-left:224.85pt;margin-top:5.15pt;height:0.05pt;width:34.55pt;z-index:252366848;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sz w:val="24"/>
          <w:szCs w:val="24"/>
        </w:rPr>
        <w:pict>
          <v:shape id="_x0000_s1701" o:spid="_x0000_s1701" o:spt="202" type="#_x0000_t202" style="position:absolute;left:0pt;margin-left:61.1pt;margin-top:17.7pt;height:21.1pt;width:49.5pt;z-index:252364800;mso-width-relative:page;mso-height-relative:page;" filled="f" stroked="f" coordsize="21600,21600">
            <v:path/>
            <v:fill on="f" focussize="0,0"/>
            <v:stroke on="f" joinstyle="miter"/>
            <v:imagedata o:title=""/>
            <o:lock v:ext="edit"/>
            <v:textbox>
              <w:txbxContent>
                <w:p>
                  <w:r>
                    <w:rPr>
                      <w:rFonts w:hint="eastAsia"/>
                    </w:rPr>
                    <w:t>390</w:t>
                  </w:r>
                </w:p>
              </w:txbxContent>
            </v:textbox>
          </v:shape>
        </w:pict>
      </w:r>
      <w:r>
        <w:rPr>
          <w:rFonts w:ascii="Times New Roman" w:hAnsi="Times New Roman" w:cs="Times New Roman"/>
          <w:sz w:val="24"/>
          <w:szCs w:val="24"/>
        </w:rPr>
        <w:pict>
          <v:shape id="_x0000_s1700" o:spid="_x0000_s1700" o:spt="32" type="#_x0000_t32" style="position:absolute;left:0pt;margin-left:62pt;margin-top:3.2pt;height:0pt;width:34.55pt;z-index:252363776;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sz w:val="24"/>
          <w:szCs w:val="24"/>
        </w:rPr>
        <w:pict>
          <v:shape id="_x0000_s1681" o:spid="_x0000_s1681" o:spt="202" type="#_x0000_t202" style="position:absolute;left:0pt;margin-left:297.65pt;margin-top:16pt;height:22.5pt;width:92.75pt;z-index:252344320;mso-width-relative:page;mso-height-relative:page;" filled="f" coordsize="21600,21600">
            <v:path/>
            <v:fill on="f" focussize="0,0"/>
            <v:stroke joinstyle="miter"/>
            <v:imagedata o:title=""/>
            <o:lock v:ext="edit"/>
            <v:textbox>
              <w:txbxContent>
                <w:p>
                  <w:pPr>
                    <w:jc w:val="center"/>
                  </w:pPr>
                  <w:r>
                    <w:rPr>
                      <w:rFonts w:hint="eastAsia"/>
                    </w:rPr>
                    <w:t>医院污水处理站</w:t>
                  </w:r>
                </w:p>
              </w:txbxContent>
            </v:textbox>
          </v:shape>
        </w:pict>
      </w:r>
    </w:p>
    <w:p>
      <w:pPr>
        <w:pStyle w:val="3"/>
        <w:spacing w:before="0" w:after="0" w:line="415" w:lineRule="auto"/>
        <w:rPr>
          <w:rFonts w:ascii="Times New Roman" w:hAnsi="Times New Roman" w:cs="Times New Roman"/>
          <w:sz w:val="24"/>
          <w:szCs w:val="24"/>
        </w:rPr>
      </w:pPr>
      <w:r>
        <w:rPr>
          <w:rFonts w:ascii="Times New Roman" w:hAnsi="Times New Roman" w:cs="Times New Roman"/>
          <w:sz w:val="24"/>
          <w:szCs w:val="24"/>
        </w:rPr>
        <w:pict>
          <v:shape id="_x0000_s1704" o:spid="_x0000_s1704" o:spt="32" type="#_x0000_t32" style="position:absolute;left:0pt;margin-left:225.7pt;margin-top:12.5pt;height:0.65pt;width:35.95pt;z-index:252367872;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sz w:val="24"/>
          <w:szCs w:val="24"/>
        </w:rPr>
        <w:pict>
          <v:shape id="_x0000_s1695" o:spid="_x0000_s1695" o:spt="202" type="#_x0000_t202" style="position:absolute;left:0pt;margin-left:96.55pt;margin-top:0.3pt;height:21pt;width:126.7pt;z-index:252358656;mso-width-relative:page;mso-height-relative:page;" filled="f" coordsize="21600,21600">
            <v:path/>
            <v:fill on="f" focussize="0,0"/>
            <v:stroke joinstyle="miter"/>
            <v:imagedata o:title=""/>
            <o:lock v:ext="edit"/>
            <v:textbox>
              <w:txbxContent>
                <w:p>
                  <w:pPr>
                    <w:jc w:val="center"/>
                  </w:pPr>
                  <w:r>
                    <w:rPr>
                      <w:rFonts w:hint="eastAsia"/>
                    </w:rPr>
                    <w:t>病房区生活用水（-78）</w:t>
                  </w:r>
                </w:p>
              </w:txbxContent>
            </v:textbox>
          </v:shape>
        </w:pict>
      </w:r>
      <w:r>
        <w:rPr>
          <w:rFonts w:ascii="Times New Roman" w:hAnsi="Times New Roman" w:cs="Times New Roman"/>
          <w:sz w:val="24"/>
          <w:szCs w:val="24"/>
        </w:rPr>
        <w:pict>
          <v:shape id="_x0000_s1694" o:spid="_x0000_s1694" o:spt="32" type="#_x0000_t32" style="position:absolute;left:0pt;margin-left:63.5pt;margin-top:11.85pt;height:0pt;width:34.55pt;z-index:252357632;mso-width-relative:page;mso-height-relative:page;" o:connectortype="straight" filled="f" coordsize="21600,21600">
            <v:path arrowok="t"/>
            <v:fill on="f" focussize="0,0"/>
            <v:stroke endarrow="block"/>
            <v:imagedata o:title=""/>
            <o:lock v:ext="edit"/>
          </v:shape>
        </w:pict>
      </w:r>
      <w:r>
        <w:rPr>
          <w:rFonts w:ascii="Times New Roman" w:hAnsi="Times New Roman" w:cs="Times New Roman"/>
          <w:sz w:val="24"/>
          <w:szCs w:val="24"/>
        </w:rPr>
        <w:pict>
          <v:shape id="_x0000_s1683" o:spid="_x0000_s1683" o:spt="32" type="#_x0000_t32" style="position:absolute;left:0pt;margin-left:342.55pt;margin-top:11.55pt;height:26.95pt;width:0pt;z-index:252346368;mso-width-relative:page;mso-height-relative:page;" o:connectortype="straight" filled="f" coordsize="21600,21600">
            <v:path arrowok="t"/>
            <v:fill on="f" focussize="0,0"/>
            <v:stroke endarrow="block"/>
            <v:imagedata o:title=""/>
            <o:lock v:ext="edit"/>
          </v:shape>
        </w:pict>
      </w:r>
    </w:p>
    <w:p>
      <w:r>
        <w:pict>
          <v:shape id="_x0000_s1716" o:spid="_x0000_s1716" o:spt="202" type="#_x0000_t202" style="position:absolute;left:0pt;margin-left:61.95pt;margin-top:11.5pt;height:21.1pt;width:49.5pt;z-index:252380160;mso-width-relative:page;mso-height-relative:page;" filled="f" stroked="f" coordsize="21600,21600">
            <v:path/>
            <v:fill on="f" focussize="0,0"/>
            <v:stroke on="f" joinstyle="miter"/>
            <v:imagedata o:title=""/>
            <o:lock v:ext="edit"/>
            <v:textbox>
              <w:txbxContent>
                <w:p>
                  <w:r>
                    <w:rPr>
                      <w:rFonts w:hint="eastAsia"/>
                    </w:rPr>
                    <w:t>0.2</w:t>
                  </w:r>
                </w:p>
              </w:txbxContent>
            </v:textbox>
          </v:shape>
        </w:pict>
      </w:r>
      <w:r>
        <w:pict>
          <v:shape id="_x0000_s1678" o:spid="_x0000_s1678" o:spt="202" type="#_x0000_t202" style="position:absolute;left:0pt;margin-left:291pt;margin-top:8.55pt;height:24pt;width:105.4pt;z-index:252341248;mso-width-relative:page;mso-height-relative:page;" filled="f" stroked="f" coordsize="21600,21600">
            <v:path/>
            <v:fill on="f" focussize="0,0"/>
            <v:stroke on="f" joinstyle="miter"/>
            <v:imagedata o:title=""/>
            <o:lock v:ext="edit"/>
            <v:textbox>
              <w:txbxContent>
                <w:p>
                  <w:pPr>
                    <w:jc w:val="center"/>
                  </w:pPr>
                  <w:r>
                    <w:rPr>
                      <w:rFonts w:hint="eastAsia"/>
                    </w:rPr>
                    <w:t>银定庄污水处理厂</w:t>
                  </w:r>
                </w:p>
              </w:txbxContent>
            </v:textbox>
          </v:shape>
        </w:pict>
      </w:r>
    </w:p>
    <w:p>
      <w:r>
        <w:pict>
          <v:shape id="_x0000_s1718" o:spid="_x0000_s1718" o:spt="32" type="#_x0000_t32" style="position:absolute;left:0pt;margin-left:238.2pt;margin-top:13.2pt;height:35.2pt;width:0pt;z-index:252382208;mso-width-relative:page;mso-height-relative:page;" o:connectortype="straight" filled="f" coordsize="21600,21600">
            <v:path arrowok="t"/>
            <v:fill on="f" focussize="0,0"/>
            <v:stroke/>
            <v:imagedata o:title=""/>
            <o:lock v:ext="edit"/>
          </v:shape>
        </w:pict>
      </w:r>
      <w:r>
        <w:pict>
          <v:shape id="_x0000_s1717" o:spid="_x0000_s1717" o:spt="32" type="#_x0000_t32" style="position:absolute;left:0pt;margin-left:221.1pt;margin-top:13.2pt;height:0pt;width:17.1pt;z-index:252381184;mso-width-relative:page;mso-height-relative:page;" o:connectortype="straight" filled="f" coordsize="21600,21600">
            <v:path arrowok="t"/>
            <v:fill on="f" focussize="0,0"/>
            <v:stroke/>
            <v:imagedata o:title=""/>
            <o:lock v:ext="edit"/>
          </v:shape>
        </w:pict>
      </w:r>
      <w:r>
        <w:pict>
          <v:shape id="_x0000_s1715" o:spid="_x0000_s1715" o:spt="202" type="#_x0000_t202" style="position:absolute;left:0pt;margin-left:94.4pt;margin-top:1.15pt;height:21pt;width:126.7pt;z-index:252379136;mso-width-relative:page;mso-height-relative:page;" filled="f" coordsize="21600,21600">
            <v:path/>
            <v:fill on="f" focussize="0,0"/>
            <v:stroke joinstyle="miter"/>
            <v:imagedata o:title=""/>
            <o:lock v:ext="edit"/>
            <v:textbox>
              <w:txbxContent>
                <w:p>
                  <w:pPr>
                    <w:jc w:val="center"/>
                  </w:pPr>
                  <w:r>
                    <w:rPr>
                      <w:rFonts w:hint="eastAsia"/>
                    </w:rPr>
                    <w:t>水喷淋设施用水（-0.2）</w:t>
                  </w:r>
                </w:p>
              </w:txbxContent>
            </v:textbox>
          </v:shape>
        </w:pict>
      </w:r>
      <w:r>
        <w:pict>
          <v:shape id="_x0000_s1714" o:spid="_x0000_s1714" o:spt="32" type="#_x0000_t32" style="position:absolute;left:0pt;margin-left:61.1pt;margin-top:11.95pt;height:0pt;width:34.55pt;z-index:252378112;mso-width-relative:page;mso-height-relative:page;" o:connectortype="straight" filled="f" coordsize="21600,21600">
            <v:path arrowok="t"/>
            <v:fill on="f" focussize="0,0"/>
            <v:stroke endarrow="block"/>
            <v:imagedata o:title=""/>
            <o:lock v:ext="edit"/>
          </v:shape>
        </w:pict>
      </w:r>
    </w:p>
    <w:p>
      <w:r>
        <w:pict>
          <v:shape id="_x0000_s1720" o:spid="_x0000_s1720" o:spt="32" type="#_x0000_t32" style="position:absolute;left:0pt;flip:y;margin-left:134.75pt;margin-top:6.55pt;height:26.25pt;width:0pt;z-index:252384256;mso-width-relative:page;mso-height-relative:page;" o:connectortype="straight" filled="f" coordsize="21600,21600">
            <v:path arrowok="t"/>
            <v:fill on="f" focussize="0,0"/>
            <v:stroke endarrow="block"/>
            <v:imagedata o:title=""/>
            <o:lock v:ext="edit"/>
          </v:shape>
        </w:pict>
      </w:r>
    </w:p>
    <w:p>
      <w:r>
        <w:pict>
          <v:shape id="_x0000_s1721" o:spid="_x0000_s1721" o:spt="202" type="#_x0000_t202" style="position:absolute;left:0pt;margin-left:158.7pt;margin-top:-0.05pt;height:21.1pt;width:49.5pt;z-index:252385280;mso-width-relative:page;mso-height-relative:page;" filled="f" stroked="f" coordsize="21600,21600">
            <v:path/>
            <v:fill on="f" focussize="0,0"/>
            <v:stroke on="f" joinstyle="miter"/>
            <v:imagedata o:title=""/>
            <o:lock v:ext="edit"/>
            <v:textbox>
              <w:txbxContent>
                <w:p>
                  <w:r>
                    <w:rPr>
                      <w:rFonts w:hint="eastAsia"/>
                    </w:rPr>
                    <w:t>25</w:t>
                  </w:r>
                </w:p>
              </w:txbxContent>
            </v:textbox>
          </v:shape>
        </w:pict>
      </w:r>
    </w:p>
    <w:p>
      <w:r>
        <w:rPr>
          <w:rFonts w:ascii="Times New Roman" w:hAnsi="Times New Roman" w:cs="Times New Roman"/>
          <w:b/>
          <w:sz w:val="24"/>
          <w:szCs w:val="24"/>
        </w:rPr>
        <w:pict>
          <v:shape id="_x0000_s1730" o:spid="_x0000_s1730" o:spt="202" type="#_x0000_t202" style="position:absolute;left:0pt;margin-left:244.8pt;margin-top:5.45pt;height:30.75pt;width:181.65pt;z-index:252386304;mso-width-relative:page;mso-height-relative:page;" filled="f" stroked="f" coordsize="21600,21600">
            <v:path/>
            <v:fill on="f" focussize="0,0"/>
            <v:stroke on="f" color="#000001" joinstyle="miter"/>
            <v:imagedata o:title=""/>
            <o:lock v:ext="edit"/>
            <v:textbox>
              <w:txbxContent>
                <w:p>
                  <w:r>
                    <w:rPr>
                      <w:rFonts w:hint="eastAsia"/>
                    </w:rPr>
                    <w:t>注：“</w:t>
                  </w:r>
                  <w:r>
                    <w:rPr>
                      <w:rFonts w:hint="eastAsia" w:ascii="宋体" w:hAnsi="宋体"/>
                    </w:rPr>
                    <w:t>─</w:t>
                  </w:r>
                  <w:r>
                    <w:rPr>
                      <w:rFonts w:hint="eastAsia"/>
                    </w:rPr>
                    <w:t>”表示损耗；单位：m</w:t>
                  </w:r>
                  <w:r>
                    <w:rPr>
                      <w:rFonts w:hint="eastAsia"/>
                      <w:vertAlign w:val="superscript"/>
                    </w:rPr>
                    <w:t>3</w:t>
                  </w:r>
                  <w:r>
                    <w:rPr>
                      <w:rFonts w:hint="eastAsia"/>
                    </w:rPr>
                    <w:t>/d</w:t>
                  </w:r>
                </w:p>
              </w:txbxContent>
            </v:textbox>
          </v:shape>
        </w:pict>
      </w:r>
      <w:r>
        <w:pict>
          <v:shape id="_x0000_s1719" o:spid="_x0000_s1719" o:spt="32" type="#_x0000_t32" style="position:absolute;left:0pt;flip:x;margin-left:134.75pt;margin-top:1.6pt;height:0pt;width:103.45pt;z-index:252383232;mso-width-relative:page;mso-height-relative:page;" o:connectortype="straight" filled="f" coordsize="21600,21600">
            <v:path arrowok="t"/>
            <v:fill on="f" focussize="0,0"/>
            <v:stroke/>
            <v:imagedata o:title=""/>
            <o:lock v:ext="edit"/>
          </v:shape>
        </w:pict>
      </w:r>
    </w:p>
    <w:p/>
    <w:p/>
    <w:p>
      <w:pPr>
        <w:spacing w:line="360" w:lineRule="auto"/>
        <w:ind w:firstLine="480" w:firstLineChars="200"/>
        <w:jc w:val="center"/>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图3-2 项目春季、秋季、冬季水平衡图（单位：m</w:t>
      </w:r>
      <w:r>
        <w:rPr>
          <w:rFonts w:hint="eastAsia" w:ascii="Times New Roman" w:hAnsi="Times New Roman" w:cs="Times New Roman"/>
          <w:b/>
          <w:color w:val="000000" w:themeColor="text1"/>
          <w:sz w:val="24"/>
          <w:szCs w:val="24"/>
          <w:vertAlign w:val="superscript"/>
        </w:rPr>
        <w:t>3</w:t>
      </w:r>
      <w:r>
        <w:rPr>
          <w:rFonts w:hint="eastAsia" w:ascii="Times New Roman" w:hAnsi="Times New Roman" w:cs="Times New Roman"/>
          <w:b/>
          <w:color w:val="000000" w:themeColor="text1"/>
          <w:sz w:val="24"/>
          <w:szCs w:val="24"/>
        </w:rPr>
        <w:t>/d）</w:t>
      </w:r>
    </w:p>
    <w:p>
      <w:pPr>
        <w:pStyle w:val="3"/>
        <w:spacing w:before="0" w:after="0" w:line="415" w:lineRule="auto"/>
        <w:rPr>
          <w:rFonts w:ascii="Times New Roman" w:hAnsi="Times New Roman" w:cs="Times New Roman"/>
          <w:sz w:val="24"/>
          <w:szCs w:val="24"/>
        </w:rPr>
      </w:pPr>
      <w:bookmarkStart w:id="24" w:name="_Toc13725350"/>
      <w:r>
        <w:rPr>
          <w:rFonts w:hint="eastAsia" w:ascii="Times New Roman" w:hAnsi="Times New Roman" w:cs="Times New Roman"/>
          <w:sz w:val="24"/>
          <w:szCs w:val="24"/>
        </w:rPr>
        <w:t>3.2营运期工艺流程及产污节点</w:t>
      </w:r>
      <w:bookmarkEnd w:id="24"/>
    </w:p>
    <w:p>
      <w:r>
        <w:rPr>
          <w:rFonts w:ascii="Times New Roman" w:hAnsi="Times New Roman" w:cs="Times New Roman"/>
          <w:color w:val="000000" w:themeColor="text1"/>
          <w:sz w:val="24"/>
          <w:szCs w:val="24"/>
        </w:rPr>
        <w:pict>
          <v:group id="_x0000_s1587" o:spid="_x0000_s1587" o:spt="203" style="position:absolute;left:0pt;margin-left:34.15pt;margin-top:13.25pt;height:114.75pt;width:386.6pt;z-index:252253184;mso-width-relative:page;mso-height-relative:page;" coordorigin="2480,8328" coordsize="7732,2295">
            <o:lock v:ext="edit"/>
            <v:shape id="_x0000_s1427" o:spid="_x0000_s1427" o:spt="109" type="#_x0000_t109" style="position:absolute;left:3695;top:9036;height:465;width:1302;" filled="f" coordsize="21600,21600">
              <v:path/>
              <v:fill on="f" focussize="0,0"/>
              <v:stroke joinstyle="miter"/>
              <v:imagedata o:title=""/>
              <o:lock v:ext="edit"/>
              <v:textbox>
                <w:txbxContent>
                  <w:p>
                    <w:pPr>
                      <w:jc w:val="center"/>
                    </w:pPr>
                    <w:r>
                      <w:rPr>
                        <w:rFonts w:hint="eastAsia"/>
                      </w:rPr>
                      <w:t>初步诊断</w:t>
                    </w:r>
                  </w:p>
                </w:txbxContent>
              </v:textbox>
            </v:shape>
            <v:shape id="_x0000_s1428" o:spid="_x0000_s1428" o:spt="109" type="#_x0000_t109" style="position:absolute;left:2480;top:9066;height:465;width:729;" filled="f" coordsize="21600,21600">
              <v:path/>
              <v:fill on="f" focussize="0,0"/>
              <v:stroke joinstyle="miter"/>
              <v:imagedata o:title=""/>
              <o:lock v:ext="edit"/>
              <v:textbox>
                <w:txbxContent>
                  <w:p>
                    <w:pPr>
                      <w:jc w:val="center"/>
                    </w:pPr>
                    <w:r>
                      <w:rPr>
                        <w:rFonts w:hint="eastAsia"/>
                      </w:rPr>
                      <w:t>挂号</w:t>
                    </w:r>
                  </w:p>
                </w:txbxContent>
              </v:textbox>
            </v:shape>
            <v:shape id="_x0000_s1429" o:spid="_x0000_s1429" o:spt="109" type="#_x0000_t109" style="position:absolute;left:3695;top:9966;height:465;width:1302;" filled="f" coordsize="21600,21600">
              <v:path/>
              <v:fill on="f" focussize="0,0"/>
              <v:stroke joinstyle="miter"/>
              <v:imagedata o:title=""/>
              <o:lock v:ext="edit"/>
              <v:textbox>
                <w:txbxContent>
                  <w:p>
                    <w:pPr>
                      <w:jc w:val="center"/>
                    </w:pPr>
                    <w:r>
                      <w:rPr>
                        <w:rFonts w:hint="eastAsia"/>
                      </w:rPr>
                      <w:t>住院</w:t>
                    </w:r>
                  </w:p>
                </w:txbxContent>
              </v:textbox>
            </v:shape>
            <v:shape id="_x0000_s1430" o:spid="_x0000_s1430" o:spt="109" type="#_x0000_t109" style="position:absolute;left:5483;top:9066;height:465;width:1359;" filled="f" coordsize="21600,21600">
              <v:path/>
              <v:fill on="f" focussize="0,0"/>
              <v:stroke joinstyle="miter"/>
              <v:imagedata o:title=""/>
              <o:lock v:ext="edit"/>
              <v:textbox>
                <w:txbxContent>
                  <w:p>
                    <w:pPr>
                      <w:jc w:val="center"/>
                    </w:pPr>
                    <w:r>
                      <w:rPr>
                        <w:rFonts w:hint="eastAsia"/>
                      </w:rPr>
                      <w:t>检查处置</w:t>
                    </w:r>
                  </w:p>
                </w:txbxContent>
              </v:textbox>
            </v:shape>
            <v:shape id="_x0000_s1431" o:spid="_x0000_s1431" o:spt="109" type="#_x0000_t109" style="position:absolute;left:8787;top:9966;height:465;width:1359;" filled="f" coordsize="21600,21600">
              <v:path/>
              <v:fill on="f" focussize="0,0"/>
              <v:stroke joinstyle="miter"/>
              <v:imagedata o:title=""/>
              <o:lock v:ext="edit"/>
              <v:textbox>
                <w:txbxContent>
                  <w:p>
                    <w:pPr>
                      <w:jc w:val="center"/>
                    </w:pPr>
                    <w:r>
                      <w:rPr>
                        <w:rFonts w:hint="eastAsia"/>
                      </w:rPr>
                      <w:t>检查处置</w:t>
                    </w:r>
                  </w:p>
                </w:txbxContent>
              </v:textbox>
            </v:shape>
            <v:shape id="_x0000_s1432" o:spid="_x0000_s1432" o:spt="109" type="#_x0000_t109" style="position:absolute;left:7415;top:9066;height:465;width:912;" filled="f" coordsize="21600,21600">
              <v:path/>
              <v:fill on="f" focussize="0,0"/>
              <v:stroke joinstyle="miter"/>
              <v:imagedata o:title=""/>
              <o:lock v:ext="edit"/>
              <v:textbox>
                <w:txbxContent>
                  <w:p>
                    <w:pPr>
                      <w:jc w:val="center"/>
                    </w:pPr>
                    <w:r>
                      <w:rPr>
                        <w:rFonts w:hint="eastAsia"/>
                      </w:rPr>
                      <w:t>取药</w:t>
                    </w:r>
                  </w:p>
                </w:txbxContent>
              </v:textbox>
            </v:shape>
            <v:shape id="_x0000_s1433" o:spid="_x0000_s1433" o:spt="109" type="#_x0000_t109" style="position:absolute;left:8813;top:9066;height:465;width:912;" filled="f" coordsize="21600,21600">
              <v:path/>
              <v:fill on="f" focussize="0,0"/>
              <v:stroke joinstyle="miter"/>
              <v:imagedata o:title=""/>
              <o:lock v:ext="edit"/>
              <v:textbox>
                <w:txbxContent>
                  <w:p>
                    <w:pPr>
                      <w:jc w:val="center"/>
                    </w:pPr>
                    <w:r>
                      <w:rPr>
                        <w:rFonts w:hint="eastAsia"/>
                      </w:rPr>
                      <w:t>出院</w:t>
                    </w:r>
                  </w:p>
                </w:txbxContent>
              </v:textbox>
            </v:shape>
            <v:shape id="_x0000_s1434" o:spid="_x0000_s1434" o:spt="109" type="#_x0000_t109" style="position:absolute;left:7415;top:9966;height:465;width:834;" filled="f" coordsize="21600,21600">
              <v:path/>
              <v:fill on="f" focussize="0,0"/>
              <v:stroke joinstyle="miter"/>
              <v:imagedata o:title=""/>
              <o:lock v:ext="edit"/>
              <v:textbox>
                <w:txbxContent>
                  <w:p>
                    <w:pPr>
                      <w:jc w:val="center"/>
                    </w:pPr>
                    <w:r>
                      <w:rPr>
                        <w:rFonts w:hint="eastAsia"/>
                      </w:rPr>
                      <w:t>治疗</w:t>
                    </w:r>
                  </w:p>
                </w:txbxContent>
              </v:textbox>
            </v:shape>
            <v:shape id="_x0000_s1435" o:spid="_x0000_s1435" o:spt="109" type="#_x0000_t109" style="position:absolute;left:5570;top:9966;height:465;width:1359;" filled="f" coordsize="21600,21600">
              <v:path/>
              <v:fill on="f" focussize="0,0"/>
              <v:stroke joinstyle="miter"/>
              <v:imagedata o:title=""/>
              <o:lock v:ext="edit"/>
              <v:textbox>
                <w:txbxContent>
                  <w:p>
                    <w:pPr>
                      <w:jc w:val="center"/>
                    </w:pPr>
                    <w:r>
                      <w:rPr>
                        <w:rFonts w:hint="eastAsia"/>
                      </w:rPr>
                      <w:t>检查处置</w:t>
                    </w:r>
                  </w:p>
                </w:txbxContent>
              </v:textbox>
            </v:shape>
            <v:shape id="_x0000_s1436" o:spid="_x0000_s1436" o:spt="32" type="#_x0000_t32" style="position:absolute;left:3209;top:9315;height:0;width:486;" o:connectortype="straight" filled="f" coordsize="21600,21600">
              <v:path arrowok="t"/>
              <v:fill on="f" focussize="0,0"/>
              <v:stroke endarrow="block"/>
              <v:imagedata o:title=""/>
              <o:lock v:ext="edit"/>
            </v:shape>
            <v:shape id="_x0000_s1437" o:spid="_x0000_s1437" o:spt="32" type="#_x0000_t32" style="position:absolute;left:4997;top:9315;height:0;width:486;" o:connectortype="straight" filled="f" coordsize="21600,21600">
              <v:path arrowok="t"/>
              <v:fill on="f" focussize="0,0"/>
              <v:stroke endarrow="block"/>
              <v:imagedata o:title=""/>
              <o:lock v:ext="edit"/>
            </v:shape>
            <v:shape id="_x0000_s1438" o:spid="_x0000_s1438" o:spt="32" type="#_x0000_t32" style="position:absolute;left:6867;top:9315;height:0;width:486;" o:connectortype="straight" filled="f" coordsize="21600,21600">
              <v:path arrowok="t"/>
              <v:fill on="f" focussize="0,0"/>
              <v:stroke endarrow="block"/>
              <v:imagedata o:title=""/>
              <o:lock v:ext="edit"/>
            </v:shape>
            <v:shape id="_x0000_s1439" o:spid="_x0000_s1439" o:spt="32" type="#_x0000_t32" style="position:absolute;left:8327;top:9315;height:0;width:486;" o:connectortype="straight" filled="f" coordsize="21600,21600">
              <v:path arrowok="t"/>
              <v:fill on="f" focussize="0,0"/>
              <v:stroke endarrow="block"/>
              <v:imagedata o:title=""/>
              <o:lock v:ext="edit"/>
            </v:shape>
            <v:shape id="_x0000_s1440" o:spid="_x0000_s1440" o:spt="32" type="#_x0000_t32" style="position:absolute;left:4349;top:9531;height:435;width:0;" o:connectortype="straight" filled="f" coordsize="21600,21600">
              <v:path arrowok="t"/>
              <v:fill on="f" focussize="0,0"/>
              <v:stroke endarrow="block"/>
              <v:imagedata o:title=""/>
              <o:lock v:ext="edit"/>
            </v:shape>
            <v:shape id="_x0000_s1441" o:spid="_x0000_s1441" o:spt="32" type="#_x0000_t32" style="position:absolute;left:4997;top:10215;height:0;width:486;" o:connectortype="straight" filled="f" coordsize="21600,21600">
              <v:path arrowok="t"/>
              <v:fill on="f" focussize="0,0"/>
              <v:stroke endarrow="block"/>
              <v:imagedata o:title=""/>
              <o:lock v:ext="edit"/>
            </v:shape>
            <v:shape id="_x0000_s1442" o:spid="_x0000_s1442" o:spt="32" type="#_x0000_t32" style="position:absolute;left:6912;top:10215;height:0;width:486;" o:connectortype="straight" filled="f" coordsize="21600,21600">
              <v:path arrowok="t"/>
              <v:fill on="f" focussize="0,0"/>
              <v:stroke endarrow="block"/>
              <v:imagedata o:title=""/>
              <o:lock v:ext="edit"/>
            </v:shape>
            <v:shape id="_x0000_s1443" o:spid="_x0000_s1443" o:spt="32" type="#_x0000_t32" style="position:absolute;left:8398;top:10215;height:0;width:486;" o:connectortype="straight" filled="f" coordsize="21600,21600">
              <v:path arrowok="t"/>
              <v:fill on="f" focussize="0,0"/>
              <v:stroke endarrow="block"/>
              <v:imagedata o:title=""/>
              <o:lock v:ext="edit"/>
            </v:shape>
            <v:shape id="_x0000_s1444" o:spid="_x0000_s1444" o:spt="32" type="#_x0000_t32" style="position:absolute;left:9300;top:9501;flip:y;height:435;width:0;" o:connectortype="straight" filled="f" coordsize="21600,21600">
              <v:path arrowok="t"/>
              <v:fill on="f" focussize="0,0"/>
              <v:stroke endarrow="block"/>
              <v:imagedata o:title=""/>
              <o:lock v:ext="edit"/>
            </v:shape>
            <v:shape id="_x0000_s1445" o:spid="_x0000_s1445" o:spt="32" type="#_x0000_t32" style="position:absolute;left:3480;top:8793;height:1830;width:0;" o:connectortype="straight" filled="f" coordsize="21600,21600">
              <v:path arrowok="t"/>
              <v:fill on="f" focussize="0,0"/>
              <v:stroke dashstyle="dash"/>
              <v:imagedata o:title=""/>
              <o:lock v:ext="edit"/>
            </v:shape>
            <v:shape id="_x0000_s1446" o:spid="_x0000_s1446" o:spt="32" type="#_x0000_t32" style="position:absolute;left:3480;top:10623;height:0;width:6732;" o:connectortype="straight" filled="f" coordsize="21600,21600">
              <v:path arrowok="t"/>
              <v:fill on="f" focussize="0,0"/>
              <v:stroke dashstyle="dash"/>
              <v:imagedata o:title=""/>
              <o:lock v:ext="edit"/>
            </v:shape>
            <v:shape id="_x0000_s1447" o:spid="_x0000_s1447" o:spt="32" type="#_x0000_t32" style="position:absolute;left:10203;top:9753;flip:y;height:870;width:0;" o:connectortype="straight" filled="f" coordsize="21600,21600">
              <v:path arrowok="t"/>
              <v:fill on="f" focussize="0,0"/>
              <v:stroke dashstyle="dash"/>
              <v:imagedata o:title=""/>
              <o:lock v:ext="edit"/>
            </v:shape>
            <v:shape id="_x0000_s1448" o:spid="_x0000_s1448" o:spt="32" type="#_x0000_t32" style="position:absolute;left:8586;top:9753;flip:x;height:0;width:1617;" o:connectortype="straight" filled="f" coordsize="21600,21600">
              <v:path arrowok="t"/>
              <v:fill on="f" focussize="0,0"/>
              <v:stroke dashstyle="dash"/>
              <v:imagedata o:title=""/>
              <o:lock v:ext="edit"/>
            </v:shape>
            <v:shape id="_x0000_s1449" o:spid="_x0000_s1449" o:spt="32" type="#_x0000_t32" style="position:absolute;left:8595;top:8793;flip:y;height:960;width:0;" o:connectortype="straight" filled="f" coordsize="21600,21600">
              <v:path arrowok="t"/>
              <v:fill on="f" focussize="0,0"/>
              <v:stroke dashstyle="dash"/>
              <v:imagedata o:title=""/>
              <o:lock v:ext="edit"/>
            </v:shape>
            <v:shape id="_x0000_s1450" o:spid="_x0000_s1450" o:spt="32" type="#_x0000_t32" style="position:absolute;left:3480;top:8793;height:0;width:5115;" o:connectortype="straight" filled="f" coordsize="21600,21600">
              <v:path arrowok="t"/>
              <v:fill on="f" focussize="0,0"/>
              <v:stroke dashstyle="dash"/>
              <v:imagedata o:title=""/>
              <o:lock v:ext="edit"/>
            </v:shape>
            <v:shape id="_x0000_s1451" o:spid="_x0000_s1451" o:spt="32" type="#_x0000_t32" style="position:absolute;left:6149;top:9546;flip:y;height:420;width:1;" o:connectortype="straight" filled="f" coordsize="21600,21600">
              <v:path arrowok="t"/>
              <v:fill on="f" focussize="0,0"/>
              <v:stroke dashstyle="dash" endarrow="block"/>
              <v:imagedata o:title=""/>
              <o:lock v:ext="edit"/>
            </v:shape>
            <v:shape id="_x0000_s1452" o:spid="_x0000_s1452" o:spt="109" type="#_x0000_t109" style="position:absolute;left:5294;top:8328;height:465;width:1724;" filled="f" coordsize="21600,21600">
              <v:path/>
              <v:fill on="f" focussize="0,0"/>
              <v:stroke dashstyle="dash"/>
              <v:imagedata o:title=""/>
              <o:lock v:ext="edit"/>
              <v:textbox>
                <w:txbxContent>
                  <w:p>
                    <w:pPr>
                      <w:jc w:val="center"/>
                    </w:pPr>
                    <w:r>
                      <w:rPr>
                        <w:rFonts w:hint="eastAsia"/>
                      </w:rPr>
                      <w:t>废水、固废</w:t>
                    </w:r>
                  </w:p>
                </w:txbxContent>
              </v:textbox>
            </v:shape>
          </v:group>
        </w:pict>
      </w:r>
    </w:p>
    <w:p/>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2361" w:firstLineChars="984"/>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图</w:t>
      </w:r>
      <w:r>
        <w:rPr>
          <w:rFonts w:hint="eastAsia" w:ascii="Times New Roman" w:hAnsi="Times New Roman" w:cs="Times New Roman"/>
          <w:b/>
          <w:color w:val="000000" w:themeColor="text1"/>
          <w:sz w:val="24"/>
          <w:szCs w:val="24"/>
        </w:rPr>
        <w:t>3-3</w:t>
      </w:r>
      <w:r>
        <w:rPr>
          <w:rFonts w:ascii="Times New Roman" w:hAnsi="Times New Roman" w:cs="Times New Roman"/>
          <w:b/>
          <w:color w:val="000000" w:themeColor="text1"/>
          <w:sz w:val="24"/>
          <w:szCs w:val="24"/>
        </w:rPr>
        <w:t xml:space="preserve">  </w:t>
      </w:r>
      <w:r>
        <w:rPr>
          <w:rFonts w:hint="eastAsia" w:ascii="Times New Roman" w:hAnsi="Times New Roman" w:cs="Times New Roman"/>
          <w:b/>
          <w:color w:val="000000" w:themeColor="text1"/>
          <w:sz w:val="24"/>
          <w:szCs w:val="24"/>
        </w:rPr>
        <w:t>营运</w:t>
      </w:r>
      <w:r>
        <w:rPr>
          <w:rFonts w:ascii="Times New Roman" w:hAnsi="Times New Roman" w:cs="Times New Roman"/>
          <w:b/>
          <w:color w:val="000000" w:themeColor="text1"/>
          <w:sz w:val="24"/>
          <w:szCs w:val="24"/>
        </w:rPr>
        <w:t>期工艺流程及产污环节示意图</w:t>
      </w:r>
    </w:p>
    <w:p>
      <w:pPr>
        <w:spacing w:line="360" w:lineRule="auto"/>
        <w:ind w:firstLine="480" w:firstLineChars="200"/>
        <w:rPr>
          <w:rFonts w:ascii="Times New Roman" w:hAnsi="Times New Roman" w:cs="Times New Roman"/>
          <w:color w:val="000000" w:themeColor="text1"/>
          <w:sz w:val="24"/>
          <w:szCs w:val="24"/>
        </w:rPr>
      </w:pPr>
    </w:p>
    <w:p>
      <w:pPr>
        <w:pStyle w:val="50"/>
        <w:spacing w:line="360" w:lineRule="auto"/>
        <w:ind w:left="480" w:firstLine="0" w:firstLineChars="0"/>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工艺流程简述：</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进医院首先需要挂号，由医生进行初步诊断，根据诊断结果，一种为进行检查，依据检查结果主治医生开具药品，然后去取药，直接出院；</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另一种需办住院手续，进行各项检查，进一步治疗，检查结果正常后即可出院。</w:t>
      </w:r>
    </w:p>
    <w:p>
      <w:pPr>
        <w:spacing w:line="360" w:lineRule="auto"/>
        <w:ind w:firstLine="480" w:firstLineChars="200"/>
        <w:jc w:val="center"/>
        <w:rPr>
          <w:rFonts w:ascii="Times New Roman" w:hAnsi="Times New Roman" w:eastAsia="宋体"/>
          <w:b/>
          <w:sz w:val="24"/>
          <w:szCs w:val="20"/>
        </w:rPr>
      </w:pPr>
      <w:r>
        <w:rPr>
          <w:rFonts w:hint="eastAsia" w:ascii="Times New Roman" w:hAnsi="Times New Roman" w:eastAsia="宋体"/>
          <w:b/>
          <w:sz w:val="24"/>
          <w:szCs w:val="20"/>
        </w:rPr>
        <w:t>表3-6  工程主要排污节点一览表</w:t>
      </w:r>
    </w:p>
    <w:tbl>
      <w:tblPr>
        <w:tblStyle w:val="27"/>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556"/>
        <w:gridCol w:w="2130"/>
        <w:gridCol w:w="991"/>
        <w:gridCol w:w="1987"/>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exact"/>
        </w:trPr>
        <w:tc>
          <w:tcPr>
            <w:tcW w:w="1105" w:type="dxa"/>
            <w:vAlign w:val="center"/>
          </w:tcPr>
          <w:p>
            <w:pPr>
              <w:tabs>
                <w:tab w:val="left" w:pos="3052"/>
              </w:tabs>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污染物类型</w:t>
            </w:r>
          </w:p>
        </w:tc>
        <w:tc>
          <w:tcPr>
            <w:tcW w:w="1556" w:type="dxa"/>
            <w:vAlign w:val="center"/>
          </w:tcPr>
          <w:p>
            <w:pPr>
              <w:tabs>
                <w:tab w:val="left" w:pos="3052"/>
              </w:tabs>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排污节点</w:t>
            </w:r>
          </w:p>
        </w:tc>
        <w:tc>
          <w:tcPr>
            <w:tcW w:w="2130" w:type="dxa"/>
            <w:vAlign w:val="center"/>
          </w:tcPr>
          <w:p>
            <w:pPr>
              <w:tabs>
                <w:tab w:val="left" w:pos="3052"/>
              </w:tabs>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污染物</w:t>
            </w:r>
          </w:p>
        </w:tc>
        <w:tc>
          <w:tcPr>
            <w:tcW w:w="991" w:type="dxa"/>
            <w:vAlign w:val="center"/>
          </w:tcPr>
          <w:p>
            <w:pPr>
              <w:tabs>
                <w:tab w:val="left" w:pos="3052"/>
              </w:tabs>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排放</w:t>
            </w:r>
          </w:p>
          <w:p>
            <w:pPr>
              <w:tabs>
                <w:tab w:val="left" w:pos="3052"/>
              </w:tabs>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特征</w:t>
            </w:r>
          </w:p>
        </w:tc>
        <w:tc>
          <w:tcPr>
            <w:tcW w:w="1987" w:type="dxa"/>
          </w:tcPr>
          <w:p>
            <w:pPr>
              <w:tabs>
                <w:tab w:val="left" w:pos="3052"/>
              </w:tabs>
              <w:adjustRightInd w:val="0"/>
              <w:snapToGrid w:val="0"/>
              <w:spacing w:line="320" w:lineRule="exact"/>
              <w:jc w:val="center"/>
              <w:rPr>
                <w:rFonts w:ascii="Times New Roman" w:hAnsi="Times New Roman" w:cs="Times New Roman"/>
                <w:szCs w:val="21"/>
              </w:rPr>
            </w:pPr>
            <w:r>
              <w:rPr>
                <w:rFonts w:hint="eastAsia" w:ascii="Times New Roman" w:hAnsi="Times New Roman" w:cs="Times New Roman"/>
                <w:szCs w:val="21"/>
              </w:rPr>
              <w:t>防治措施</w:t>
            </w:r>
          </w:p>
        </w:tc>
        <w:tc>
          <w:tcPr>
            <w:tcW w:w="759" w:type="dxa"/>
            <w:vAlign w:val="center"/>
          </w:tcPr>
          <w:p>
            <w:pPr>
              <w:tabs>
                <w:tab w:val="left" w:pos="3052"/>
              </w:tabs>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排放</w:t>
            </w:r>
          </w:p>
          <w:p>
            <w:pPr>
              <w:tabs>
                <w:tab w:val="left" w:pos="3052"/>
              </w:tabs>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0" w:hRule="exact"/>
        </w:trPr>
        <w:tc>
          <w:tcPr>
            <w:tcW w:w="1105" w:type="dxa"/>
            <w:vMerge w:val="restart"/>
            <w:vAlign w:val="center"/>
          </w:tcPr>
          <w:p>
            <w:pPr>
              <w:tabs>
                <w:tab w:val="left" w:pos="3052"/>
              </w:tabs>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废气</w:t>
            </w:r>
          </w:p>
        </w:tc>
        <w:tc>
          <w:tcPr>
            <w:tcW w:w="1556" w:type="dxa"/>
            <w:vAlign w:val="center"/>
          </w:tcPr>
          <w:p>
            <w:pPr>
              <w:tabs>
                <w:tab w:val="left" w:pos="3052"/>
              </w:tabs>
              <w:adjustRightInd w:val="0"/>
              <w:snapToGrid w:val="0"/>
              <w:spacing w:line="320" w:lineRule="exact"/>
              <w:jc w:val="center"/>
              <w:rPr>
                <w:rFonts w:ascii="Times New Roman" w:hAnsi="Times New Roman" w:cs="Times New Roman"/>
                <w:szCs w:val="21"/>
              </w:rPr>
            </w:pPr>
            <w:r>
              <w:rPr>
                <w:rFonts w:hint="eastAsia" w:ascii="Times New Roman" w:hAnsi="Times New Roman" w:cs="Times New Roman"/>
                <w:szCs w:val="21"/>
              </w:rPr>
              <w:t>污水处理站</w:t>
            </w:r>
          </w:p>
        </w:tc>
        <w:tc>
          <w:tcPr>
            <w:tcW w:w="2130" w:type="dxa"/>
            <w:vAlign w:val="center"/>
          </w:tcPr>
          <w:p>
            <w:pPr>
              <w:tabs>
                <w:tab w:val="left" w:pos="3052"/>
              </w:tabs>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臭气浓度、NH</w:t>
            </w:r>
            <w:r>
              <w:rPr>
                <w:rFonts w:ascii="Times New Roman" w:hAnsi="Times New Roman" w:cs="Times New Roman"/>
                <w:szCs w:val="21"/>
                <w:vertAlign w:val="subscript"/>
              </w:rPr>
              <w:t>3</w:t>
            </w:r>
            <w:r>
              <w:rPr>
                <w:rFonts w:ascii="Times New Roman" w:hAnsi="Times New Roman" w:cs="Times New Roman"/>
                <w:szCs w:val="21"/>
              </w:rPr>
              <w:t>、H</w:t>
            </w:r>
            <w:r>
              <w:rPr>
                <w:rFonts w:ascii="Times New Roman" w:hAnsi="Times New Roman" w:cs="Times New Roman"/>
                <w:szCs w:val="21"/>
                <w:vertAlign w:val="subscript"/>
              </w:rPr>
              <w:t>2</w:t>
            </w:r>
            <w:r>
              <w:rPr>
                <w:rFonts w:ascii="Times New Roman" w:hAnsi="Times New Roman" w:cs="Times New Roman"/>
                <w:szCs w:val="21"/>
              </w:rPr>
              <w:t>S</w:t>
            </w:r>
          </w:p>
        </w:tc>
        <w:tc>
          <w:tcPr>
            <w:tcW w:w="991" w:type="dxa"/>
            <w:vAlign w:val="center"/>
          </w:tcPr>
          <w:p>
            <w:pPr>
              <w:tabs>
                <w:tab w:val="left" w:pos="3052"/>
              </w:tabs>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连续</w:t>
            </w:r>
          </w:p>
        </w:tc>
        <w:tc>
          <w:tcPr>
            <w:tcW w:w="1987" w:type="dxa"/>
          </w:tcPr>
          <w:p>
            <w:pPr>
              <w:tabs>
                <w:tab w:val="left" w:pos="3052"/>
              </w:tabs>
              <w:adjustRightInd w:val="0"/>
              <w:snapToGrid w:val="0"/>
              <w:spacing w:line="320" w:lineRule="exact"/>
              <w:rPr>
                <w:rFonts w:ascii="Times New Roman" w:hAnsi="Times New Roman" w:cs="Times New Roman"/>
                <w:szCs w:val="21"/>
              </w:rPr>
            </w:pPr>
            <w:r>
              <w:rPr>
                <w:rFonts w:hint="eastAsia" w:ascii="Times New Roman" w:hAnsi="Times New Roman" w:cs="Times New Roman"/>
                <w:szCs w:val="21"/>
              </w:rPr>
              <w:t>通过集气管道</w:t>
            </w:r>
            <w:r>
              <w:rPr>
                <w:rFonts w:ascii="Times New Roman" w:hAnsi="Times New Roman" w:cs="Times New Roman"/>
                <w:szCs w:val="21"/>
              </w:rPr>
              <w:t>+</w:t>
            </w:r>
            <w:r>
              <w:rPr>
                <w:rFonts w:hint="eastAsia" w:ascii="Times New Roman" w:hAnsi="Times New Roman" w:cs="Times New Roman"/>
                <w:szCs w:val="21"/>
              </w:rPr>
              <w:t>水喷淋装置</w:t>
            </w:r>
            <w:r>
              <w:rPr>
                <w:rFonts w:ascii="Times New Roman" w:hAnsi="Times New Roman" w:cs="Times New Roman"/>
                <w:szCs w:val="21"/>
              </w:rPr>
              <w:t>+UV</w:t>
            </w:r>
            <w:r>
              <w:rPr>
                <w:rFonts w:hint="eastAsia" w:ascii="Times New Roman" w:hAnsi="Times New Roman" w:cs="Times New Roman"/>
                <w:szCs w:val="21"/>
              </w:rPr>
              <w:t>紫外线光解净化器</w:t>
            </w:r>
            <w:r>
              <w:rPr>
                <w:rFonts w:ascii="Times New Roman" w:hAnsi="Times New Roman" w:cs="Times New Roman"/>
                <w:szCs w:val="21"/>
              </w:rPr>
              <w:t>+1</w:t>
            </w:r>
            <w:r>
              <w:rPr>
                <w:rFonts w:hint="eastAsia" w:ascii="Times New Roman" w:hAnsi="Times New Roman" w:cs="Times New Roman"/>
                <w:szCs w:val="21"/>
              </w:rPr>
              <w:t>根</w:t>
            </w:r>
            <w:r>
              <w:rPr>
                <w:rFonts w:ascii="Times New Roman" w:hAnsi="Times New Roman" w:cs="Times New Roman"/>
                <w:szCs w:val="21"/>
              </w:rPr>
              <w:t>15m</w:t>
            </w:r>
            <w:r>
              <w:rPr>
                <w:rFonts w:hint="eastAsia" w:ascii="Times New Roman" w:hAnsi="Times New Roman" w:cs="Times New Roman"/>
                <w:szCs w:val="21"/>
              </w:rPr>
              <w:t>高排气筒</w:t>
            </w:r>
          </w:p>
        </w:tc>
        <w:tc>
          <w:tcPr>
            <w:tcW w:w="759" w:type="dxa"/>
            <w:vMerge w:val="restart"/>
            <w:vAlign w:val="center"/>
          </w:tcPr>
          <w:p>
            <w:pPr>
              <w:tabs>
                <w:tab w:val="left" w:pos="3052"/>
              </w:tabs>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大气环境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0" w:hRule="exact"/>
        </w:trPr>
        <w:tc>
          <w:tcPr>
            <w:tcW w:w="1105" w:type="dxa"/>
            <w:vMerge w:val="continue"/>
            <w:vAlign w:val="center"/>
          </w:tcPr>
          <w:p>
            <w:pPr>
              <w:tabs>
                <w:tab w:val="left" w:pos="3052"/>
              </w:tabs>
              <w:adjustRightInd w:val="0"/>
              <w:snapToGrid w:val="0"/>
              <w:spacing w:line="320" w:lineRule="exact"/>
              <w:jc w:val="center"/>
              <w:rPr>
                <w:rFonts w:ascii="Times New Roman" w:hAnsi="Times New Roman" w:cs="Times New Roman"/>
                <w:szCs w:val="21"/>
              </w:rPr>
            </w:pPr>
          </w:p>
        </w:tc>
        <w:tc>
          <w:tcPr>
            <w:tcW w:w="1556" w:type="dxa"/>
            <w:vAlign w:val="center"/>
          </w:tcPr>
          <w:p>
            <w:pPr>
              <w:tabs>
                <w:tab w:val="left" w:pos="3052"/>
              </w:tabs>
              <w:adjustRightInd w:val="0"/>
              <w:snapToGrid w:val="0"/>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煎药室</w:t>
            </w:r>
          </w:p>
        </w:tc>
        <w:tc>
          <w:tcPr>
            <w:tcW w:w="2130" w:type="dxa"/>
            <w:vAlign w:val="center"/>
          </w:tcPr>
          <w:p>
            <w:pPr>
              <w:tabs>
                <w:tab w:val="left" w:pos="3052"/>
              </w:tabs>
              <w:adjustRightInd w:val="0"/>
              <w:snapToGrid w:val="0"/>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臭气浓度</w:t>
            </w:r>
          </w:p>
        </w:tc>
        <w:tc>
          <w:tcPr>
            <w:tcW w:w="991" w:type="dxa"/>
            <w:vAlign w:val="center"/>
          </w:tcPr>
          <w:p>
            <w:pPr>
              <w:tabs>
                <w:tab w:val="left" w:pos="3052"/>
              </w:tabs>
              <w:adjustRightInd w:val="0"/>
              <w:snapToGrid w:val="0"/>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间断</w:t>
            </w:r>
          </w:p>
        </w:tc>
        <w:tc>
          <w:tcPr>
            <w:tcW w:w="1987" w:type="dxa"/>
          </w:tcPr>
          <w:p>
            <w:pPr>
              <w:tabs>
                <w:tab w:val="left" w:pos="3052"/>
              </w:tabs>
              <w:adjustRightInd w:val="0"/>
              <w:snapToGrid w:val="0"/>
              <w:spacing w:line="320" w:lineRule="exact"/>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煎药设备煎药过程密闭，及时通风，无组织排放。</w:t>
            </w:r>
          </w:p>
        </w:tc>
        <w:tc>
          <w:tcPr>
            <w:tcW w:w="759" w:type="dxa"/>
            <w:vMerge w:val="continue"/>
            <w:vAlign w:val="center"/>
          </w:tcPr>
          <w:p>
            <w:pPr>
              <w:tabs>
                <w:tab w:val="left" w:pos="3052"/>
              </w:tabs>
              <w:adjustRightInd w:val="0"/>
              <w:snapToGrid w:val="0"/>
              <w:spacing w:line="32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9" w:hRule="exact"/>
        </w:trPr>
        <w:tc>
          <w:tcPr>
            <w:tcW w:w="1105" w:type="dxa"/>
            <w:vMerge w:val="continue"/>
            <w:vAlign w:val="center"/>
          </w:tcPr>
          <w:p>
            <w:pPr>
              <w:tabs>
                <w:tab w:val="left" w:pos="3052"/>
              </w:tabs>
              <w:adjustRightInd w:val="0"/>
              <w:snapToGrid w:val="0"/>
              <w:spacing w:line="320" w:lineRule="exact"/>
              <w:jc w:val="center"/>
              <w:rPr>
                <w:rFonts w:ascii="Times New Roman" w:hAnsi="Times New Roman" w:cs="Times New Roman"/>
                <w:szCs w:val="21"/>
              </w:rPr>
            </w:pPr>
          </w:p>
        </w:tc>
        <w:tc>
          <w:tcPr>
            <w:tcW w:w="1556" w:type="dxa"/>
            <w:vAlign w:val="center"/>
          </w:tcPr>
          <w:p>
            <w:pPr>
              <w:tabs>
                <w:tab w:val="left" w:pos="3052"/>
              </w:tabs>
              <w:adjustRightInd w:val="0"/>
              <w:snapToGrid w:val="0"/>
              <w:spacing w:line="320" w:lineRule="exact"/>
              <w:jc w:val="center"/>
              <w:rPr>
                <w:rFonts w:ascii="Times New Roman" w:hAnsi="Times New Roman" w:cs="Times New Roman"/>
                <w:szCs w:val="21"/>
              </w:rPr>
            </w:pPr>
            <w:r>
              <w:rPr>
                <w:rFonts w:hint="eastAsia" w:ascii="Times New Roman" w:hAnsi="Times New Roman" w:cs="Times New Roman"/>
                <w:szCs w:val="21"/>
              </w:rPr>
              <w:t>食堂</w:t>
            </w:r>
          </w:p>
        </w:tc>
        <w:tc>
          <w:tcPr>
            <w:tcW w:w="2130" w:type="dxa"/>
            <w:vAlign w:val="center"/>
          </w:tcPr>
          <w:p>
            <w:pPr>
              <w:tabs>
                <w:tab w:val="left" w:pos="3052"/>
              </w:tabs>
              <w:adjustRightInd w:val="0"/>
              <w:snapToGrid w:val="0"/>
              <w:spacing w:line="320" w:lineRule="exact"/>
              <w:jc w:val="center"/>
              <w:rPr>
                <w:rFonts w:ascii="Times New Roman" w:hAnsi="Times New Roman" w:cs="Times New Roman"/>
                <w:szCs w:val="21"/>
              </w:rPr>
            </w:pPr>
            <w:r>
              <w:rPr>
                <w:rFonts w:hint="eastAsia" w:ascii="Times New Roman" w:hAnsi="Times New Roman" w:cs="Times New Roman"/>
                <w:szCs w:val="21"/>
              </w:rPr>
              <w:t>油烟</w:t>
            </w:r>
          </w:p>
        </w:tc>
        <w:tc>
          <w:tcPr>
            <w:tcW w:w="991" w:type="dxa"/>
            <w:vAlign w:val="center"/>
          </w:tcPr>
          <w:p>
            <w:pPr>
              <w:tabs>
                <w:tab w:val="left" w:pos="3052"/>
              </w:tabs>
              <w:adjustRightInd w:val="0"/>
              <w:snapToGrid w:val="0"/>
              <w:spacing w:line="320" w:lineRule="exact"/>
              <w:jc w:val="center"/>
              <w:rPr>
                <w:rFonts w:ascii="Times New Roman" w:hAnsi="Times New Roman" w:cs="Times New Roman"/>
                <w:szCs w:val="21"/>
              </w:rPr>
            </w:pPr>
            <w:r>
              <w:rPr>
                <w:rFonts w:hint="eastAsia" w:ascii="Times New Roman" w:hAnsi="Times New Roman" w:cs="Times New Roman"/>
                <w:szCs w:val="21"/>
              </w:rPr>
              <w:t>间断</w:t>
            </w:r>
          </w:p>
        </w:tc>
        <w:tc>
          <w:tcPr>
            <w:tcW w:w="1987" w:type="dxa"/>
          </w:tcPr>
          <w:p>
            <w:pPr>
              <w:tabs>
                <w:tab w:val="left" w:pos="3052"/>
              </w:tabs>
              <w:adjustRightInd w:val="0"/>
              <w:snapToGrid w:val="0"/>
              <w:spacing w:line="320" w:lineRule="exact"/>
              <w:jc w:val="center"/>
              <w:rPr>
                <w:rFonts w:ascii="Times New Roman" w:hAnsi="Times New Roman" w:cs="Times New Roman"/>
                <w:szCs w:val="21"/>
              </w:rPr>
            </w:pPr>
            <w:r>
              <w:rPr>
                <w:rFonts w:hint="eastAsia" w:ascii="Times New Roman" w:hAnsi="Times New Roman" w:cs="Times New Roman"/>
                <w:szCs w:val="21"/>
              </w:rPr>
              <w:t>安装油烟净化器进行治理后于食堂楼顶排放</w:t>
            </w:r>
          </w:p>
        </w:tc>
        <w:tc>
          <w:tcPr>
            <w:tcW w:w="759" w:type="dxa"/>
            <w:vMerge w:val="continue"/>
            <w:vAlign w:val="center"/>
          </w:tcPr>
          <w:p>
            <w:pPr>
              <w:tabs>
                <w:tab w:val="left" w:pos="3052"/>
              </w:tabs>
              <w:adjustRightInd w:val="0"/>
              <w:snapToGrid w:val="0"/>
              <w:spacing w:line="32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5" w:hRule="atLeast"/>
        </w:trPr>
        <w:tc>
          <w:tcPr>
            <w:tcW w:w="1105" w:type="dxa"/>
            <w:vAlign w:val="center"/>
          </w:tcPr>
          <w:p>
            <w:pPr>
              <w:tabs>
                <w:tab w:val="left" w:pos="3052"/>
              </w:tabs>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废水</w:t>
            </w:r>
          </w:p>
        </w:tc>
        <w:tc>
          <w:tcPr>
            <w:tcW w:w="1556" w:type="dxa"/>
            <w:vAlign w:val="center"/>
          </w:tcPr>
          <w:p>
            <w:pPr>
              <w:tabs>
                <w:tab w:val="left" w:pos="3052"/>
              </w:tabs>
              <w:adjustRightInd w:val="0"/>
              <w:snapToGrid w:val="0"/>
              <w:spacing w:line="300" w:lineRule="exact"/>
              <w:jc w:val="center"/>
              <w:rPr>
                <w:rFonts w:ascii="Times New Roman" w:hAnsi="Times New Roman" w:cs="Times New Roman"/>
                <w:szCs w:val="21"/>
              </w:rPr>
            </w:pPr>
            <w:r>
              <w:rPr>
                <w:rFonts w:hint="eastAsia" w:ascii="Times New Roman" w:hAnsi="Times New Roman" w:cs="Times New Roman"/>
                <w:szCs w:val="21"/>
              </w:rPr>
              <w:t>医疗废水、生活污水和食堂废水</w:t>
            </w:r>
          </w:p>
        </w:tc>
        <w:tc>
          <w:tcPr>
            <w:tcW w:w="2130" w:type="dxa"/>
            <w:vAlign w:val="center"/>
          </w:tcPr>
          <w:p>
            <w:pPr>
              <w:tabs>
                <w:tab w:val="left" w:pos="3052"/>
              </w:tabs>
              <w:adjustRightInd w:val="0"/>
              <w:snapToGrid w:val="0"/>
              <w:spacing w:line="300" w:lineRule="exact"/>
              <w:rPr>
                <w:rFonts w:ascii="Times New Roman" w:hAnsi="Times New Roman" w:cs="Times New Roman"/>
                <w:szCs w:val="21"/>
              </w:rPr>
            </w:pPr>
            <w:r>
              <w:rPr>
                <w:rFonts w:ascii="Times New Roman" w:hAnsi="Times New Roman" w:cs="Times New Roman"/>
                <w:szCs w:val="21"/>
              </w:rPr>
              <w:t>pH</w:t>
            </w:r>
            <w:r>
              <w:rPr>
                <w:rFonts w:hint="eastAsia" w:ascii="Times New Roman" w:hAnsi="Times New Roman" w:cs="Times New Roman"/>
                <w:szCs w:val="21"/>
              </w:rPr>
              <w:t>、</w:t>
            </w:r>
            <w:r>
              <w:rPr>
                <w:rFonts w:ascii="Times New Roman" w:hAnsi="Times New Roman" w:cs="Times New Roman"/>
                <w:szCs w:val="21"/>
              </w:rPr>
              <w:t>COD</w:t>
            </w:r>
            <w:r>
              <w:rPr>
                <w:rFonts w:hint="eastAsia" w:ascii="Times New Roman" w:hAnsi="Times New Roman" w:cs="Times New Roman"/>
                <w:szCs w:val="21"/>
              </w:rPr>
              <w:t>、</w:t>
            </w:r>
            <w:r>
              <w:rPr>
                <w:rFonts w:ascii="Times New Roman" w:hAnsi="Times New Roman" w:cs="Times New Roman"/>
                <w:szCs w:val="21"/>
              </w:rPr>
              <w:t>SS</w:t>
            </w:r>
            <w:r>
              <w:rPr>
                <w:rFonts w:hint="eastAsia" w:ascii="Times New Roman" w:hAnsi="Times New Roman" w:cs="Times New Roman"/>
                <w:szCs w:val="21"/>
              </w:rPr>
              <w:t>、</w:t>
            </w:r>
            <w:r>
              <w:rPr>
                <w:rFonts w:ascii="Times New Roman" w:hAnsi="Times New Roman" w:cs="Times New Roman"/>
                <w:szCs w:val="21"/>
              </w:rPr>
              <w:t>NH</w:t>
            </w:r>
            <w:r>
              <w:rPr>
                <w:rFonts w:ascii="Times New Roman" w:hAnsi="Times New Roman" w:cs="Times New Roman"/>
                <w:szCs w:val="21"/>
                <w:vertAlign w:val="subscript"/>
              </w:rPr>
              <w:t>3</w:t>
            </w:r>
            <w:r>
              <w:rPr>
                <w:rFonts w:ascii="Times New Roman" w:hAnsi="Times New Roman" w:cs="Times New Roman"/>
                <w:szCs w:val="21"/>
              </w:rPr>
              <w:t>-N</w:t>
            </w:r>
            <w:r>
              <w:rPr>
                <w:rFonts w:hint="eastAsia" w:ascii="Times New Roman" w:hAnsi="Times New Roman" w:cs="Times New Roman"/>
                <w:szCs w:val="21"/>
              </w:rPr>
              <w:t>、总氮、总磷、粪大肠菌群、、总余氯</w:t>
            </w:r>
          </w:p>
        </w:tc>
        <w:tc>
          <w:tcPr>
            <w:tcW w:w="991" w:type="dxa"/>
            <w:vAlign w:val="center"/>
          </w:tcPr>
          <w:p>
            <w:pPr>
              <w:tabs>
                <w:tab w:val="left" w:pos="3052"/>
              </w:tabs>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连续</w:t>
            </w:r>
          </w:p>
        </w:tc>
        <w:tc>
          <w:tcPr>
            <w:tcW w:w="1987" w:type="dxa"/>
          </w:tcPr>
          <w:p>
            <w:pPr>
              <w:tabs>
                <w:tab w:val="left" w:pos="3052"/>
              </w:tabs>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食堂废水经隔油池</w:t>
            </w:r>
            <w:r>
              <w:rPr>
                <w:rFonts w:hint="eastAsia" w:ascii="Times New Roman" w:hAnsi="Times New Roman" w:cs="Times New Roman"/>
                <w:szCs w:val="21"/>
              </w:rPr>
              <w:t>预处理后，与医疗废水、生活污水一并进入</w:t>
            </w:r>
            <w:r>
              <w:rPr>
                <w:rFonts w:ascii="Times New Roman" w:hAnsi="Times New Roman" w:cs="Times New Roman"/>
                <w:szCs w:val="21"/>
              </w:rPr>
              <w:t>化粪池处理后排入医院污水处理站处理，</w:t>
            </w:r>
            <w:r>
              <w:rPr>
                <w:rFonts w:hint="eastAsia" w:ascii="Times New Roman" w:hAnsi="Times New Roman" w:cs="Times New Roman"/>
                <w:szCs w:val="21"/>
              </w:rPr>
              <w:t>处理工艺为“格栅+调节池+混凝沉淀+消毒”</w:t>
            </w:r>
          </w:p>
        </w:tc>
        <w:tc>
          <w:tcPr>
            <w:tcW w:w="759" w:type="dxa"/>
            <w:vAlign w:val="center"/>
          </w:tcPr>
          <w:p>
            <w:pPr>
              <w:tabs>
                <w:tab w:val="left" w:pos="3052"/>
              </w:tabs>
              <w:adjustRightInd w:val="0"/>
              <w:snapToGrid w:val="0"/>
              <w:spacing w:line="320" w:lineRule="exact"/>
              <w:jc w:val="center"/>
              <w:rPr>
                <w:rFonts w:ascii="Times New Roman" w:hAnsi="Times New Roman" w:cs="Times New Roman"/>
                <w:szCs w:val="21"/>
              </w:rPr>
            </w:pPr>
            <w:r>
              <w:rPr>
                <w:rFonts w:hint="eastAsia" w:ascii="Times New Roman" w:hAnsi="Times New Roman" w:cs="Times New Roman"/>
                <w:szCs w:val="21"/>
              </w:rPr>
              <w:t>银定庄污水处理厂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4" w:hRule="atLeast"/>
        </w:trPr>
        <w:tc>
          <w:tcPr>
            <w:tcW w:w="1105" w:type="dxa"/>
            <w:vAlign w:val="center"/>
          </w:tcPr>
          <w:p>
            <w:pPr>
              <w:tabs>
                <w:tab w:val="left" w:pos="3052"/>
              </w:tabs>
              <w:adjustRightInd w:val="0"/>
              <w:snapToGrid w:val="0"/>
              <w:spacing w:line="320" w:lineRule="exact"/>
              <w:jc w:val="center"/>
              <w:rPr>
                <w:rFonts w:ascii="Times New Roman" w:hAnsi="Times New Roman" w:cs="Times New Roman"/>
                <w:szCs w:val="21"/>
              </w:rPr>
            </w:pPr>
            <w:r>
              <w:rPr>
                <w:rFonts w:hint="eastAsia" w:ascii="Times New Roman" w:hAnsi="Times New Roman" w:cs="Times New Roman"/>
                <w:szCs w:val="21"/>
              </w:rPr>
              <w:t>噪声</w:t>
            </w:r>
          </w:p>
        </w:tc>
        <w:tc>
          <w:tcPr>
            <w:tcW w:w="1556" w:type="dxa"/>
            <w:vAlign w:val="center"/>
          </w:tcPr>
          <w:p>
            <w:pPr>
              <w:spacing w:line="240" w:lineRule="exact"/>
              <w:jc w:val="center"/>
              <w:rPr>
                <w:rFonts w:ascii="Times New Roman" w:hAnsi="Times New Roman" w:cs="Times New Roman"/>
                <w:szCs w:val="21"/>
              </w:rPr>
            </w:pPr>
            <w:r>
              <w:rPr>
                <w:rFonts w:hint="eastAsia" w:ascii="Times New Roman" w:hAnsi="Times New Roman" w:cs="Times New Roman"/>
                <w:szCs w:val="21"/>
              </w:rPr>
              <w:t>水泵、风机等设备噪声</w:t>
            </w:r>
          </w:p>
        </w:tc>
        <w:tc>
          <w:tcPr>
            <w:tcW w:w="2130" w:type="dxa"/>
            <w:vAlign w:val="center"/>
          </w:tcPr>
          <w:p>
            <w:pPr>
              <w:tabs>
                <w:tab w:val="left" w:pos="3052"/>
              </w:tabs>
              <w:adjustRightInd w:val="0"/>
              <w:snapToGrid w:val="0"/>
              <w:spacing w:line="320" w:lineRule="exact"/>
              <w:jc w:val="center"/>
              <w:rPr>
                <w:rFonts w:ascii="Times New Roman" w:hAnsi="Times New Roman" w:cs="Times New Roman"/>
                <w:szCs w:val="21"/>
              </w:rPr>
            </w:pPr>
            <w:r>
              <w:rPr>
                <w:rFonts w:hint="eastAsia" w:ascii="Times New Roman" w:hAnsi="Times New Roman" w:cs="Times New Roman"/>
                <w:szCs w:val="21"/>
              </w:rPr>
              <w:t>等效连续A声级</w:t>
            </w:r>
          </w:p>
        </w:tc>
        <w:tc>
          <w:tcPr>
            <w:tcW w:w="991" w:type="dxa"/>
            <w:vAlign w:val="center"/>
          </w:tcPr>
          <w:p>
            <w:pPr>
              <w:tabs>
                <w:tab w:val="left" w:pos="3052"/>
              </w:tabs>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连续</w:t>
            </w:r>
          </w:p>
        </w:tc>
        <w:tc>
          <w:tcPr>
            <w:tcW w:w="1987" w:type="dxa"/>
          </w:tcPr>
          <w:p>
            <w:pPr>
              <w:tabs>
                <w:tab w:val="left" w:pos="3052"/>
              </w:tabs>
              <w:adjustRightInd w:val="0"/>
              <w:snapToGrid w:val="0"/>
              <w:spacing w:line="320" w:lineRule="exact"/>
              <w:jc w:val="center"/>
              <w:rPr>
                <w:rFonts w:ascii="Times New Roman" w:hAnsi="Times New Roman" w:cs="Times New Roman"/>
                <w:szCs w:val="21"/>
              </w:rPr>
            </w:pPr>
            <w:r>
              <w:rPr>
                <w:rFonts w:hint="eastAsia" w:ascii="Times New Roman" w:hAnsi="Times New Roman" w:cs="Times New Roman"/>
                <w:szCs w:val="21"/>
              </w:rPr>
              <w:t>选用低噪声设备，并设置减振基础，风机进出口软连接</w:t>
            </w:r>
          </w:p>
        </w:tc>
        <w:tc>
          <w:tcPr>
            <w:tcW w:w="759" w:type="dxa"/>
            <w:vAlign w:val="center"/>
          </w:tcPr>
          <w:p>
            <w:pPr>
              <w:tabs>
                <w:tab w:val="left" w:pos="3052"/>
              </w:tabs>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周围环境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exact"/>
        </w:trPr>
        <w:tc>
          <w:tcPr>
            <w:tcW w:w="1105" w:type="dxa"/>
            <w:vMerge w:val="restart"/>
            <w:vAlign w:val="center"/>
          </w:tcPr>
          <w:p>
            <w:pPr>
              <w:tabs>
                <w:tab w:val="left" w:pos="3052"/>
              </w:tabs>
              <w:adjustRightInd w:val="0"/>
              <w:snapToGrid w:val="0"/>
              <w:spacing w:line="320" w:lineRule="exact"/>
              <w:jc w:val="center"/>
              <w:rPr>
                <w:rFonts w:ascii="Times New Roman" w:hAnsi="Times New Roman" w:cs="Times New Roman"/>
                <w:szCs w:val="21"/>
              </w:rPr>
            </w:pPr>
            <w:r>
              <w:rPr>
                <w:rFonts w:hint="eastAsia" w:ascii="Times New Roman" w:hAnsi="Times New Roman" w:cs="Times New Roman"/>
                <w:szCs w:val="21"/>
              </w:rPr>
              <w:t>固体废物</w:t>
            </w:r>
          </w:p>
        </w:tc>
        <w:tc>
          <w:tcPr>
            <w:tcW w:w="1556" w:type="dxa"/>
            <w:vAlign w:val="center"/>
          </w:tcPr>
          <w:p>
            <w:pPr>
              <w:pStyle w:val="15"/>
              <w:spacing w:line="240" w:lineRule="auto"/>
              <w:ind w:firstLine="0"/>
              <w:jc w:val="center"/>
              <w:rPr>
                <w:rFonts w:ascii="Times New Roman"/>
                <w:sz w:val="21"/>
                <w:szCs w:val="21"/>
              </w:rPr>
            </w:pPr>
            <w:r>
              <w:rPr>
                <w:rFonts w:hint="eastAsia" w:ascii="Times New Roman"/>
                <w:sz w:val="21"/>
                <w:szCs w:val="21"/>
              </w:rPr>
              <w:t>医务人员办公生活</w:t>
            </w:r>
          </w:p>
        </w:tc>
        <w:tc>
          <w:tcPr>
            <w:tcW w:w="2130" w:type="dxa"/>
            <w:vAlign w:val="center"/>
          </w:tcPr>
          <w:p>
            <w:pPr>
              <w:pStyle w:val="15"/>
              <w:spacing w:line="240" w:lineRule="auto"/>
              <w:ind w:firstLine="0"/>
              <w:jc w:val="center"/>
              <w:rPr>
                <w:rFonts w:ascii="Times New Roman"/>
                <w:sz w:val="21"/>
                <w:szCs w:val="21"/>
              </w:rPr>
            </w:pPr>
            <w:r>
              <w:rPr>
                <w:rFonts w:hint="eastAsia" w:ascii="Times New Roman"/>
                <w:sz w:val="21"/>
                <w:szCs w:val="21"/>
              </w:rPr>
              <w:t>生活垃圾</w:t>
            </w:r>
          </w:p>
        </w:tc>
        <w:tc>
          <w:tcPr>
            <w:tcW w:w="991" w:type="dxa"/>
            <w:vAlign w:val="center"/>
          </w:tcPr>
          <w:p>
            <w:pPr>
              <w:tabs>
                <w:tab w:val="left" w:pos="3052"/>
              </w:tabs>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间断</w:t>
            </w:r>
          </w:p>
        </w:tc>
        <w:tc>
          <w:tcPr>
            <w:tcW w:w="1987" w:type="dxa"/>
          </w:tcPr>
          <w:p>
            <w:r>
              <w:rPr>
                <w:rFonts w:hint="eastAsia" w:ascii="Times New Roman" w:hAnsi="Times New Roman" w:cs="Times New Roman"/>
                <w:szCs w:val="21"/>
              </w:rPr>
              <w:t>定期由环卫部门统一收集处置</w:t>
            </w:r>
          </w:p>
        </w:tc>
        <w:tc>
          <w:tcPr>
            <w:tcW w:w="759" w:type="dxa"/>
            <w:vMerge w:val="restart"/>
            <w:vAlign w:val="center"/>
          </w:tcPr>
          <w:p>
            <w:pPr>
              <w:tabs>
                <w:tab w:val="left" w:pos="3052"/>
              </w:tabs>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全部合理处置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exact"/>
        </w:trPr>
        <w:tc>
          <w:tcPr>
            <w:tcW w:w="1105" w:type="dxa"/>
            <w:vMerge w:val="continue"/>
            <w:vAlign w:val="center"/>
          </w:tcPr>
          <w:p>
            <w:pPr>
              <w:tabs>
                <w:tab w:val="left" w:pos="3052"/>
              </w:tabs>
              <w:adjustRightInd w:val="0"/>
              <w:snapToGrid w:val="0"/>
              <w:spacing w:line="320" w:lineRule="exact"/>
              <w:jc w:val="center"/>
              <w:rPr>
                <w:rFonts w:ascii="Times New Roman" w:hAnsi="Times New Roman" w:cs="Times New Roman"/>
                <w:szCs w:val="21"/>
              </w:rPr>
            </w:pPr>
          </w:p>
        </w:tc>
        <w:tc>
          <w:tcPr>
            <w:tcW w:w="1556" w:type="dxa"/>
            <w:vAlign w:val="center"/>
          </w:tcPr>
          <w:p>
            <w:pPr>
              <w:pStyle w:val="15"/>
              <w:spacing w:line="240" w:lineRule="auto"/>
              <w:ind w:firstLine="0"/>
              <w:jc w:val="center"/>
              <w:rPr>
                <w:rFonts w:ascii="Times New Roman"/>
                <w:color w:val="000000" w:themeColor="text1"/>
                <w:sz w:val="21"/>
                <w:szCs w:val="21"/>
              </w:rPr>
            </w:pPr>
            <w:r>
              <w:rPr>
                <w:rFonts w:hint="eastAsia" w:ascii="Times New Roman"/>
                <w:color w:val="000000" w:themeColor="text1"/>
                <w:sz w:val="21"/>
                <w:szCs w:val="21"/>
              </w:rPr>
              <w:t>煎药室</w:t>
            </w:r>
          </w:p>
        </w:tc>
        <w:tc>
          <w:tcPr>
            <w:tcW w:w="2130" w:type="dxa"/>
            <w:vAlign w:val="center"/>
          </w:tcPr>
          <w:p>
            <w:pPr>
              <w:pStyle w:val="15"/>
              <w:spacing w:line="240" w:lineRule="auto"/>
              <w:ind w:firstLine="0"/>
              <w:jc w:val="center"/>
              <w:rPr>
                <w:rFonts w:ascii="Times New Roman"/>
                <w:color w:val="000000" w:themeColor="text1"/>
                <w:sz w:val="21"/>
                <w:szCs w:val="21"/>
              </w:rPr>
            </w:pPr>
            <w:r>
              <w:rPr>
                <w:rFonts w:hint="eastAsia" w:ascii="Times New Roman"/>
                <w:color w:val="000000" w:themeColor="text1"/>
                <w:sz w:val="21"/>
                <w:szCs w:val="21"/>
              </w:rPr>
              <w:t>药渣</w:t>
            </w:r>
          </w:p>
        </w:tc>
        <w:tc>
          <w:tcPr>
            <w:tcW w:w="991" w:type="dxa"/>
            <w:vAlign w:val="center"/>
          </w:tcPr>
          <w:p>
            <w:pPr>
              <w:tabs>
                <w:tab w:val="left" w:pos="3052"/>
              </w:tabs>
              <w:adjustRightInd w:val="0"/>
              <w:snapToGrid w:val="0"/>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间断</w:t>
            </w:r>
          </w:p>
        </w:tc>
        <w:tc>
          <w:tcPr>
            <w:tcW w:w="1987" w:type="dxa"/>
          </w:tcPr>
          <w:p>
            <w:pPr>
              <w:rPr>
                <w:rFonts w:ascii="Times New Roman" w:hAnsi="Times New Roman" w:cs="Times New Roman"/>
                <w:color w:val="000000" w:themeColor="text1"/>
                <w:szCs w:val="21"/>
              </w:rPr>
            </w:pPr>
            <w:r>
              <w:rPr>
                <w:rFonts w:hint="eastAsia"/>
                <w:bCs/>
                <w:color w:val="000000" w:themeColor="text1"/>
                <w:szCs w:val="21"/>
              </w:rPr>
              <w:t>定期由环卫部门统一收集处置</w:t>
            </w:r>
          </w:p>
        </w:tc>
        <w:tc>
          <w:tcPr>
            <w:tcW w:w="759" w:type="dxa"/>
            <w:vMerge w:val="continue"/>
            <w:vAlign w:val="center"/>
          </w:tcPr>
          <w:p>
            <w:pPr>
              <w:tabs>
                <w:tab w:val="left" w:pos="3052"/>
              </w:tabs>
              <w:adjustRightInd w:val="0"/>
              <w:snapToGrid w:val="0"/>
              <w:spacing w:line="32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6" w:hRule="exact"/>
        </w:trPr>
        <w:tc>
          <w:tcPr>
            <w:tcW w:w="1105" w:type="dxa"/>
            <w:vMerge w:val="continue"/>
            <w:vAlign w:val="center"/>
          </w:tcPr>
          <w:p>
            <w:pPr>
              <w:tabs>
                <w:tab w:val="left" w:pos="3052"/>
              </w:tabs>
              <w:adjustRightInd w:val="0"/>
              <w:snapToGrid w:val="0"/>
              <w:spacing w:line="320" w:lineRule="exact"/>
              <w:jc w:val="center"/>
              <w:rPr>
                <w:rFonts w:ascii="Times New Roman" w:hAnsi="Times New Roman" w:cs="Times New Roman"/>
                <w:szCs w:val="21"/>
              </w:rPr>
            </w:pPr>
          </w:p>
        </w:tc>
        <w:tc>
          <w:tcPr>
            <w:tcW w:w="1556" w:type="dxa"/>
            <w:vAlign w:val="center"/>
          </w:tcPr>
          <w:p>
            <w:pPr>
              <w:pStyle w:val="15"/>
              <w:spacing w:line="240" w:lineRule="auto"/>
              <w:ind w:firstLine="0"/>
              <w:jc w:val="center"/>
              <w:rPr>
                <w:rFonts w:ascii="Times New Roman"/>
                <w:sz w:val="21"/>
                <w:szCs w:val="21"/>
              </w:rPr>
            </w:pPr>
            <w:r>
              <w:rPr>
                <w:rFonts w:hint="eastAsia" w:ascii="Times New Roman"/>
                <w:sz w:val="21"/>
                <w:szCs w:val="21"/>
              </w:rPr>
              <w:t>医疗过程</w:t>
            </w:r>
          </w:p>
        </w:tc>
        <w:tc>
          <w:tcPr>
            <w:tcW w:w="2130" w:type="dxa"/>
            <w:vAlign w:val="center"/>
          </w:tcPr>
          <w:p>
            <w:pPr>
              <w:pStyle w:val="15"/>
              <w:spacing w:line="240" w:lineRule="auto"/>
              <w:ind w:firstLine="0"/>
              <w:jc w:val="center"/>
              <w:rPr>
                <w:rFonts w:ascii="Times New Roman"/>
                <w:sz w:val="21"/>
                <w:szCs w:val="21"/>
              </w:rPr>
            </w:pPr>
            <w:r>
              <w:rPr>
                <w:rFonts w:hint="eastAsia" w:ascii="Times New Roman"/>
                <w:sz w:val="21"/>
                <w:szCs w:val="21"/>
              </w:rPr>
              <w:t>医疗废物</w:t>
            </w:r>
          </w:p>
        </w:tc>
        <w:tc>
          <w:tcPr>
            <w:tcW w:w="991" w:type="dxa"/>
            <w:vAlign w:val="center"/>
          </w:tcPr>
          <w:p>
            <w:pPr>
              <w:tabs>
                <w:tab w:val="left" w:pos="3052"/>
              </w:tabs>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间断</w:t>
            </w:r>
          </w:p>
        </w:tc>
        <w:tc>
          <w:tcPr>
            <w:tcW w:w="1987" w:type="dxa"/>
            <w:vMerge w:val="restart"/>
            <w:vAlign w:val="center"/>
          </w:tcPr>
          <w:p>
            <w:pPr>
              <w:pStyle w:val="39"/>
              <w:spacing w:line="240" w:lineRule="auto"/>
              <w:rPr>
                <w:color w:val="000000" w:themeColor="text1"/>
                <w:szCs w:val="21"/>
              </w:rPr>
            </w:pPr>
            <w:r>
              <w:rPr>
                <w:rFonts w:hint="eastAsia"/>
                <w:color w:val="000000" w:themeColor="text1"/>
                <w:szCs w:val="21"/>
              </w:rPr>
              <w:t>暂存于医疗废物暂存间，定期由有资质单位收集处置</w:t>
            </w:r>
          </w:p>
        </w:tc>
        <w:tc>
          <w:tcPr>
            <w:tcW w:w="759" w:type="dxa"/>
            <w:vMerge w:val="continue"/>
            <w:vAlign w:val="center"/>
          </w:tcPr>
          <w:p>
            <w:pPr>
              <w:tabs>
                <w:tab w:val="left" w:pos="3052"/>
              </w:tabs>
              <w:adjustRightInd w:val="0"/>
              <w:snapToGrid w:val="0"/>
              <w:spacing w:line="32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6" w:hRule="exact"/>
        </w:trPr>
        <w:tc>
          <w:tcPr>
            <w:tcW w:w="1105" w:type="dxa"/>
            <w:vMerge w:val="continue"/>
            <w:vAlign w:val="center"/>
          </w:tcPr>
          <w:p>
            <w:pPr>
              <w:tabs>
                <w:tab w:val="left" w:pos="3052"/>
              </w:tabs>
              <w:adjustRightInd w:val="0"/>
              <w:snapToGrid w:val="0"/>
              <w:spacing w:line="320" w:lineRule="exact"/>
              <w:jc w:val="center"/>
              <w:rPr>
                <w:rFonts w:ascii="Times New Roman" w:hAnsi="Times New Roman" w:cs="Times New Roman"/>
                <w:szCs w:val="21"/>
              </w:rPr>
            </w:pPr>
          </w:p>
        </w:tc>
        <w:tc>
          <w:tcPr>
            <w:tcW w:w="1556" w:type="dxa"/>
            <w:vAlign w:val="center"/>
          </w:tcPr>
          <w:p>
            <w:pPr>
              <w:pStyle w:val="15"/>
              <w:spacing w:line="240" w:lineRule="auto"/>
              <w:ind w:firstLine="0"/>
              <w:jc w:val="center"/>
              <w:rPr>
                <w:rFonts w:ascii="Times New Roman"/>
                <w:sz w:val="21"/>
                <w:szCs w:val="21"/>
              </w:rPr>
            </w:pPr>
            <w:r>
              <w:rPr>
                <w:rFonts w:ascii="Times New Roman"/>
                <w:bCs/>
                <w:sz w:val="21"/>
                <w:szCs w:val="21"/>
              </w:rPr>
              <w:t>COD、氨氮在线监测仪</w:t>
            </w:r>
          </w:p>
        </w:tc>
        <w:tc>
          <w:tcPr>
            <w:tcW w:w="2130" w:type="dxa"/>
            <w:vAlign w:val="center"/>
          </w:tcPr>
          <w:p>
            <w:pPr>
              <w:pStyle w:val="15"/>
              <w:spacing w:line="240" w:lineRule="auto"/>
              <w:ind w:firstLine="0"/>
              <w:jc w:val="center"/>
              <w:rPr>
                <w:rFonts w:ascii="Times New Roman"/>
                <w:sz w:val="21"/>
                <w:szCs w:val="21"/>
              </w:rPr>
            </w:pPr>
            <w:r>
              <w:rPr>
                <w:rFonts w:hint="eastAsia" w:ascii="Times New Roman"/>
                <w:bCs/>
                <w:sz w:val="21"/>
                <w:szCs w:val="21"/>
              </w:rPr>
              <w:t>废液</w:t>
            </w:r>
          </w:p>
        </w:tc>
        <w:tc>
          <w:tcPr>
            <w:tcW w:w="991" w:type="dxa"/>
            <w:vAlign w:val="center"/>
          </w:tcPr>
          <w:p>
            <w:pPr>
              <w:tabs>
                <w:tab w:val="left" w:pos="3052"/>
              </w:tabs>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间断</w:t>
            </w:r>
          </w:p>
        </w:tc>
        <w:tc>
          <w:tcPr>
            <w:tcW w:w="1987" w:type="dxa"/>
            <w:vMerge w:val="continue"/>
            <w:vAlign w:val="center"/>
          </w:tcPr>
          <w:p>
            <w:pPr>
              <w:pStyle w:val="39"/>
              <w:spacing w:line="240" w:lineRule="auto"/>
              <w:rPr>
                <w:color w:val="000000" w:themeColor="text1"/>
                <w:szCs w:val="21"/>
              </w:rPr>
            </w:pPr>
          </w:p>
        </w:tc>
        <w:tc>
          <w:tcPr>
            <w:tcW w:w="759" w:type="dxa"/>
            <w:vMerge w:val="continue"/>
            <w:vAlign w:val="center"/>
          </w:tcPr>
          <w:p>
            <w:pPr>
              <w:tabs>
                <w:tab w:val="left" w:pos="3052"/>
              </w:tabs>
              <w:adjustRightInd w:val="0"/>
              <w:snapToGrid w:val="0"/>
              <w:spacing w:line="32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exact"/>
        </w:trPr>
        <w:tc>
          <w:tcPr>
            <w:tcW w:w="1105" w:type="dxa"/>
            <w:vMerge w:val="continue"/>
            <w:vAlign w:val="center"/>
          </w:tcPr>
          <w:p>
            <w:pPr>
              <w:tabs>
                <w:tab w:val="left" w:pos="3052"/>
              </w:tabs>
              <w:adjustRightInd w:val="0"/>
              <w:snapToGrid w:val="0"/>
              <w:spacing w:line="320" w:lineRule="exact"/>
              <w:jc w:val="center"/>
              <w:rPr>
                <w:rFonts w:ascii="Times New Roman" w:hAnsi="Times New Roman" w:cs="Times New Roman"/>
                <w:szCs w:val="21"/>
              </w:rPr>
            </w:pPr>
          </w:p>
        </w:tc>
        <w:tc>
          <w:tcPr>
            <w:tcW w:w="1556" w:type="dxa"/>
            <w:vAlign w:val="center"/>
          </w:tcPr>
          <w:p>
            <w:pPr>
              <w:pStyle w:val="15"/>
              <w:spacing w:line="240" w:lineRule="auto"/>
              <w:ind w:firstLine="0"/>
              <w:jc w:val="center"/>
              <w:rPr>
                <w:rFonts w:ascii="Times New Roman"/>
                <w:sz w:val="21"/>
                <w:szCs w:val="21"/>
              </w:rPr>
            </w:pPr>
            <w:r>
              <w:rPr>
                <w:rFonts w:hint="eastAsia" w:ascii="Times New Roman"/>
                <w:sz w:val="21"/>
                <w:szCs w:val="21"/>
              </w:rPr>
              <w:t>污水站及化粪池</w:t>
            </w:r>
          </w:p>
        </w:tc>
        <w:tc>
          <w:tcPr>
            <w:tcW w:w="2130" w:type="dxa"/>
            <w:vAlign w:val="center"/>
          </w:tcPr>
          <w:p>
            <w:pPr>
              <w:pStyle w:val="15"/>
              <w:spacing w:line="240" w:lineRule="auto"/>
              <w:ind w:firstLine="0"/>
              <w:jc w:val="center"/>
              <w:rPr>
                <w:rFonts w:ascii="Times New Roman"/>
                <w:sz w:val="21"/>
                <w:szCs w:val="21"/>
              </w:rPr>
            </w:pPr>
            <w:r>
              <w:rPr>
                <w:rFonts w:hint="eastAsia" w:ascii="Times New Roman"/>
                <w:sz w:val="21"/>
                <w:szCs w:val="21"/>
              </w:rPr>
              <w:t>污泥</w:t>
            </w:r>
          </w:p>
        </w:tc>
        <w:tc>
          <w:tcPr>
            <w:tcW w:w="991" w:type="dxa"/>
            <w:vAlign w:val="center"/>
          </w:tcPr>
          <w:p>
            <w:pPr>
              <w:tabs>
                <w:tab w:val="left" w:pos="3052"/>
              </w:tabs>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间断</w:t>
            </w:r>
          </w:p>
        </w:tc>
        <w:tc>
          <w:tcPr>
            <w:tcW w:w="1987" w:type="dxa"/>
            <w:vAlign w:val="center"/>
          </w:tcPr>
          <w:p>
            <w:pPr>
              <w:pStyle w:val="39"/>
              <w:spacing w:line="240" w:lineRule="auto"/>
              <w:rPr>
                <w:color w:val="000000" w:themeColor="text1"/>
                <w:szCs w:val="21"/>
              </w:rPr>
            </w:pPr>
            <w:r>
              <w:rPr>
                <w:rFonts w:hint="eastAsia"/>
                <w:color w:val="000000" w:themeColor="text1"/>
                <w:szCs w:val="21"/>
              </w:rPr>
              <w:t>与医疗废物一同交由有资质单位处理</w:t>
            </w:r>
          </w:p>
        </w:tc>
        <w:tc>
          <w:tcPr>
            <w:tcW w:w="759" w:type="dxa"/>
            <w:vMerge w:val="continue"/>
            <w:vAlign w:val="center"/>
          </w:tcPr>
          <w:p>
            <w:pPr>
              <w:tabs>
                <w:tab w:val="left" w:pos="3052"/>
              </w:tabs>
              <w:adjustRightInd w:val="0"/>
              <w:snapToGrid w:val="0"/>
              <w:spacing w:line="320" w:lineRule="exact"/>
              <w:jc w:val="center"/>
              <w:rPr>
                <w:rFonts w:ascii="Times New Roman" w:hAnsi="Times New Roman" w:cs="Times New Roman"/>
                <w:szCs w:val="21"/>
              </w:rPr>
            </w:pPr>
          </w:p>
        </w:tc>
      </w:tr>
    </w:tbl>
    <w:p>
      <w:pPr>
        <w:pStyle w:val="3"/>
        <w:spacing w:before="0" w:after="0" w:line="415" w:lineRule="auto"/>
        <w:rPr>
          <w:rFonts w:ascii="Times New Roman" w:hAnsi="Times New Roman" w:cs="Times New Roman"/>
          <w:sz w:val="24"/>
          <w:szCs w:val="24"/>
        </w:rPr>
      </w:pPr>
      <w:bookmarkStart w:id="25" w:name="_Toc13725351"/>
      <w:r>
        <w:rPr>
          <w:rFonts w:hint="eastAsia" w:ascii="Times New Roman" w:hAnsi="Times New Roman" w:cs="Times New Roman"/>
          <w:sz w:val="24"/>
          <w:szCs w:val="24"/>
        </w:rPr>
        <w:t>3.3项目主要污染源、污染物及污染防治措施</w:t>
      </w:r>
      <w:bookmarkEnd w:id="25"/>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3.3.1废气</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本项目废气主要为医院污水处理站运行产生恶臭气体，主要污染物为氨、硫化氢、臭气浓度；煎药室煎药过程产生恶臭气体，主要污染物为臭气浓度；食堂产生油烟。</w:t>
      </w:r>
    </w:p>
    <w:p>
      <w:pPr>
        <w:spacing w:line="360" w:lineRule="auto"/>
        <w:ind w:firstLine="480"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1、污水处理站运行产生恶臭气体</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污水处理站采取密闭措施，根据类比同行业，臭气浓度产生量为9</w:t>
      </w:r>
      <w:r>
        <w:rPr>
          <w:rFonts w:ascii="Times New Roman" w:hAnsi="Times New Roman" w:cs="Times New Roman"/>
          <w:color w:val="000000" w:themeColor="text1"/>
          <w:sz w:val="24"/>
          <w:szCs w:val="24"/>
        </w:rPr>
        <w:t>00</w:t>
      </w:r>
      <w:r>
        <w:rPr>
          <w:rFonts w:hint="eastAsia" w:ascii="Times New Roman" w:hAnsi="Times New Roman" w:cs="Times New Roman"/>
          <w:color w:val="000000" w:themeColor="text1"/>
          <w:sz w:val="24"/>
          <w:szCs w:val="24"/>
        </w:rPr>
        <w:t>（无量纲）；氨产生量为</w:t>
      </w:r>
      <w:r>
        <w:rPr>
          <w:rFonts w:ascii="Times New Roman" w:hAnsi="Times New Roman" w:cs="Times New Roman"/>
          <w:color w:val="000000" w:themeColor="text1"/>
          <w:sz w:val="24"/>
          <w:szCs w:val="24"/>
        </w:rPr>
        <w:t>1</w:t>
      </w:r>
      <w:r>
        <w:rPr>
          <w:rFonts w:hint="eastAsia"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.405t/a</w:t>
      </w:r>
      <w:r>
        <w:rPr>
          <w:rFonts w:hint="eastAsia" w:ascii="Times New Roman" w:hAnsi="Times New Roman" w:cs="Times New Roman"/>
          <w:color w:val="000000" w:themeColor="text1"/>
          <w:sz w:val="24"/>
          <w:szCs w:val="24"/>
        </w:rPr>
        <w:t>；硫化氢产生量为</w:t>
      </w:r>
      <w:r>
        <w:rPr>
          <w:rFonts w:ascii="Times New Roman" w:hAnsi="Times New Roman" w:cs="Times New Roman"/>
          <w:color w:val="000000" w:themeColor="text1"/>
          <w:sz w:val="24"/>
          <w:szCs w:val="24"/>
        </w:rPr>
        <w:t>0.</w:t>
      </w:r>
      <w:r>
        <w:rPr>
          <w:rFonts w:hint="eastAsia"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58t/a</w:t>
      </w:r>
      <w:r>
        <w:rPr>
          <w:rFonts w:hint="eastAsia" w:ascii="Times New Roman" w:hAnsi="Times New Roman" w:cs="Times New Roman"/>
          <w:color w:val="000000" w:themeColor="text1"/>
          <w:sz w:val="24"/>
          <w:szCs w:val="24"/>
        </w:rPr>
        <w:t>，进入集气管道收集，集气效率为</w:t>
      </w:r>
      <w:r>
        <w:rPr>
          <w:rFonts w:ascii="Times New Roman" w:hAnsi="Times New Roman" w:cs="Times New Roman"/>
          <w:color w:val="000000" w:themeColor="text1"/>
          <w:sz w:val="24"/>
          <w:szCs w:val="24"/>
        </w:rPr>
        <w:t>99%</w:t>
      </w:r>
      <w:r>
        <w:rPr>
          <w:rFonts w:hint="eastAsia" w:ascii="Times New Roman" w:hAnsi="Times New Roman" w:cs="Times New Roman"/>
          <w:color w:val="000000" w:themeColor="text1"/>
          <w:sz w:val="24"/>
          <w:szCs w:val="24"/>
        </w:rPr>
        <w:t>，采取经“水喷淋装置</w:t>
      </w:r>
      <w:r>
        <w:rPr>
          <w:rFonts w:ascii="Times New Roman" w:hAnsi="Times New Roman" w:cs="Times New Roman"/>
          <w:color w:val="000000" w:themeColor="text1"/>
          <w:sz w:val="24"/>
          <w:szCs w:val="24"/>
        </w:rPr>
        <w:t>+UV</w:t>
      </w:r>
      <w:r>
        <w:rPr>
          <w:rFonts w:hint="eastAsia" w:ascii="Times New Roman" w:hAnsi="Times New Roman" w:cs="Times New Roman"/>
          <w:color w:val="000000" w:themeColor="text1"/>
          <w:sz w:val="24"/>
          <w:szCs w:val="24"/>
        </w:rPr>
        <w:t>紫外线光解净化器”处理后，经</w:t>
      </w:r>
      <w:r>
        <w:rPr>
          <w:rFonts w:ascii="Times New Roman" w:hAnsi="Times New Roman" w:cs="Times New Roman"/>
          <w:color w:val="000000" w:themeColor="text1"/>
          <w:sz w:val="24"/>
          <w:szCs w:val="24"/>
        </w:rPr>
        <w:t>1</w:t>
      </w:r>
      <w:r>
        <w:rPr>
          <w:rFonts w:hint="eastAsia" w:ascii="Times New Roman" w:hAnsi="Times New Roman" w:cs="Times New Roman"/>
          <w:color w:val="000000" w:themeColor="text1"/>
          <w:sz w:val="24"/>
          <w:szCs w:val="24"/>
        </w:rPr>
        <w:t>根</w:t>
      </w:r>
      <w:r>
        <w:rPr>
          <w:rFonts w:ascii="Times New Roman" w:hAnsi="Times New Roman" w:cs="Times New Roman"/>
          <w:color w:val="000000" w:themeColor="text1"/>
          <w:sz w:val="24"/>
          <w:szCs w:val="24"/>
        </w:rPr>
        <w:t>15m</w:t>
      </w:r>
      <w:r>
        <w:rPr>
          <w:rFonts w:hint="eastAsia" w:ascii="Times New Roman" w:hAnsi="Times New Roman" w:cs="Times New Roman"/>
          <w:color w:val="000000" w:themeColor="text1"/>
          <w:sz w:val="24"/>
          <w:szCs w:val="24"/>
        </w:rPr>
        <w:t>高排气筒排放。</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经“水喷淋装置</w:t>
      </w:r>
      <w:r>
        <w:rPr>
          <w:rFonts w:ascii="Times New Roman" w:hAnsi="Times New Roman" w:cs="Times New Roman"/>
          <w:color w:val="000000" w:themeColor="text1"/>
          <w:sz w:val="24"/>
          <w:szCs w:val="24"/>
        </w:rPr>
        <w:t>+UV</w:t>
      </w:r>
      <w:r>
        <w:rPr>
          <w:rFonts w:hint="eastAsia" w:ascii="Times New Roman" w:hAnsi="Times New Roman" w:cs="Times New Roman"/>
          <w:color w:val="000000" w:themeColor="text1"/>
          <w:sz w:val="24"/>
          <w:szCs w:val="24"/>
        </w:rPr>
        <w:t>紫外线光解净化器”臭气浓度去除效率为</w:t>
      </w:r>
      <w:r>
        <w:rPr>
          <w:rFonts w:ascii="Times New Roman" w:hAnsi="Times New Roman" w:cs="Times New Roman"/>
          <w:color w:val="000000" w:themeColor="text1"/>
          <w:sz w:val="24"/>
          <w:szCs w:val="24"/>
        </w:rPr>
        <w:t>50%</w:t>
      </w:r>
      <w:r>
        <w:rPr>
          <w:rFonts w:hint="eastAsia" w:ascii="Times New Roman" w:hAnsi="Times New Roman" w:cs="Times New Roman"/>
          <w:color w:val="000000" w:themeColor="text1"/>
          <w:sz w:val="24"/>
          <w:szCs w:val="24"/>
        </w:rPr>
        <w:t>，氨、硫化氢处理效率为</w:t>
      </w:r>
      <w:r>
        <w:rPr>
          <w:rFonts w:ascii="Times New Roman" w:hAnsi="Times New Roman" w:cs="Times New Roman"/>
          <w:color w:val="000000" w:themeColor="text1"/>
          <w:sz w:val="24"/>
          <w:szCs w:val="24"/>
        </w:rPr>
        <w:t>95%</w:t>
      </w:r>
      <w:r>
        <w:rPr>
          <w:rFonts w:hint="eastAsia" w:ascii="Times New Roman" w:hAnsi="Times New Roman" w:cs="Times New Roman"/>
          <w:color w:val="000000" w:themeColor="text1"/>
          <w:sz w:val="24"/>
          <w:szCs w:val="24"/>
        </w:rPr>
        <w:t>，风机风量为</w:t>
      </w:r>
      <w:r>
        <w:rPr>
          <w:rFonts w:ascii="Times New Roman" w:hAnsi="Times New Roman" w:cs="Times New Roman"/>
          <w:color w:val="000000" w:themeColor="text1"/>
          <w:sz w:val="24"/>
          <w:szCs w:val="24"/>
        </w:rPr>
        <w:t>10000m</w:t>
      </w:r>
      <w:r>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/h</w:t>
      </w:r>
      <w:r>
        <w:rPr>
          <w:rFonts w:hint="eastAsia" w:ascii="Times New Roman" w:hAnsi="Times New Roman" w:cs="Times New Roman"/>
          <w:color w:val="000000" w:themeColor="text1"/>
          <w:sz w:val="24"/>
          <w:szCs w:val="24"/>
        </w:rPr>
        <w:t>，运行时间为8760</w:t>
      </w:r>
      <w:r>
        <w:rPr>
          <w:rFonts w:ascii="Times New Roman" w:hAnsi="Times New Roman" w:cs="Times New Roman"/>
          <w:color w:val="000000" w:themeColor="text1"/>
          <w:sz w:val="24"/>
          <w:szCs w:val="24"/>
        </w:rPr>
        <w:t>h</w:t>
      </w:r>
      <w:r>
        <w:rPr>
          <w:rFonts w:hint="eastAsia" w:ascii="Times New Roman" w:hAnsi="Times New Roman" w:cs="Times New Roman"/>
          <w:color w:val="000000" w:themeColor="text1"/>
          <w:sz w:val="24"/>
          <w:szCs w:val="24"/>
        </w:rPr>
        <w:t>，处理后臭气浓度有组织排放量为445.5（无量纲）；氨排放速率为</w:t>
      </w:r>
      <w:r>
        <w:rPr>
          <w:rFonts w:ascii="Times New Roman" w:hAnsi="Times New Roman" w:cs="Times New Roman"/>
          <w:color w:val="000000" w:themeColor="text1"/>
          <w:sz w:val="24"/>
          <w:szCs w:val="24"/>
        </w:rPr>
        <w:t>0.</w:t>
      </w:r>
      <w:r>
        <w:rPr>
          <w:rFonts w:hint="eastAsia" w:ascii="Times New Roman" w:hAnsi="Times New Roman" w:cs="Times New Roman"/>
          <w:color w:val="000000" w:themeColor="text1"/>
          <w:sz w:val="24"/>
          <w:szCs w:val="24"/>
        </w:rPr>
        <w:t>064</w:t>
      </w:r>
      <w:r>
        <w:rPr>
          <w:rFonts w:ascii="Times New Roman" w:hAnsi="Times New Roman" w:cs="Times New Roman"/>
          <w:color w:val="000000" w:themeColor="text1"/>
          <w:sz w:val="24"/>
          <w:szCs w:val="24"/>
        </w:rPr>
        <w:t>kg/h</w:t>
      </w:r>
      <w:r>
        <w:rPr>
          <w:rFonts w:hint="eastAsia" w:ascii="Times New Roman" w:hAnsi="Times New Roman" w:cs="Times New Roman"/>
          <w:color w:val="000000" w:themeColor="text1"/>
          <w:sz w:val="24"/>
          <w:szCs w:val="24"/>
        </w:rPr>
        <w:t>，排放量为</w:t>
      </w:r>
      <w:r>
        <w:rPr>
          <w:rFonts w:ascii="Times New Roman" w:hAnsi="Times New Roman" w:cs="Times New Roman"/>
          <w:color w:val="000000" w:themeColor="text1"/>
          <w:sz w:val="24"/>
          <w:szCs w:val="24"/>
        </w:rPr>
        <w:t>0.565t/a</w:t>
      </w:r>
      <w:r>
        <w:rPr>
          <w:rFonts w:hint="eastAsia" w:ascii="Times New Roman" w:hAnsi="Times New Roman" w:cs="Times New Roman"/>
          <w:color w:val="000000" w:themeColor="text1"/>
          <w:sz w:val="24"/>
          <w:szCs w:val="24"/>
        </w:rPr>
        <w:t>，排放浓度为6.450mg/m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；硫化氢排放速率为</w:t>
      </w:r>
      <w:r>
        <w:rPr>
          <w:rFonts w:ascii="Times New Roman" w:hAnsi="Times New Roman" w:cs="Times New Roman"/>
          <w:color w:val="000000" w:themeColor="text1"/>
          <w:sz w:val="24"/>
          <w:szCs w:val="24"/>
        </w:rPr>
        <w:t>0.</w:t>
      </w:r>
      <w:r>
        <w:rPr>
          <w:rFonts w:hint="eastAsia" w:ascii="Times New Roman" w:hAnsi="Times New Roman" w:cs="Times New Roman"/>
          <w:color w:val="000000" w:themeColor="text1"/>
          <w:sz w:val="24"/>
          <w:szCs w:val="24"/>
        </w:rPr>
        <w:t>003</w:t>
      </w:r>
      <w:r>
        <w:rPr>
          <w:rFonts w:ascii="Times New Roman" w:hAnsi="Times New Roman" w:cs="Times New Roman"/>
          <w:color w:val="000000" w:themeColor="text1"/>
          <w:sz w:val="24"/>
          <w:szCs w:val="24"/>
        </w:rPr>
        <w:t>kg/h</w:t>
      </w:r>
      <w:r>
        <w:rPr>
          <w:rFonts w:hint="eastAsia" w:ascii="Times New Roman" w:hAnsi="Times New Roman" w:cs="Times New Roman"/>
          <w:color w:val="000000" w:themeColor="text1"/>
          <w:sz w:val="24"/>
          <w:szCs w:val="24"/>
        </w:rPr>
        <w:t>，排放量为</w:t>
      </w:r>
      <w:r>
        <w:rPr>
          <w:rFonts w:ascii="Times New Roman" w:hAnsi="Times New Roman" w:cs="Times New Roman"/>
          <w:color w:val="000000" w:themeColor="text1"/>
          <w:sz w:val="24"/>
          <w:szCs w:val="24"/>
        </w:rPr>
        <w:t>0.023t/a</w:t>
      </w:r>
      <w:r>
        <w:rPr>
          <w:rFonts w:hint="eastAsia" w:ascii="Times New Roman" w:hAnsi="Times New Roman" w:cs="Times New Roman"/>
          <w:color w:val="000000" w:themeColor="text1"/>
          <w:sz w:val="24"/>
          <w:szCs w:val="24"/>
        </w:rPr>
        <w:t>，，排放浓度为0.263mg/m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，满足《恶臭污染物排放标准》（</w:t>
      </w:r>
      <w:r>
        <w:rPr>
          <w:rFonts w:ascii="Times New Roman" w:hAnsi="Times New Roman" w:cs="Times New Roman"/>
          <w:color w:val="000000" w:themeColor="text1"/>
          <w:sz w:val="24"/>
          <w:szCs w:val="24"/>
        </w:rPr>
        <w:t>GB14554-93</w:t>
      </w:r>
      <w:r>
        <w:rPr>
          <w:rFonts w:hint="eastAsia" w:ascii="Times New Roman" w:hAnsi="Times New Roman" w:cs="Times New Roman"/>
          <w:color w:val="000000" w:themeColor="text1"/>
          <w:sz w:val="24"/>
          <w:szCs w:val="24"/>
        </w:rPr>
        <w:t>）表</w:t>
      </w:r>
      <w:r>
        <w:rPr>
          <w:rFonts w:ascii="Times New Roman" w:hAnsi="Times New Roman" w:cs="Times New Roman"/>
          <w:color w:val="000000" w:themeColor="text1"/>
          <w:sz w:val="24"/>
          <w:szCs w:val="24"/>
        </w:rPr>
        <w:t>2</w:t>
      </w:r>
      <w:r>
        <w:rPr>
          <w:rFonts w:hint="eastAsia" w:ascii="Times New Roman" w:hAnsi="Times New Roman" w:cs="Times New Roman"/>
          <w:color w:val="000000" w:themeColor="text1"/>
          <w:sz w:val="24"/>
          <w:szCs w:val="24"/>
        </w:rPr>
        <w:t>污染物排放标准。</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本项目臭气浓度无组织排放量为9（无量纲），排放量为</w:t>
      </w:r>
      <w:r>
        <w:rPr>
          <w:rFonts w:ascii="Times New Roman" w:hAnsi="Times New Roman" w:cs="Times New Roman"/>
          <w:color w:val="000000" w:themeColor="text1"/>
          <w:sz w:val="24"/>
          <w:szCs w:val="24"/>
        </w:rPr>
        <w:t>0.114t/a</w:t>
      </w:r>
      <w:r>
        <w:rPr>
          <w:rFonts w:hint="eastAsia" w:ascii="Times New Roman" w:hAnsi="Times New Roman" w:cs="Times New Roman"/>
          <w:color w:val="000000" w:themeColor="text1"/>
          <w:sz w:val="24"/>
          <w:szCs w:val="24"/>
        </w:rPr>
        <w:t>，排放量为</w:t>
      </w:r>
      <w:r>
        <w:rPr>
          <w:rFonts w:ascii="Times New Roman" w:hAnsi="Times New Roman" w:cs="Times New Roman"/>
          <w:color w:val="000000" w:themeColor="text1"/>
          <w:sz w:val="24"/>
          <w:szCs w:val="24"/>
        </w:rPr>
        <w:t>0.005t/a</w:t>
      </w:r>
      <w:r>
        <w:rPr>
          <w:rFonts w:hint="eastAsia" w:ascii="Times New Roman" w:hAnsi="Times New Roman" w:cs="Times New Roman"/>
          <w:color w:val="000000" w:themeColor="text1"/>
          <w:sz w:val="24"/>
          <w:szCs w:val="24"/>
        </w:rPr>
        <w:t>。预测厂界无组织污染物排放</w:t>
      </w:r>
      <w:r>
        <w:rPr>
          <w:rFonts w:hint="eastAsia" w:ascii="Times New Roman" w:hAnsi="宋体" w:eastAsia="宋体" w:cs="Times New Roman"/>
          <w:color w:val="000000" w:themeColor="text1"/>
          <w:sz w:val="24"/>
          <w:szCs w:val="24"/>
        </w:rPr>
        <w:t>《医疗机构水污染物排放标准》（GB18466-2005）表3污水处理站周边大气污染物最高允许浓度</w:t>
      </w:r>
      <w:r>
        <w:rPr>
          <w:rFonts w:hint="eastAsia" w:ascii="Times New Roman" w:hAnsi="Times New Roman" w:cs="Times New Roman"/>
          <w:color w:val="000000" w:themeColor="text1"/>
          <w:sz w:val="24"/>
          <w:szCs w:val="24"/>
        </w:rPr>
        <w:t>（臭气浓度≤10（无量纲）、氨≤</w:t>
      </w:r>
      <w:r>
        <w:rPr>
          <w:rFonts w:ascii="Times New Roman" w:hAnsi="Times New Roman" w:cs="Times New Roman"/>
          <w:color w:val="000000" w:themeColor="text1"/>
          <w:sz w:val="24"/>
          <w:szCs w:val="24"/>
        </w:rPr>
        <w:t>1.</w:t>
      </w:r>
      <w:r>
        <w:rPr>
          <w:rFonts w:hint="eastAsia"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mg/m</w:t>
      </w:r>
      <w:r>
        <w:rPr>
          <w:rFonts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、硫化氢</w:t>
      </w:r>
      <w:r>
        <w:rPr>
          <w:rFonts w:ascii="Times New Roman" w:hAnsi="Times New Roman" w:cs="Times New Roman"/>
          <w:color w:val="000000" w:themeColor="text1"/>
          <w:sz w:val="24"/>
          <w:szCs w:val="24"/>
        </w:rPr>
        <w:t>≤0.0</w:t>
      </w:r>
      <w:r>
        <w:rPr>
          <w:rFonts w:hint="eastAsia"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mg/m</w:t>
      </w:r>
      <w:r>
        <w:rPr>
          <w:rFonts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）的要求，不会对周围大气环境产生明显影响。</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2、煎药室废气</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项目煎药室煎药过程会产生异味，主要污染物为恶臭气体，煎药设备煎药过程密闭，及时通风，通过排风扇加强室内外循环通风及时排出，预测臭气浓度排放满足</w:t>
      </w:r>
      <w:r>
        <w:rPr>
          <w:rFonts w:hint="eastAsia" w:ascii="Times New Roman" w:hAnsi="宋体" w:eastAsia="宋体" w:cs="Times New Roman"/>
          <w:color w:val="000000" w:themeColor="text1"/>
          <w:sz w:val="24"/>
          <w:szCs w:val="24"/>
        </w:rPr>
        <w:t>《医疗机构水污染物排放标准》（GB18466-2005）表3污水处理站周边大气污染物最高允许浓度</w:t>
      </w:r>
      <w:r>
        <w:rPr>
          <w:rFonts w:hint="eastAsia" w:ascii="Times New Roman" w:hAnsi="Times New Roman" w:cs="Times New Roman"/>
          <w:color w:val="000000" w:themeColor="text1"/>
          <w:sz w:val="24"/>
          <w:szCs w:val="24"/>
        </w:rPr>
        <w:t>（臭气浓度≤10（无量纲））的要求，不会对周围大气环境产生明显影响。</w:t>
      </w:r>
    </w:p>
    <w:p>
      <w:pPr>
        <w:spacing w:line="360" w:lineRule="auto"/>
        <w:ind w:firstLine="480"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2、食堂油烟</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本项目食堂燃料采用</w:t>
      </w:r>
      <w:r>
        <w:rPr>
          <w:rFonts w:hint="eastAsia" w:ascii="Times New Roman" w:hAnsi="Times New Roman" w:cs="Times New Roman"/>
          <w:color w:val="000000" w:themeColor="text1"/>
          <w:sz w:val="24"/>
          <w:szCs w:val="24"/>
        </w:rPr>
        <w:t>市政燃气管网供应</w:t>
      </w:r>
      <w:r>
        <w:rPr>
          <w:rFonts w:ascii="Times New Roman" w:hAnsi="Times New Roman" w:cs="Times New Roman"/>
          <w:color w:val="000000" w:themeColor="text1"/>
          <w:sz w:val="24"/>
          <w:szCs w:val="24"/>
        </w:rPr>
        <w:t>，产生的废气主要为饮食油烟</w:t>
      </w:r>
      <w:r>
        <w:rPr>
          <w:rFonts w:hint="eastAsia" w:ascii="Times New Roman" w:hAnsi="Times New Roman" w:cs="Times New Roman"/>
          <w:color w:val="000000" w:themeColor="text1"/>
          <w:sz w:val="24"/>
          <w:szCs w:val="24"/>
        </w:rPr>
        <w:t>。</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医院</w:t>
      </w:r>
      <w:r>
        <w:rPr>
          <w:rFonts w:ascii="Times New Roman" w:hAnsi="Times New Roman" w:cs="Times New Roman"/>
          <w:color w:val="000000" w:themeColor="text1"/>
          <w:sz w:val="24"/>
          <w:szCs w:val="24"/>
        </w:rPr>
        <w:t>定员</w:t>
      </w:r>
      <w:r>
        <w:rPr>
          <w:rFonts w:hint="eastAsia" w:ascii="Times New Roman" w:hAnsi="Times New Roman" w:cs="Times New Roman"/>
          <w:color w:val="000000" w:themeColor="text1"/>
          <w:sz w:val="24"/>
          <w:szCs w:val="24"/>
        </w:rPr>
        <w:t>共900</w:t>
      </w:r>
      <w:r>
        <w:rPr>
          <w:rFonts w:ascii="Times New Roman" w:hAnsi="Times New Roman" w:cs="Times New Roman"/>
          <w:color w:val="000000" w:themeColor="text1"/>
          <w:sz w:val="24"/>
          <w:szCs w:val="24"/>
        </w:rPr>
        <w:t>人，平均每天约</w:t>
      </w:r>
      <w:r>
        <w:rPr>
          <w:rFonts w:hint="eastAsia" w:ascii="Times New Roman" w:hAnsi="Times New Roman" w:cs="Times New Roman"/>
          <w:color w:val="000000" w:themeColor="text1"/>
          <w:sz w:val="24"/>
          <w:szCs w:val="24"/>
        </w:rPr>
        <w:t>500</w:t>
      </w:r>
      <w:r>
        <w:rPr>
          <w:rFonts w:ascii="Times New Roman" w:hAnsi="Times New Roman" w:cs="Times New Roman"/>
          <w:color w:val="000000" w:themeColor="text1"/>
          <w:sz w:val="24"/>
          <w:szCs w:val="24"/>
        </w:rPr>
        <w:t>人在餐厅就餐，</w:t>
      </w:r>
      <w:r>
        <w:rPr>
          <w:rFonts w:hint="eastAsia" w:ascii="Times New Roman" w:hAnsi="Times New Roman" w:cs="Times New Roman"/>
          <w:color w:val="000000" w:themeColor="text1"/>
          <w:sz w:val="24"/>
          <w:szCs w:val="24"/>
        </w:rPr>
        <w:t>食堂设4个基准灶头，职工食堂</w:t>
      </w:r>
      <w:r>
        <w:rPr>
          <w:rFonts w:ascii="Times New Roman" w:hAnsi="Times New Roman" w:cs="Times New Roman"/>
          <w:color w:val="000000" w:themeColor="text1"/>
          <w:sz w:val="24"/>
          <w:szCs w:val="24"/>
        </w:rPr>
        <w:t>食用油按15g/d</w:t>
      </w:r>
      <w:r>
        <w:rPr>
          <w:rFonts w:hint="eastAsia" w:ascii="Times New Roman" w:hAnsi="Times New Roman" w:cs="Times New Roman"/>
          <w:color w:val="000000" w:themeColor="text1"/>
          <w:sz w:val="24"/>
          <w:szCs w:val="24"/>
        </w:rPr>
        <w:t>·人</w:t>
      </w:r>
      <w:r>
        <w:rPr>
          <w:rFonts w:ascii="Times New Roman" w:hAnsi="Times New Roman" w:cs="Times New Roman"/>
          <w:color w:val="000000" w:themeColor="text1"/>
          <w:sz w:val="24"/>
          <w:szCs w:val="24"/>
        </w:rPr>
        <w:t>计，则</w:t>
      </w:r>
      <w:r>
        <w:rPr>
          <w:rFonts w:hint="eastAsia" w:ascii="Times New Roman" w:hAnsi="Times New Roman" w:cs="Times New Roman"/>
          <w:color w:val="000000" w:themeColor="text1"/>
          <w:sz w:val="24"/>
          <w:szCs w:val="24"/>
        </w:rPr>
        <w:t>餐厅</w:t>
      </w:r>
      <w:r>
        <w:rPr>
          <w:rFonts w:ascii="Times New Roman" w:hAnsi="Times New Roman" w:cs="Times New Roman"/>
          <w:color w:val="000000" w:themeColor="text1"/>
          <w:sz w:val="24"/>
          <w:szCs w:val="24"/>
        </w:rPr>
        <w:t>食用油用量为</w:t>
      </w:r>
      <w:r>
        <w:rPr>
          <w:rFonts w:hint="eastAsia" w:ascii="Times New Roman" w:hAnsi="Times New Roman" w:cs="Times New Roman"/>
          <w:color w:val="000000" w:themeColor="text1"/>
          <w:sz w:val="24"/>
          <w:szCs w:val="24"/>
        </w:rPr>
        <w:t>7500</w:t>
      </w:r>
      <w:r>
        <w:rPr>
          <w:rFonts w:ascii="Times New Roman" w:hAnsi="Times New Roman" w:cs="Times New Roman"/>
          <w:color w:val="000000" w:themeColor="text1"/>
          <w:sz w:val="24"/>
          <w:szCs w:val="24"/>
        </w:rPr>
        <w:t>g/d</w:t>
      </w:r>
      <w:r>
        <w:rPr>
          <w:rFonts w:hint="eastAsia" w:ascii="Times New Roman" w:hAnsi="Times New Roman" w:cs="Times New Roman"/>
          <w:color w:val="000000" w:themeColor="text1"/>
          <w:sz w:val="24"/>
          <w:szCs w:val="24"/>
        </w:rPr>
        <w:t>、2.738t/a</w:t>
      </w:r>
      <w:r>
        <w:rPr>
          <w:rFonts w:ascii="Times New Roman" w:hAnsi="Times New Roman" w:cs="Times New Roman"/>
          <w:color w:val="000000" w:themeColor="text1"/>
          <w:sz w:val="24"/>
          <w:szCs w:val="24"/>
        </w:rPr>
        <w:t>，油烟挥发量</w:t>
      </w:r>
      <w:r>
        <w:rPr>
          <w:rFonts w:hint="eastAsia" w:ascii="Times New Roman" w:hAnsi="Times New Roman" w:cs="Times New Roman"/>
          <w:color w:val="000000" w:themeColor="text1"/>
          <w:sz w:val="24"/>
          <w:szCs w:val="24"/>
        </w:rPr>
        <w:t>按</w:t>
      </w:r>
      <w:r>
        <w:rPr>
          <w:rFonts w:ascii="Times New Roman" w:hAnsi="Times New Roman" w:cs="Times New Roman"/>
          <w:color w:val="000000" w:themeColor="text1"/>
          <w:sz w:val="24"/>
          <w:szCs w:val="24"/>
        </w:rPr>
        <w:t>3%</w:t>
      </w:r>
      <w:r>
        <w:rPr>
          <w:rFonts w:hint="eastAsia" w:ascii="Times New Roman" w:hAnsi="Times New Roman" w:cs="Times New Roman"/>
          <w:color w:val="000000" w:themeColor="text1"/>
          <w:sz w:val="24"/>
          <w:szCs w:val="24"/>
        </w:rPr>
        <w:t>计</w:t>
      </w:r>
      <w:r>
        <w:rPr>
          <w:rFonts w:ascii="Times New Roman" w:hAnsi="Times New Roman" w:cs="Times New Roman"/>
          <w:color w:val="000000" w:themeColor="text1"/>
          <w:sz w:val="24"/>
          <w:szCs w:val="24"/>
        </w:rPr>
        <w:t>，油烟的产生量为</w:t>
      </w:r>
      <w:r>
        <w:rPr>
          <w:rFonts w:hint="eastAsia" w:ascii="Times New Roman" w:hAnsi="Times New Roman" w:cs="Times New Roman"/>
          <w:color w:val="000000" w:themeColor="text1"/>
          <w:sz w:val="24"/>
          <w:szCs w:val="24"/>
        </w:rPr>
        <w:t>225</w:t>
      </w:r>
      <w:r>
        <w:rPr>
          <w:rFonts w:ascii="Times New Roman" w:hAnsi="Times New Roman" w:cs="Times New Roman"/>
          <w:color w:val="000000" w:themeColor="text1"/>
          <w:sz w:val="24"/>
          <w:szCs w:val="24"/>
        </w:rPr>
        <w:t>g/d，按日排烟3h计算，油烟产生量为</w:t>
      </w:r>
      <w:r>
        <w:rPr>
          <w:rFonts w:hint="eastAsia" w:ascii="Times New Roman" w:hAnsi="Times New Roman" w:cs="Times New Roman"/>
          <w:color w:val="000000" w:themeColor="text1"/>
          <w:sz w:val="24"/>
          <w:szCs w:val="24"/>
        </w:rPr>
        <w:t>75</w:t>
      </w:r>
      <w:r>
        <w:rPr>
          <w:rFonts w:ascii="Times New Roman" w:hAnsi="Times New Roman" w:cs="Times New Roman"/>
          <w:color w:val="000000" w:themeColor="text1"/>
          <w:sz w:val="24"/>
          <w:szCs w:val="24"/>
        </w:rPr>
        <w:t>g/h，产生浓度为</w:t>
      </w:r>
      <w:r>
        <w:rPr>
          <w:rFonts w:hint="eastAsia" w:ascii="Times New Roman" w:hAnsi="Times New Roman" w:cs="Times New Roman"/>
          <w:color w:val="000000" w:themeColor="text1"/>
          <w:sz w:val="24"/>
          <w:szCs w:val="24"/>
        </w:rPr>
        <w:t>7.5</w:t>
      </w:r>
      <w:r>
        <w:rPr>
          <w:rFonts w:ascii="Times New Roman" w:hAnsi="Times New Roman" w:cs="Times New Roman"/>
          <w:color w:val="000000" w:themeColor="text1"/>
          <w:sz w:val="24"/>
          <w:szCs w:val="24"/>
        </w:rPr>
        <w:t>mg/m³（废气量</w:t>
      </w:r>
      <w:r>
        <w:rPr>
          <w:rFonts w:hint="eastAsia" w:ascii="Times New Roman" w:hAnsi="Times New Roman" w:cs="Times New Roman"/>
          <w:color w:val="000000" w:themeColor="text1"/>
          <w:sz w:val="24"/>
          <w:szCs w:val="24"/>
        </w:rPr>
        <w:t>100</w:t>
      </w:r>
      <w:r>
        <w:rPr>
          <w:rFonts w:ascii="Times New Roman" w:hAnsi="Times New Roman" w:cs="Times New Roman"/>
          <w:color w:val="000000" w:themeColor="text1"/>
          <w:sz w:val="24"/>
          <w:szCs w:val="24"/>
        </w:rPr>
        <w:t>00m³/h）</w:t>
      </w:r>
      <w:r>
        <w:rPr>
          <w:rFonts w:hint="eastAsia" w:ascii="Times New Roman" w:hAnsi="Times New Roman" w:cs="Times New Roman"/>
          <w:color w:val="000000" w:themeColor="text1"/>
          <w:sz w:val="24"/>
          <w:szCs w:val="24"/>
        </w:rPr>
        <w:t>，超过《饮食业油烟排放标准</w:t>
      </w:r>
      <w:r>
        <w:rPr>
          <w:rFonts w:ascii="Times New Roman" w:hAnsi="Times New Roman" w:cs="Times New Roman"/>
          <w:color w:val="000000" w:themeColor="text1"/>
          <w:sz w:val="24"/>
          <w:szCs w:val="24"/>
        </w:rPr>
        <w:t>（试行）</w:t>
      </w:r>
      <w:r>
        <w:rPr>
          <w:rFonts w:hint="eastAsia" w:ascii="Times New Roman" w:hAnsi="Times New Roman" w:cs="Times New Roman"/>
          <w:color w:val="000000" w:themeColor="text1"/>
          <w:sz w:val="24"/>
          <w:szCs w:val="24"/>
        </w:rPr>
        <w:t>》（GB18483—2001）大型规模标准：2.0mg/m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，因此，必须进行治理。</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建设单位必须选取经国家认可的单位检测合格的油烟净化装置，油烟净化效率达到90%，治理后油烟排放量为0.0274t/a，排放浓度为0.75mg/m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，可满足《饮食业油烟排放标准</w:t>
      </w:r>
      <w:r>
        <w:rPr>
          <w:rFonts w:ascii="Times New Roman" w:hAnsi="Times New Roman" w:cs="Times New Roman"/>
          <w:color w:val="000000" w:themeColor="text1"/>
          <w:sz w:val="24"/>
          <w:szCs w:val="24"/>
        </w:rPr>
        <w:t>（试行）</w:t>
      </w:r>
      <w:r>
        <w:rPr>
          <w:rFonts w:hint="eastAsia" w:ascii="Times New Roman" w:hAnsi="Times New Roman" w:cs="Times New Roman"/>
          <w:color w:val="000000" w:themeColor="text1"/>
          <w:sz w:val="24"/>
          <w:szCs w:val="24"/>
        </w:rPr>
        <w:t>》（GB18483—2001）大型规模标准（2.0mg/m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）排放标准要求，治理后的油烟经专用烟道高于</w:t>
      </w:r>
      <w:r>
        <w:rPr>
          <w:rFonts w:ascii="Times New Roman" w:hAnsi="Times New Roman" w:cs="Times New Roman"/>
          <w:color w:val="000000" w:themeColor="text1"/>
          <w:sz w:val="24"/>
          <w:szCs w:val="24"/>
        </w:rPr>
        <w:t>食堂</w:t>
      </w:r>
      <w:r>
        <w:rPr>
          <w:rFonts w:hint="eastAsia" w:ascii="Times New Roman" w:hAnsi="Times New Roman" w:cs="Times New Roman"/>
          <w:color w:val="000000" w:themeColor="text1"/>
          <w:sz w:val="24"/>
          <w:szCs w:val="24"/>
        </w:rPr>
        <w:t>顶排放</w:t>
      </w:r>
      <w:r>
        <w:rPr>
          <w:rFonts w:ascii="Times New Roman" w:hAnsi="Times New Roman" w:cs="Times New Roman"/>
          <w:color w:val="000000" w:themeColor="text1"/>
          <w:sz w:val="24"/>
          <w:szCs w:val="24"/>
        </w:rPr>
        <w:t>。</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3.3.2废水</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本项目不设传染病房，无传染医疗废水；化验测试药剂无重金属成分，无含重金属废水。项目废水包括门诊废水、医疗器械清洗废水、职工生活污水、病房区生活污水、食堂废水，废水总量为395.686m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/d（144425.390m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/a）。</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项目废水主要污染因子为</w:t>
      </w:r>
      <w:r>
        <w:rPr>
          <w:rFonts w:ascii="Times New Roman" w:hAnsi="Times New Roman" w:cs="Times New Roman"/>
          <w:color w:val="000000" w:themeColor="text1"/>
          <w:sz w:val="24"/>
          <w:szCs w:val="24"/>
        </w:rPr>
        <w:t>COD、SS、氨氮、</w:t>
      </w:r>
      <w:r>
        <w:rPr>
          <w:rFonts w:hint="eastAsia" w:ascii="Times New Roman" w:hAnsi="Times New Roman" w:cs="Times New Roman"/>
          <w:color w:val="000000" w:themeColor="text1"/>
          <w:sz w:val="24"/>
          <w:szCs w:val="24"/>
        </w:rPr>
        <w:t>总氮、总磷、粪大肠菌群、</w:t>
      </w:r>
      <w:r>
        <w:rPr>
          <w:rFonts w:ascii="Times New Roman" w:hAnsi="Times New Roman" w:cs="Times New Roman"/>
          <w:color w:val="000000" w:themeColor="text1"/>
          <w:sz w:val="24"/>
          <w:szCs w:val="24"/>
        </w:rPr>
        <w:t>动植物油</w:t>
      </w:r>
      <w:r>
        <w:rPr>
          <w:rFonts w:hint="eastAsia" w:ascii="Times New Roman" w:hAnsi="Times New Roman" w:cs="Times New Roman"/>
          <w:color w:val="000000" w:themeColor="text1"/>
          <w:sz w:val="24"/>
          <w:szCs w:val="24"/>
        </w:rPr>
        <w:t>，根据类比调查污染物产生浓度分别为COD380</w:t>
      </w:r>
      <w:r>
        <w:rPr>
          <w:rFonts w:hint="eastAsia" w:ascii="Times New Roman" w:hAnsi="Times New Roman" w:eastAsia="宋体" w:cs="Times New Roman"/>
          <w:color w:val="000000" w:themeColor="text1"/>
          <w:szCs w:val="21"/>
        </w:rPr>
        <w:t xml:space="preserve"> </w:t>
      </w:r>
      <w:r>
        <w:rPr>
          <w:rFonts w:hint="eastAsia" w:ascii="Times New Roman" w:hAnsi="Times New Roman" w:cs="Times New Roman"/>
          <w:color w:val="000000" w:themeColor="text1"/>
          <w:sz w:val="24"/>
          <w:szCs w:val="24"/>
        </w:rPr>
        <w:t>mg/L、SS200</w:t>
      </w:r>
      <w:r>
        <w:rPr>
          <w:rFonts w:hint="eastAsia" w:ascii="Times New Roman" w:hAnsi="Times New Roman" w:eastAsia="宋体" w:cs="Times New Roman"/>
          <w:color w:val="000000" w:themeColor="text1"/>
          <w:szCs w:val="21"/>
        </w:rPr>
        <w:t xml:space="preserve"> </w:t>
      </w:r>
      <w:r>
        <w:rPr>
          <w:rFonts w:hint="eastAsia" w:ascii="Times New Roman" w:hAnsi="Times New Roman" w:cs="Times New Roman"/>
          <w:color w:val="000000" w:themeColor="text1"/>
          <w:sz w:val="24"/>
          <w:szCs w:val="24"/>
        </w:rPr>
        <w:t>mg/L、氨氮40</w:t>
      </w:r>
      <w:r>
        <w:rPr>
          <w:rFonts w:hint="eastAsia" w:ascii="Times New Roman" w:hAnsi="Times New Roman" w:eastAsia="宋体" w:cs="Times New Roman"/>
          <w:color w:val="000000" w:themeColor="text1"/>
          <w:szCs w:val="21"/>
        </w:rPr>
        <w:t xml:space="preserve"> </w:t>
      </w:r>
      <w:r>
        <w:rPr>
          <w:rFonts w:hint="eastAsia" w:ascii="Times New Roman" w:hAnsi="Times New Roman" w:cs="Times New Roman"/>
          <w:color w:val="000000" w:themeColor="text1"/>
          <w:sz w:val="24"/>
          <w:szCs w:val="24"/>
        </w:rPr>
        <w:t>mg/L、总氮55</w:t>
      </w:r>
      <w:r>
        <w:rPr>
          <w:rFonts w:hint="eastAsia" w:ascii="Times New Roman" w:hAnsi="Times New Roman" w:eastAsia="宋体" w:cs="Times New Roman"/>
          <w:color w:val="000000" w:themeColor="text1"/>
          <w:szCs w:val="21"/>
        </w:rPr>
        <w:t xml:space="preserve"> </w:t>
      </w:r>
      <w:r>
        <w:rPr>
          <w:rFonts w:hint="eastAsia" w:ascii="Times New Roman" w:hAnsi="Times New Roman" w:cs="Times New Roman"/>
          <w:color w:val="000000" w:themeColor="text1"/>
          <w:sz w:val="24"/>
          <w:szCs w:val="24"/>
        </w:rPr>
        <w:t>mg/L、总磷8</w:t>
      </w:r>
      <w:r>
        <w:rPr>
          <w:rFonts w:hint="eastAsia" w:ascii="Times New Roman" w:hAnsi="Times New Roman" w:eastAsia="宋体" w:cs="Times New Roman"/>
          <w:color w:val="000000" w:themeColor="text1"/>
          <w:szCs w:val="21"/>
        </w:rPr>
        <w:t xml:space="preserve"> </w:t>
      </w:r>
      <w:r>
        <w:rPr>
          <w:rFonts w:hint="eastAsia" w:ascii="Times New Roman" w:hAnsi="Times New Roman" w:cs="Times New Roman"/>
          <w:color w:val="000000" w:themeColor="text1"/>
          <w:sz w:val="24"/>
          <w:szCs w:val="24"/>
        </w:rPr>
        <w:t>mg/L、粪大肠菌群</w:t>
      </w:r>
      <w:r>
        <w:rPr>
          <w:rFonts w:ascii="Times New Roman" w:hAnsi="Times New Roman" w:cs="Times New Roman"/>
          <w:color w:val="000000" w:themeColor="text1"/>
          <w:sz w:val="24"/>
          <w:szCs w:val="24"/>
        </w:rPr>
        <w:t>2.0×10</w:t>
      </w:r>
      <w:r>
        <w:rPr>
          <w:rFonts w:ascii="Times New Roman" w:hAnsi="Times New Roman" w:cs="Times New Roman"/>
          <w:color w:val="000000" w:themeColor="text1"/>
          <w:sz w:val="24"/>
          <w:szCs w:val="24"/>
          <w:vertAlign w:val="superscript"/>
        </w:rPr>
        <w:t>7</w:t>
      </w:r>
      <w:r>
        <w:rPr>
          <w:rFonts w:hint="eastAsia" w:ascii="Times New Roman" w:hAnsi="Times New Roman" w:cs="Times New Roman"/>
          <w:color w:val="000000" w:themeColor="text1"/>
          <w:szCs w:val="21"/>
        </w:rPr>
        <w:t xml:space="preserve"> </w:t>
      </w:r>
      <w:r>
        <w:rPr>
          <w:rFonts w:hint="eastAsia" w:ascii="Times New Roman" w:hAnsi="Times New Roman" w:cs="Times New Roman"/>
          <w:color w:val="000000" w:themeColor="text1"/>
          <w:sz w:val="24"/>
          <w:szCs w:val="24"/>
        </w:rPr>
        <w:t xml:space="preserve">MPN/L、动植物油80 mg/L，产生量分别为COD50.549 </w:t>
      </w:r>
      <w:r>
        <w:rPr>
          <w:rFonts w:ascii="Times New Roman" w:hAnsi="Times New Roman" w:cs="Times New Roman"/>
          <w:color w:val="000000" w:themeColor="text1"/>
          <w:sz w:val="24"/>
          <w:szCs w:val="24"/>
        </w:rPr>
        <w:t>t/a</w:t>
      </w:r>
      <w:r>
        <w:rPr>
          <w:rFonts w:hint="eastAsia" w:ascii="Times New Roman" w:hAnsi="Times New Roman" w:cs="Times New Roman"/>
          <w:color w:val="000000" w:themeColor="text1"/>
          <w:sz w:val="24"/>
          <w:szCs w:val="24"/>
        </w:rPr>
        <w:t xml:space="preserve">、SS28.885 </w:t>
      </w:r>
      <w:r>
        <w:rPr>
          <w:rFonts w:ascii="Times New Roman" w:hAnsi="Times New Roman" w:cs="Times New Roman"/>
          <w:color w:val="000000" w:themeColor="text1"/>
          <w:sz w:val="24"/>
          <w:szCs w:val="24"/>
        </w:rPr>
        <w:t>t/a</w:t>
      </w:r>
      <w:r>
        <w:rPr>
          <w:rFonts w:hint="eastAsia" w:ascii="Times New Roman" w:hAnsi="Times New Roman" w:cs="Times New Roman"/>
          <w:color w:val="000000" w:themeColor="text1"/>
          <w:sz w:val="24"/>
          <w:szCs w:val="24"/>
        </w:rPr>
        <w:t xml:space="preserve">、氨氮5.777 </w:t>
      </w:r>
      <w:r>
        <w:rPr>
          <w:rFonts w:ascii="Times New Roman" w:hAnsi="Times New Roman" w:cs="Times New Roman"/>
          <w:color w:val="000000" w:themeColor="text1"/>
          <w:sz w:val="24"/>
          <w:szCs w:val="24"/>
        </w:rPr>
        <w:t>t/a</w:t>
      </w:r>
      <w:r>
        <w:rPr>
          <w:rFonts w:hint="eastAsia" w:ascii="Times New Roman" w:hAnsi="Times New Roman" w:cs="Times New Roman"/>
          <w:color w:val="000000" w:themeColor="text1"/>
          <w:sz w:val="24"/>
          <w:szCs w:val="24"/>
        </w:rPr>
        <w:t>、总氮7.943</w:t>
      </w:r>
      <w:r>
        <w:rPr>
          <w:rFonts w:ascii="Times New Roman" w:hAnsi="Times New Roman" w:eastAsia="宋体" w:cs="Times New Roman"/>
          <w:color w:val="000000" w:themeColor="text1"/>
          <w:sz w:val="24"/>
          <w:szCs w:val="21"/>
        </w:rPr>
        <w:t xml:space="preserve"> </w:t>
      </w:r>
      <w:r>
        <w:rPr>
          <w:rFonts w:ascii="Times New Roman" w:hAnsi="Times New Roman" w:cs="Times New Roman"/>
          <w:color w:val="000000" w:themeColor="text1"/>
          <w:sz w:val="24"/>
          <w:szCs w:val="24"/>
        </w:rPr>
        <w:t>t/a</w:t>
      </w:r>
      <w:r>
        <w:rPr>
          <w:rFonts w:hint="eastAsia" w:ascii="Times New Roman" w:hAnsi="Times New Roman" w:cs="Times New Roman"/>
          <w:color w:val="000000" w:themeColor="text1"/>
          <w:sz w:val="24"/>
          <w:szCs w:val="24"/>
        </w:rPr>
        <w:t>、总磷1.155</w:t>
      </w:r>
      <w:r>
        <w:rPr>
          <w:rFonts w:ascii="Times New Roman" w:hAnsi="Times New Roman" w:eastAsia="宋体" w:cs="Times New Roman"/>
          <w:color w:val="000000" w:themeColor="text1"/>
          <w:sz w:val="24"/>
          <w:szCs w:val="21"/>
        </w:rPr>
        <w:t xml:space="preserve"> </w:t>
      </w:r>
      <w:r>
        <w:rPr>
          <w:rFonts w:ascii="Times New Roman" w:hAnsi="Times New Roman" w:cs="Times New Roman"/>
          <w:color w:val="000000" w:themeColor="text1"/>
          <w:sz w:val="24"/>
          <w:szCs w:val="24"/>
        </w:rPr>
        <w:t>t/a</w:t>
      </w:r>
      <w:r>
        <w:rPr>
          <w:rFonts w:hint="eastAsia" w:ascii="Times New Roman" w:hAnsi="Times New Roman" w:cs="Times New Roman"/>
          <w:color w:val="000000" w:themeColor="text1"/>
          <w:sz w:val="24"/>
          <w:szCs w:val="24"/>
        </w:rPr>
        <w:t>、粪大肠菌群2.889</w:t>
      </w:r>
      <w:r>
        <w:rPr>
          <w:rFonts w:ascii="Times New Roman" w:hAnsi="Times New Roman" w:cs="Times New Roman"/>
          <w:color w:val="000000" w:themeColor="text1"/>
          <w:sz w:val="24"/>
          <w:szCs w:val="24"/>
        </w:rPr>
        <w:t>×10</w:t>
      </w:r>
      <w:r>
        <w:rPr>
          <w:rFonts w:hint="eastAsia" w:ascii="Times New Roman" w:hAnsi="Times New Roman" w:cs="Times New Roman"/>
          <w:color w:val="000000" w:themeColor="text1"/>
          <w:sz w:val="24"/>
          <w:szCs w:val="24"/>
          <w:vertAlign w:val="superscript"/>
        </w:rPr>
        <w:t>15</w:t>
      </w:r>
      <w:r>
        <w:rPr>
          <w:rFonts w:hint="eastAsia" w:ascii="Times New Roman" w:hAnsi="Times New Roman" w:cs="Times New Roman"/>
          <w:color w:val="000000" w:themeColor="text1"/>
          <w:sz w:val="24"/>
          <w:szCs w:val="24"/>
        </w:rPr>
        <w:t xml:space="preserve"> MPN/a、动植物油11.554 </w:t>
      </w:r>
      <w:r>
        <w:rPr>
          <w:rFonts w:ascii="Times New Roman" w:hAnsi="Times New Roman" w:cs="Times New Roman"/>
          <w:color w:val="000000" w:themeColor="text1"/>
          <w:sz w:val="24"/>
          <w:szCs w:val="24"/>
        </w:rPr>
        <w:t>t/a</w:t>
      </w:r>
      <w:r>
        <w:rPr>
          <w:rFonts w:hint="eastAsia" w:ascii="Times New Roman" w:hAnsi="Times New Roman" w:cs="Times New Roman"/>
          <w:color w:val="000000" w:themeColor="text1"/>
          <w:sz w:val="24"/>
          <w:szCs w:val="24"/>
        </w:rPr>
        <w:t>。</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项目</w:t>
      </w:r>
      <w:r>
        <w:rPr>
          <w:rFonts w:ascii="Times New Roman" w:hAnsi="Times New Roman" w:cs="Times New Roman"/>
          <w:color w:val="000000" w:themeColor="text1"/>
          <w:sz w:val="24"/>
          <w:szCs w:val="24"/>
        </w:rPr>
        <w:t>食堂废水经隔油池</w:t>
      </w:r>
      <w:r>
        <w:rPr>
          <w:rFonts w:hint="eastAsia" w:ascii="Times New Roman" w:hAnsi="Times New Roman" w:cs="Times New Roman"/>
          <w:color w:val="000000" w:themeColor="text1"/>
          <w:sz w:val="24"/>
          <w:szCs w:val="24"/>
        </w:rPr>
        <w:t>预处理后，与医疗废水、生活污水一并进入</w:t>
      </w:r>
      <w:r>
        <w:rPr>
          <w:rFonts w:ascii="Times New Roman" w:hAnsi="Times New Roman" w:cs="Times New Roman"/>
          <w:color w:val="000000" w:themeColor="text1"/>
          <w:sz w:val="24"/>
          <w:szCs w:val="24"/>
        </w:rPr>
        <w:t>化粪池处理后排入医院污水处理站处理，</w:t>
      </w:r>
      <w:r>
        <w:rPr>
          <w:rFonts w:hint="eastAsia" w:ascii="Times New Roman" w:hAnsi="Times New Roman" w:cs="Times New Roman"/>
          <w:color w:val="000000" w:themeColor="text1"/>
          <w:sz w:val="24"/>
          <w:szCs w:val="24"/>
        </w:rPr>
        <w:t>污水站处理能力为500m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 xml:space="preserve">/d，采用“格栅+调节池+混凝沉淀+消毒”处理，处理后外排污水中各污染物排放浓度为COD200 mg/L、SS50 mg/L、氨氮20 mg/L、总氮30mg/L、总磷5.0 mg/L、粪大肠菌群23MPN/L、动植物油10 mg/L，产生量分别为COD28.885 </w:t>
      </w:r>
      <w:r>
        <w:rPr>
          <w:rFonts w:ascii="Times New Roman" w:hAnsi="Times New Roman" w:cs="Times New Roman"/>
          <w:color w:val="000000" w:themeColor="text1"/>
          <w:sz w:val="24"/>
          <w:szCs w:val="24"/>
        </w:rPr>
        <w:t>t/a</w:t>
      </w:r>
      <w:r>
        <w:rPr>
          <w:rFonts w:hint="eastAsia" w:ascii="Times New Roman" w:hAnsi="Times New Roman" w:cs="Times New Roman"/>
          <w:color w:val="000000" w:themeColor="text1"/>
          <w:sz w:val="24"/>
          <w:szCs w:val="24"/>
        </w:rPr>
        <w:t xml:space="preserve">、SS7.221 </w:t>
      </w:r>
      <w:r>
        <w:rPr>
          <w:rFonts w:ascii="Times New Roman" w:hAnsi="Times New Roman" w:cs="Times New Roman"/>
          <w:color w:val="000000" w:themeColor="text1"/>
          <w:sz w:val="24"/>
          <w:szCs w:val="24"/>
        </w:rPr>
        <w:t>t/a</w:t>
      </w:r>
      <w:r>
        <w:rPr>
          <w:rFonts w:hint="eastAsia" w:ascii="Times New Roman" w:hAnsi="Times New Roman" w:cs="Times New Roman"/>
          <w:color w:val="000000" w:themeColor="text1"/>
          <w:sz w:val="24"/>
          <w:szCs w:val="24"/>
        </w:rPr>
        <w:t xml:space="preserve">、氨氮2.889 </w:t>
      </w:r>
      <w:r>
        <w:rPr>
          <w:rFonts w:ascii="Times New Roman" w:hAnsi="Times New Roman" w:cs="Times New Roman"/>
          <w:color w:val="000000" w:themeColor="text1"/>
          <w:sz w:val="24"/>
          <w:szCs w:val="24"/>
        </w:rPr>
        <w:t>t/a</w:t>
      </w:r>
      <w:r>
        <w:rPr>
          <w:rFonts w:hint="eastAsia" w:ascii="Times New Roman" w:hAnsi="Times New Roman" w:cs="Times New Roman"/>
          <w:color w:val="000000" w:themeColor="text1"/>
          <w:sz w:val="24"/>
          <w:szCs w:val="24"/>
        </w:rPr>
        <w:t>、总氮4.333</w:t>
      </w:r>
      <w:r>
        <w:rPr>
          <w:rFonts w:ascii="Times New Roman" w:hAnsi="Times New Roman" w:cs="Times New Roman"/>
          <w:color w:val="000000" w:themeColor="text1"/>
          <w:sz w:val="24"/>
          <w:szCs w:val="24"/>
        </w:rPr>
        <w:t xml:space="preserve"> t/a</w:t>
      </w:r>
      <w:r>
        <w:rPr>
          <w:rFonts w:hint="eastAsia" w:ascii="Times New Roman" w:hAnsi="Times New Roman" w:cs="Times New Roman"/>
          <w:color w:val="000000" w:themeColor="text1"/>
          <w:sz w:val="24"/>
          <w:szCs w:val="24"/>
        </w:rPr>
        <w:t>、总磷0.722</w:t>
      </w:r>
      <w:r>
        <w:rPr>
          <w:rFonts w:ascii="Times New Roman" w:hAnsi="Times New Roman" w:cs="Times New Roman"/>
          <w:color w:val="000000" w:themeColor="text1"/>
          <w:sz w:val="24"/>
          <w:szCs w:val="24"/>
        </w:rPr>
        <w:t>t/a</w:t>
      </w:r>
      <w:r>
        <w:rPr>
          <w:rFonts w:hint="eastAsia" w:ascii="Times New Roman" w:hAnsi="Times New Roman" w:cs="Times New Roman"/>
          <w:color w:val="000000" w:themeColor="text1"/>
          <w:sz w:val="24"/>
          <w:szCs w:val="24"/>
        </w:rPr>
        <w:t>、粪大肠菌群3.322</w:t>
      </w:r>
      <w:r>
        <w:rPr>
          <w:rFonts w:ascii="Times New Roman" w:hAnsi="Times New Roman" w:cs="Times New Roman"/>
          <w:color w:val="000000" w:themeColor="text1"/>
          <w:sz w:val="24"/>
          <w:szCs w:val="24"/>
        </w:rPr>
        <w:t>×10</w:t>
      </w:r>
      <w:r>
        <w:rPr>
          <w:rFonts w:hint="eastAsia" w:ascii="Times New Roman" w:hAnsi="Times New Roman" w:cs="Times New Roman"/>
          <w:color w:val="000000" w:themeColor="text1"/>
          <w:sz w:val="24"/>
          <w:szCs w:val="24"/>
          <w:vertAlign w:val="superscript"/>
        </w:rPr>
        <w:t>9</w:t>
      </w:r>
      <w:r>
        <w:rPr>
          <w:rFonts w:hint="eastAsia" w:ascii="Times New Roman" w:hAnsi="Times New Roman" w:cs="Times New Roman"/>
          <w:color w:val="000000" w:themeColor="text1"/>
          <w:sz w:val="24"/>
          <w:szCs w:val="24"/>
        </w:rPr>
        <w:t>MPN/a、动植物油1.444</w:t>
      </w:r>
      <w:r>
        <w:rPr>
          <w:rFonts w:ascii="Times New Roman" w:hAnsi="Times New Roman" w:cs="Times New Roman"/>
          <w:color w:val="000000" w:themeColor="text1"/>
          <w:sz w:val="24"/>
          <w:szCs w:val="24"/>
        </w:rPr>
        <w:t>t/a</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处理</w:t>
      </w:r>
      <w:r>
        <w:rPr>
          <w:rFonts w:hint="eastAsia" w:ascii="Times New Roman" w:hAnsi="Times New Roman" w:cs="Times New Roman"/>
          <w:color w:val="000000" w:themeColor="text1"/>
          <w:sz w:val="24"/>
          <w:szCs w:val="24"/>
        </w:rPr>
        <w:t>后废水水质</w:t>
      </w:r>
      <w:r>
        <w:rPr>
          <w:rFonts w:ascii="Times New Roman" w:hAnsi="Times New Roman" w:cs="Times New Roman"/>
          <w:color w:val="000000" w:themeColor="text1"/>
          <w:sz w:val="24"/>
          <w:szCs w:val="24"/>
        </w:rPr>
        <w:t>达到</w:t>
      </w:r>
      <w:r>
        <w:rPr>
          <w:rFonts w:hint="eastAsia" w:ascii="Times New Roman" w:hAnsi="Times New Roman" w:cs="Times New Roman"/>
          <w:color w:val="000000" w:themeColor="text1"/>
          <w:sz w:val="24"/>
          <w:szCs w:val="24"/>
        </w:rPr>
        <w:t>《医疗机构水污染物排放标准》（GB18466-2005）表2预处理标准，同时满足银定庄污水处理厂进水水质要求，通过市政污水管网排入银定庄污水处理厂进一步处理。</w:t>
      </w:r>
    </w:p>
    <w:p>
      <w:pPr>
        <w:spacing w:line="480" w:lineRule="exact"/>
        <w:ind w:firstLine="480" w:firstLineChars="200"/>
        <w:rPr>
          <w:rFonts w:ascii="Times New Roman" w:hAnsi="Times New Roman" w:cs="Times New Roman" w:eastAsiaTheme="majorEastAsia"/>
          <w:color w:val="000000" w:themeColor="text1"/>
          <w:sz w:val="24"/>
          <w:szCs w:val="24"/>
        </w:rPr>
      </w:pPr>
      <w:r>
        <w:rPr>
          <w:rFonts w:ascii="Times New Roman" w:cs="Times New Roman" w:hAnsiTheme="majorEastAsia" w:eastAsiaTheme="majorEastAsia"/>
          <w:color w:val="000000" w:themeColor="text1"/>
          <w:sz w:val="24"/>
          <w:szCs w:val="24"/>
        </w:rPr>
        <w:t>污水处理站经过处理后的出水需要使用二氧化氯发生器消毒，为了防止医院在消毒的过程中投加的氯过量，根据每天出水的总余氯监测来控制总余氯的浓度在</w:t>
      </w:r>
      <w:r>
        <w:rPr>
          <w:rFonts w:ascii="Times New Roman" w:hAnsi="Times New Roman" w:cs="Times New Roman" w:eastAsiaTheme="majorEastAsia"/>
          <w:color w:val="000000" w:themeColor="text1"/>
          <w:sz w:val="24"/>
          <w:szCs w:val="24"/>
        </w:rPr>
        <w:t>2-8 mg/L</w:t>
      </w:r>
      <w:r>
        <w:rPr>
          <w:rFonts w:ascii="Times New Roman" w:cs="Times New Roman" w:hAnsiTheme="majorEastAsia" w:eastAsiaTheme="majorEastAsia"/>
          <w:color w:val="000000" w:themeColor="text1"/>
          <w:sz w:val="24"/>
          <w:szCs w:val="24"/>
        </w:rPr>
        <w:t>之间，通过采取该方法医院污水处理站出水的总余氯满足《医疗机构水污染物排放标准》（</w:t>
      </w:r>
      <w:r>
        <w:rPr>
          <w:rFonts w:ascii="Times New Roman" w:hAnsi="Times New Roman" w:cs="Times New Roman" w:eastAsiaTheme="majorEastAsia"/>
          <w:color w:val="000000" w:themeColor="text1"/>
          <w:sz w:val="24"/>
          <w:szCs w:val="24"/>
        </w:rPr>
        <w:t>GB18466-2005</w:t>
      </w:r>
      <w:r>
        <w:rPr>
          <w:rFonts w:ascii="Times New Roman" w:cs="Times New Roman" w:hAnsiTheme="majorEastAsia" w:eastAsiaTheme="majorEastAsia"/>
          <w:color w:val="000000" w:themeColor="text1"/>
          <w:sz w:val="24"/>
          <w:szCs w:val="24"/>
        </w:rPr>
        <w:t>）表</w:t>
      </w:r>
      <w:r>
        <w:rPr>
          <w:rFonts w:ascii="Times New Roman" w:hAnsi="Times New Roman" w:cs="Times New Roman" w:eastAsiaTheme="majorEastAsia"/>
          <w:color w:val="000000" w:themeColor="text1"/>
          <w:sz w:val="24"/>
          <w:szCs w:val="24"/>
        </w:rPr>
        <w:t>2</w:t>
      </w:r>
      <w:r>
        <w:rPr>
          <w:rFonts w:ascii="Times New Roman" w:cs="Times New Roman" w:hAnsiTheme="majorEastAsia" w:eastAsiaTheme="majorEastAsia"/>
          <w:color w:val="000000" w:themeColor="text1"/>
          <w:sz w:val="24"/>
          <w:szCs w:val="24"/>
        </w:rPr>
        <w:t>预处理标准。</w:t>
      </w:r>
    </w:p>
    <w:p>
      <w:pPr>
        <w:spacing w:line="360" w:lineRule="auto"/>
        <w:rPr>
          <w:rFonts w:ascii="Times New Roman" w:hAnsi="Times New Roman" w:cs="Times New Roman"/>
          <w:color w:val="000000" w:themeColor="text1"/>
          <w:sz w:val="24"/>
          <w:szCs w:val="24"/>
        </w:rPr>
      </w:pP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3.3.3噪声</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本项目运营期间噪声污染源主要是</w:t>
      </w:r>
      <w:r>
        <w:rPr>
          <w:rFonts w:ascii="Times New Roman" w:hAnsi="Times New Roman" w:cs="Times New Roman"/>
          <w:bCs/>
          <w:sz w:val="24"/>
          <w:szCs w:val="24"/>
        </w:rPr>
        <w:t>污水处理站水泵和</w:t>
      </w:r>
      <w:r>
        <w:rPr>
          <w:rFonts w:hint="eastAsia" w:ascii="Times New Roman" w:hAnsi="Times New Roman" w:cs="Times New Roman"/>
          <w:bCs/>
          <w:sz w:val="24"/>
          <w:szCs w:val="24"/>
        </w:rPr>
        <w:t>中央空调</w:t>
      </w:r>
      <w:r>
        <w:rPr>
          <w:rFonts w:ascii="Times New Roman" w:hAnsi="Times New Roman" w:cs="Times New Roman"/>
          <w:bCs/>
          <w:sz w:val="24"/>
          <w:szCs w:val="24"/>
        </w:rPr>
        <w:t>冷却塔、风机噪声</w:t>
      </w:r>
      <w:r>
        <w:rPr>
          <w:rFonts w:ascii="Times New Roman" w:hAnsi="Times New Roman" w:cs="Times New Roman"/>
          <w:sz w:val="24"/>
          <w:szCs w:val="24"/>
        </w:rPr>
        <w:t>，</w:t>
      </w:r>
      <w:r>
        <w:rPr>
          <w:rFonts w:hint="eastAsia" w:ascii="Times New Roman" w:hAnsi="Times New Roman" w:cs="Times New Roman"/>
          <w:sz w:val="24"/>
          <w:szCs w:val="24"/>
        </w:rPr>
        <w:t>噪声设备</w:t>
      </w:r>
      <w:r>
        <w:rPr>
          <w:rFonts w:ascii="Times New Roman" w:hAnsi="Times New Roman" w:cs="Times New Roman"/>
          <w:sz w:val="24"/>
          <w:szCs w:val="24"/>
        </w:rPr>
        <w:t>及治理措置见表3-</w:t>
      </w:r>
      <w:r>
        <w:rPr>
          <w:rFonts w:hint="eastAsia" w:ascii="Times New Roman" w:hAnsi="Times New Roman" w:cs="Times New Roman"/>
          <w:sz w:val="24"/>
          <w:szCs w:val="24"/>
        </w:rPr>
        <w:t>7</w:t>
      </w:r>
      <w:r>
        <w:rPr>
          <w:rFonts w:ascii="Times New Roman" w:hAnsi="Times New Roman" w:cs="Times New Roman"/>
          <w:sz w:val="24"/>
          <w:szCs w:val="24"/>
        </w:rPr>
        <w:t>。</w:t>
      </w:r>
    </w:p>
    <w:p>
      <w:pPr>
        <w:spacing w:line="360" w:lineRule="auto"/>
        <w:ind w:firstLine="480" w:firstLineChars="200"/>
        <w:jc w:val="center"/>
        <w:rPr>
          <w:rFonts w:ascii="Times New Roman" w:hAnsi="Times New Roman" w:cs="Times New Roman"/>
          <w:b/>
          <w:sz w:val="24"/>
          <w:szCs w:val="24"/>
        </w:rPr>
      </w:pPr>
      <w:r>
        <w:rPr>
          <w:rFonts w:ascii="Times New Roman" w:hAnsi="Times New Roman" w:cs="Times New Roman"/>
          <w:b/>
          <w:sz w:val="24"/>
          <w:szCs w:val="24"/>
        </w:rPr>
        <w:t>表3-</w:t>
      </w:r>
      <w:r>
        <w:rPr>
          <w:rFonts w:hint="eastAsia" w:ascii="Times New Roman" w:hAnsi="Times New Roman" w:cs="Times New Roman"/>
          <w:b/>
          <w:sz w:val="24"/>
          <w:szCs w:val="24"/>
        </w:rPr>
        <w:t>7</w:t>
      </w:r>
      <w:r>
        <w:rPr>
          <w:rFonts w:ascii="Times New Roman" w:hAnsi="Times New Roman" w:cs="Times New Roman"/>
          <w:b/>
          <w:sz w:val="24"/>
          <w:szCs w:val="24"/>
        </w:rPr>
        <w:t xml:space="preserve">   噪声设备及治理措施一览表</w:t>
      </w:r>
    </w:p>
    <w:tbl>
      <w:tblPr>
        <w:tblStyle w:val="27"/>
        <w:tblW w:w="8528"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1003"/>
        <w:gridCol w:w="655"/>
        <w:gridCol w:w="1433"/>
        <w:gridCol w:w="2604"/>
        <w:gridCol w:w="152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2308" w:type="dxa"/>
            <w:gridSpan w:val="2"/>
            <w:tcBorders>
              <w:top w:val="single" w:color="auto" w:sz="4" w:space="0"/>
            </w:tcBorders>
            <w:vAlign w:val="center"/>
          </w:tcPr>
          <w:p>
            <w:pPr>
              <w:spacing w:line="340" w:lineRule="exact"/>
              <w:ind w:firstLine="420" w:firstLineChars="200"/>
              <w:jc w:val="center"/>
              <w:rPr>
                <w:rFonts w:ascii="Times New Roman" w:hAnsi="Times New Roman" w:cs="Times New Roman"/>
                <w:szCs w:val="21"/>
              </w:rPr>
            </w:pPr>
            <w:r>
              <w:rPr>
                <w:rFonts w:ascii="Times New Roman" w:hAnsi="Times New Roman" w:cs="Times New Roman"/>
                <w:szCs w:val="21"/>
              </w:rPr>
              <w:t>噪声源名称</w:t>
            </w:r>
          </w:p>
        </w:tc>
        <w:tc>
          <w:tcPr>
            <w:tcW w:w="655" w:type="dxa"/>
            <w:tcBorders>
              <w:top w:val="single" w:color="auto" w:sz="4" w:space="0"/>
            </w:tcBorders>
            <w:vAlign w:val="center"/>
          </w:tcPr>
          <w:p>
            <w:pPr>
              <w:spacing w:line="340" w:lineRule="exact"/>
              <w:rPr>
                <w:rFonts w:ascii="Times New Roman" w:hAnsi="Times New Roman" w:cs="Times New Roman"/>
                <w:szCs w:val="21"/>
              </w:rPr>
            </w:pPr>
            <w:r>
              <w:rPr>
                <w:rFonts w:ascii="Times New Roman" w:hAnsi="Times New Roman" w:cs="Times New Roman"/>
                <w:szCs w:val="21"/>
              </w:rPr>
              <w:t>台数</w:t>
            </w:r>
          </w:p>
        </w:tc>
        <w:tc>
          <w:tcPr>
            <w:tcW w:w="1433" w:type="dxa"/>
            <w:tcBorders>
              <w:top w:val="single" w:color="auto" w:sz="4" w:space="0"/>
            </w:tcBorders>
            <w:vAlign w:val="center"/>
          </w:tcPr>
          <w:p>
            <w:pPr>
              <w:spacing w:line="340" w:lineRule="exact"/>
              <w:rPr>
                <w:rFonts w:ascii="Times New Roman" w:hAnsi="Times New Roman" w:cs="Times New Roman"/>
                <w:szCs w:val="21"/>
              </w:rPr>
            </w:pPr>
            <w:r>
              <w:rPr>
                <w:rFonts w:ascii="Times New Roman" w:hAnsi="Times New Roman" w:cs="Times New Roman"/>
                <w:szCs w:val="21"/>
              </w:rPr>
              <w:t>治理前噪声级</w:t>
            </w:r>
          </w:p>
        </w:tc>
        <w:tc>
          <w:tcPr>
            <w:tcW w:w="2604" w:type="dxa"/>
            <w:tcBorders>
              <w:top w:val="single" w:color="auto" w:sz="4" w:space="0"/>
            </w:tcBorders>
            <w:vAlign w:val="center"/>
          </w:tcPr>
          <w:p>
            <w:pPr>
              <w:spacing w:line="340" w:lineRule="exact"/>
              <w:ind w:firstLine="420" w:firstLineChars="200"/>
              <w:jc w:val="center"/>
              <w:rPr>
                <w:rFonts w:ascii="Times New Roman" w:hAnsi="Times New Roman" w:cs="Times New Roman"/>
                <w:szCs w:val="21"/>
              </w:rPr>
            </w:pPr>
            <w:r>
              <w:rPr>
                <w:rFonts w:ascii="Times New Roman" w:hAnsi="Times New Roman" w:cs="Times New Roman"/>
                <w:szCs w:val="21"/>
              </w:rPr>
              <w:t>治理措施</w:t>
            </w:r>
          </w:p>
        </w:tc>
        <w:tc>
          <w:tcPr>
            <w:tcW w:w="1528" w:type="dxa"/>
            <w:tcBorders>
              <w:top w:val="single" w:color="auto" w:sz="4" w:space="0"/>
            </w:tcBorders>
            <w:vAlign w:val="center"/>
          </w:tcPr>
          <w:p>
            <w:pPr>
              <w:spacing w:line="340" w:lineRule="exact"/>
              <w:rPr>
                <w:rFonts w:ascii="Times New Roman" w:hAnsi="Times New Roman" w:cs="Times New Roman"/>
                <w:szCs w:val="21"/>
              </w:rPr>
            </w:pPr>
            <w:r>
              <w:rPr>
                <w:rFonts w:ascii="Times New Roman" w:hAnsi="Times New Roman" w:cs="Times New Roman"/>
                <w:szCs w:val="21"/>
              </w:rPr>
              <w:t>治理后噪声级</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1" w:hRule="exact"/>
        </w:trPr>
        <w:tc>
          <w:tcPr>
            <w:tcW w:w="1305" w:type="dxa"/>
            <w:vAlign w:val="center"/>
          </w:tcPr>
          <w:p>
            <w:pPr>
              <w:spacing w:line="340" w:lineRule="exact"/>
              <w:jc w:val="center"/>
              <w:rPr>
                <w:rFonts w:ascii="Times New Roman" w:hAnsi="Times New Roman" w:cs="Times New Roman"/>
                <w:szCs w:val="21"/>
              </w:rPr>
            </w:pPr>
            <w:r>
              <w:rPr>
                <w:rFonts w:ascii="Times New Roman" w:hAnsi="Times New Roman" w:cs="Times New Roman"/>
                <w:bCs/>
                <w:szCs w:val="21"/>
              </w:rPr>
              <w:t>污水处理站</w:t>
            </w:r>
          </w:p>
        </w:tc>
        <w:tc>
          <w:tcPr>
            <w:tcW w:w="1003" w:type="dxa"/>
            <w:vAlign w:val="center"/>
          </w:tcPr>
          <w:p>
            <w:pPr>
              <w:spacing w:line="340" w:lineRule="exact"/>
              <w:jc w:val="center"/>
              <w:rPr>
                <w:rFonts w:ascii="Times New Roman" w:hAnsi="Times New Roman" w:cs="Times New Roman"/>
                <w:szCs w:val="21"/>
              </w:rPr>
            </w:pPr>
            <w:r>
              <w:rPr>
                <w:rFonts w:ascii="Times New Roman" w:hAnsi="Times New Roman" w:cs="Times New Roman"/>
                <w:bCs/>
                <w:szCs w:val="21"/>
              </w:rPr>
              <w:t>水泵</w:t>
            </w:r>
          </w:p>
        </w:tc>
        <w:tc>
          <w:tcPr>
            <w:tcW w:w="655" w:type="dxa"/>
            <w:vAlign w:val="center"/>
          </w:tcPr>
          <w:p>
            <w:pPr>
              <w:spacing w:line="340" w:lineRule="exact"/>
              <w:ind w:firstLine="210" w:firstLineChars="100"/>
              <w:rPr>
                <w:rFonts w:ascii="Times New Roman" w:hAnsi="Times New Roman" w:cs="Times New Roman"/>
                <w:szCs w:val="21"/>
              </w:rPr>
            </w:pPr>
            <w:r>
              <w:rPr>
                <w:rFonts w:ascii="Times New Roman" w:hAnsi="Times New Roman" w:cs="Times New Roman"/>
                <w:szCs w:val="21"/>
              </w:rPr>
              <w:t>1</w:t>
            </w:r>
          </w:p>
        </w:tc>
        <w:tc>
          <w:tcPr>
            <w:tcW w:w="1433" w:type="dxa"/>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85dB(A)</w:t>
            </w:r>
          </w:p>
        </w:tc>
        <w:tc>
          <w:tcPr>
            <w:tcW w:w="2604" w:type="dxa"/>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水泵置于地下+</w:t>
            </w:r>
            <w:r>
              <w:rPr>
                <w:rFonts w:ascii="Times New Roman" w:hAnsi="Times New Roman" w:cs="Times New Roman"/>
                <w:bCs/>
                <w:szCs w:val="21"/>
              </w:rPr>
              <w:t>消声性能好的建筑材料+基础减振</w:t>
            </w:r>
          </w:p>
        </w:tc>
        <w:tc>
          <w:tcPr>
            <w:tcW w:w="1528" w:type="dxa"/>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50dB(A)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4" w:hRule="exact"/>
        </w:trPr>
        <w:tc>
          <w:tcPr>
            <w:tcW w:w="1305" w:type="dxa"/>
            <w:vMerge w:val="restart"/>
            <w:vAlign w:val="center"/>
          </w:tcPr>
          <w:p>
            <w:pPr>
              <w:spacing w:line="340" w:lineRule="exact"/>
              <w:ind w:firstLine="105" w:firstLineChars="50"/>
              <w:rPr>
                <w:rFonts w:ascii="Times New Roman" w:hAnsi="Times New Roman" w:cs="Times New Roman"/>
                <w:bCs/>
                <w:szCs w:val="21"/>
              </w:rPr>
            </w:pPr>
            <w:r>
              <w:rPr>
                <w:rFonts w:ascii="Times New Roman" w:hAnsi="Times New Roman" w:cs="Times New Roman"/>
                <w:bCs/>
                <w:szCs w:val="21"/>
              </w:rPr>
              <w:t>中央空调</w:t>
            </w:r>
          </w:p>
        </w:tc>
        <w:tc>
          <w:tcPr>
            <w:tcW w:w="1003" w:type="dxa"/>
            <w:vAlign w:val="center"/>
          </w:tcPr>
          <w:p>
            <w:pPr>
              <w:spacing w:line="340" w:lineRule="exact"/>
              <w:jc w:val="center"/>
              <w:rPr>
                <w:rFonts w:ascii="Times New Roman" w:hAnsi="Times New Roman" w:cs="Times New Roman"/>
                <w:bCs/>
                <w:szCs w:val="21"/>
              </w:rPr>
            </w:pPr>
            <w:r>
              <w:rPr>
                <w:rFonts w:ascii="Times New Roman" w:hAnsi="Times New Roman" w:cs="Times New Roman"/>
                <w:bCs/>
                <w:szCs w:val="21"/>
              </w:rPr>
              <w:t>风机</w:t>
            </w:r>
          </w:p>
        </w:tc>
        <w:tc>
          <w:tcPr>
            <w:tcW w:w="655" w:type="dxa"/>
            <w:vAlign w:val="center"/>
          </w:tcPr>
          <w:p>
            <w:pPr>
              <w:spacing w:line="340" w:lineRule="exact"/>
              <w:ind w:firstLine="105" w:firstLineChars="50"/>
              <w:rPr>
                <w:rFonts w:ascii="Times New Roman" w:hAnsi="Times New Roman" w:cs="Times New Roman"/>
                <w:szCs w:val="21"/>
              </w:rPr>
            </w:pPr>
            <w:r>
              <w:rPr>
                <w:rFonts w:ascii="Times New Roman" w:hAnsi="Times New Roman" w:cs="Times New Roman"/>
                <w:szCs w:val="21"/>
              </w:rPr>
              <w:t>1</w:t>
            </w:r>
          </w:p>
        </w:tc>
        <w:tc>
          <w:tcPr>
            <w:tcW w:w="1433" w:type="dxa"/>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80dB(A)</w:t>
            </w:r>
          </w:p>
        </w:tc>
        <w:tc>
          <w:tcPr>
            <w:tcW w:w="2604" w:type="dxa"/>
            <w:vAlign w:val="center"/>
          </w:tcPr>
          <w:p>
            <w:pPr>
              <w:spacing w:line="340" w:lineRule="exact"/>
              <w:ind w:firstLine="420" w:firstLineChars="200"/>
              <w:jc w:val="center"/>
              <w:rPr>
                <w:rFonts w:ascii="Times New Roman" w:hAnsi="Times New Roman" w:cs="Times New Roman"/>
                <w:szCs w:val="21"/>
              </w:rPr>
            </w:pPr>
            <w:r>
              <w:rPr>
                <w:rFonts w:ascii="Times New Roman" w:hAnsi="Times New Roman" w:cs="Times New Roman"/>
                <w:szCs w:val="21"/>
              </w:rPr>
              <w:t>基础减振+消音器+软管连接</w:t>
            </w:r>
          </w:p>
        </w:tc>
        <w:tc>
          <w:tcPr>
            <w:tcW w:w="1528" w:type="dxa"/>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50dB(A)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exact"/>
        </w:trPr>
        <w:tc>
          <w:tcPr>
            <w:tcW w:w="1305" w:type="dxa"/>
            <w:vMerge w:val="continue"/>
            <w:vAlign w:val="center"/>
          </w:tcPr>
          <w:p>
            <w:pPr>
              <w:spacing w:line="340" w:lineRule="exact"/>
              <w:ind w:firstLine="420" w:firstLineChars="200"/>
              <w:jc w:val="center"/>
              <w:rPr>
                <w:rFonts w:ascii="Times New Roman" w:hAnsi="Times New Roman" w:cs="Times New Roman"/>
                <w:bCs/>
                <w:szCs w:val="21"/>
              </w:rPr>
            </w:pPr>
          </w:p>
        </w:tc>
        <w:tc>
          <w:tcPr>
            <w:tcW w:w="1003" w:type="dxa"/>
            <w:vAlign w:val="center"/>
          </w:tcPr>
          <w:p>
            <w:pPr>
              <w:spacing w:line="340" w:lineRule="exact"/>
              <w:jc w:val="center"/>
              <w:rPr>
                <w:rFonts w:ascii="Times New Roman" w:hAnsi="Times New Roman" w:cs="Times New Roman"/>
                <w:bCs/>
                <w:szCs w:val="21"/>
              </w:rPr>
            </w:pPr>
            <w:r>
              <w:rPr>
                <w:rFonts w:ascii="Times New Roman" w:hAnsi="Times New Roman" w:cs="Times New Roman"/>
                <w:bCs/>
                <w:szCs w:val="21"/>
              </w:rPr>
              <w:t>冷却塔</w:t>
            </w:r>
          </w:p>
        </w:tc>
        <w:tc>
          <w:tcPr>
            <w:tcW w:w="655" w:type="dxa"/>
            <w:vAlign w:val="center"/>
          </w:tcPr>
          <w:p>
            <w:pPr>
              <w:spacing w:line="340" w:lineRule="exact"/>
              <w:ind w:firstLine="105" w:firstLineChars="50"/>
              <w:rPr>
                <w:rFonts w:ascii="Times New Roman" w:hAnsi="Times New Roman" w:cs="Times New Roman"/>
                <w:szCs w:val="21"/>
              </w:rPr>
            </w:pPr>
            <w:r>
              <w:rPr>
                <w:rFonts w:ascii="Times New Roman" w:hAnsi="Times New Roman" w:cs="Times New Roman"/>
                <w:szCs w:val="21"/>
              </w:rPr>
              <w:t>1</w:t>
            </w:r>
          </w:p>
        </w:tc>
        <w:tc>
          <w:tcPr>
            <w:tcW w:w="1433" w:type="dxa"/>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85dB(A)</w:t>
            </w:r>
          </w:p>
        </w:tc>
        <w:tc>
          <w:tcPr>
            <w:tcW w:w="2604" w:type="dxa"/>
            <w:vAlign w:val="center"/>
          </w:tcPr>
          <w:p>
            <w:pPr>
              <w:spacing w:line="340" w:lineRule="exact"/>
              <w:ind w:firstLine="420" w:firstLineChars="200"/>
              <w:jc w:val="center"/>
              <w:rPr>
                <w:rFonts w:ascii="Times New Roman" w:hAnsi="Times New Roman" w:cs="Times New Roman"/>
                <w:szCs w:val="21"/>
              </w:rPr>
            </w:pPr>
            <w:r>
              <w:rPr>
                <w:rFonts w:ascii="Times New Roman" w:hAnsi="Times New Roman" w:cs="Times New Roman"/>
                <w:szCs w:val="21"/>
              </w:rPr>
              <w:t>消声器+基础减振+铺设聚胺脂多孔泡沫塑料垫</w:t>
            </w:r>
          </w:p>
        </w:tc>
        <w:tc>
          <w:tcPr>
            <w:tcW w:w="1528" w:type="dxa"/>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50dB(A)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exact"/>
        </w:trPr>
        <w:tc>
          <w:tcPr>
            <w:tcW w:w="1305" w:type="dxa"/>
            <w:tcBorders>
              <w:bottom w:val="single" w:color="auto" w:sz="4" w:space="0"/>
            </w:tcBorders>
            <w:vAlign w:val="center"/>
          </w:tcPr>
          <w:p>
            <w:pPr>
              <w:spacing w:line="340" w:lineRule="exact"/>
              <w:ind w:firstLine="105" w:firstLineChars="50"/>
              <w:rPr>
                <w:rFonts w:ascii="Times New Roman" w:hAnsi="Times New Roman" w:cs="Times New Roman"/>
                <w:bCs/>
                <w:szCs w:val="21"/>
              </w:rPr>
            </w:pPr>
            <w:r>
              <w:rPr>
                <w:rFonts w:hint="eastAsia" w:ascii="Times New Roman" w:hAnsi="Times New Roman" w:cs="Times New Roman"/>
                <w:bCs/>
                <w:szCs w:val="21"/>
              </w:rPr>
              <w:t>废气处理</w:t>
            </w:r>
          </w:p>
        </w:tc>
        <w:tc>
          <w:tcPr>
            <w:tcW w:w="1003" w:type="dxa"/>
            <w:tcBorders>
              <w:bottom w:val="single" w:color="auto" w:sz="4" w:space="0"/>
            </w:tcBorders>
            <w:vAlign w:val="center"/>
          </w:tcPr>
          <w:p>
            <w:pPr>
              <w:spacing w:line="340" w:lineRule="exact"/>
              <w:jc w:val="center"/>
              <w:rPr>
                <w:rFonts w:ascii="Times New Roman" w:hAnsi="Times New Roman" w:cs="Times New Roman"/>
                <w:bCs/>
                <w:szCs w:val="21"/>
              </w:rPr>
            </w:pPr>
            <w:r>
              <w:rPr>
                <w:rFonts w:hint="eastAsia" w:ascii="Times New Roman" w:hAnsi="Times New Roman" w:cs="Times New Roman"/>
                <w:bCs/>
                <w:szCs w:val="21"/>
              </w:rPr>
              <w:t>风机</w:t>
            </w:r>
          </w:p>
        </w:tc>
        <w:tc>
          <w:tcPr>
            <w:tcW w:w="655" w:type="dxa"/>
            <w:tcBorders>
              <w:bottom w:val="single" w:color="auto" w:sz="4" w:space="0"/>
            </w:tcBorders>
            <w:vAlign w:val="center"/>
          </w:tcPr>
          <w:p>
            <w:pPr>
              <w:spacing w:line="340" w:lineRule="exact"/>
              <w:ind w:firstLine="105" w:firstLineChars="50"/>
              <w:rPr>
                <w:rFonts w:ascii="Times New Roman" w:hAnsi="Times New Roman" w:cs="Times New Roman"/>
                <w:szCs w:val="21"/>
              </w:rPr>
            </w:pPr>
            <w:r>
              <w:rPr>
                <w:rFonts w:hint="eastAsia" w:ascii="Times New Roman" w:hAnsi="Times New Roman" w:cs="Times New Roman"/>
                <w:szCs w:val="21"/>
              </w:rPr>
              <w:t>1</w:t>
            </w:r>
          </w:p>
        </w:tc>
        <w:tc>
          <w:tcPr>
            <w:tcW w:w="1433" w:type="dxa"/>
            <w:tcBorders>
              <w:bottom w:val="single" w:color="auto" w:sz="4" w:space="0"/>
            </w:tcBorders>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80dB(A)</w:t>
            </w:r>
          </w:p>
        </w:tc>
        <w:tc>
          <w:tcPr>
            <w:tcW w:w="2604" w:type="dxa"/>
            <w:tcBorders>
              <w:bottom w:val="single" w:color="auto" w:sz="4" w:space="0"/>
            </w:tcBorders>
            <w:vAlign w:val="center"/>
          </w:tcPr>
          <w:p>
            <w:pPr>
              <w:spacing w:line="340" w:lineRule="exact"/>
              <w:ind w:firstLine="420" w:firstLineChars="200"/>
              <w:jc w:val="center"/>
              <w:rPr>
                <w:rFonts w:ascii="Times New Roman" w:hAnsi="Times New Roman" w:cs="Times New Roman"/>
                <w:szCs w:val="21"/>
              </w:rPr>
            </w:pPr>
            <w:r>
              <w:rPr>
                <w:rFonts w:ascii="Times New Roman" w:hAnsi="Times New Roman" w:cs="Times New Roman"/>
                <w:szCs w:val="21"/>
              </w:rPr>
              <w:t>基础减振+消音器+软管连接</w:t>
            </w:r>
          </w:p>
        </w:tc>
        <w:tc>
          <w:tcPr>
            <w:tcW w:w="1528" w:type="dxa"/>
            <w:tcBorders>
              <w:bottom w:val="single" w:color="auto" w:sz="4" w:space="0"/>
            </w:tcBorders>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50dB(A)</w:t>
            </w:r>
          </w:p>
        </w:tc>
      </w:tr>
    </w:tbl>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为了</w:t>
      </w:r>
      <w:r>
        <w:rPr>
          <w:rFonts w:hint="eastAsia" w:ascii="Times New Roman" w:hAnsi="Times New Roman" w:cs="Times New Roman"/>
          <w:sz w:val="24"/>
          <w:szCs w:val="24"/>
        </w:rPr>
        <w:t>有效</w:t>
      </w:r>
      <w:r>
        <w:rPr>
          <w:rFonts w:ascii="Times New Roman" w:hAnsi="Times New Roman" w:cs="Times New Roman"/>
          <w:sz w:val="24"/>
          <w:szCs w:val="24"/>
        </w:rPr>
        <w:t>控制噪声污染，污水处理站水泵</w:t>
      </w:r>
      <w:r>
        <w:rPr>
          <w:rFonts w:hint="eastAsia" w:ascii="Times New Roman" w:hAnsi="Times New Roman" w:cs="Times New Roman"/>
          <w:sz w:val="24"/>
          <w:szCs w:val="24"/>
        </w:rPr>
        <w:t>置于</w:t>
      </w:r>
      <w:r>
        <w:rPr>
          <w:rFonts w:ascii="Times New Roman" w:hAnsi="Times New Roman" w:cs="Times New Roman"/>
          <w:sz w:val="24"/>
          <w:szCs w:val="24"/>
        </w:rPr>
        <w:t>地下，</w:t>
      </w:r>
      <w:r>
        <w:rPr>
          <w:rFonts w:ascii="Times New Roman" w:hAnsi="Times New Roman" w:cs="Times New Roman"/>
          <w:bCs/>
          <w:sz w:val="24"/>
          <w:szCs w:val="24"/>
        </w:rPr>
        <w:t>选用消声性能好的建筑材料，</w:t>
      </w:r>
      <w:r>
        <w:rPr>
          <w:rFonts w:ascii="Times New Roman" w:hAnsi="Times New Roman" w:cs="Times New Roman"/>
          <w:sz w:val="24"/>
          <w:szCs w:val="24"/>
        </w:rPr>
        <w:t>并采取基础减振等隔声、降噪措施</w:t>
      </w:r>
      <w:r>
        <w:rPr>
          <w:rFonts w:ascii="Times New Roman" w:hAnsi="Times New Roman" w:cs="Times New Roman"/>
          <w:bCs/>
          <w:sz w:val="24"/>
          <w:szCs w:val="24"/>
        </w:rPr>
        <w:t>；冷却风机</w:t>
      </w:r>
      <w:r>
        <w:rPr>
          <w:rFonts w:hint="eastAsia" w:ascii="Times New Roman" w:hAnsi="Times New Roman" w:cs="Times New Roman"/>
          <w:bCs/>
          <w:sz w:val="24"/>
          <w:szCs w:val="24"/>
        </w:rPr>
        <w:t>、废气处理风机</w:t>
      </w:r>
      <w:r>
        <w:rPr>
          <w:rFonts w:ascii="Times New Roman" w:hAnsi="Times New Roman" w:cs="Times New Roman"/>
          <w:bCs/>
          <w:sz w:val="24"/>
          <w:szCs w:val="24"/>
        </w:rPr>
        <w:t>采取</w:t>
      </w:r>
      <w:r>
        <w:rPr>
          <w:rFonts w:ascii="Times New Roman" w:hAnsi="Times New Roman" w:cs="Times New Roman"/>
          <w:sz w:val="24"/>
          <w:szCs w:val="24"/>
        </w:rPr>
        <w:t>设置基础减振</w:t>
      </w:r>
      <w:r>
        <w:rPr>
          <w:rFonts w:hint="eastAsia" w:ascii="Times New Roman" w:hAnsi="Times New Roman" w:cs="Times New Roman"/>
          <w:sz w:val="24"/>
          <w:szCs w:val="24"/>
        </w:rPr>
        <w:t>、</w:t>
      </w:r>
      <w:r>
        <w:rPr>
          <w:rFonts w:ascii="Times New Roman" w:hAnsi="Times New Roman" w:cs="Times New Roman"/>
          <w:sz w:val="24"/>
          <w:szCs w:val="24"/>
        </w:rPr>
        <w:t>进出口加消音器</w:t>
      </w:r>
      <w:r>
        <w:rPr>
          <w:rFonts w:hint="eastAsia" w:ascii="Times New Roman" w:hAnsi="Times New Roman" w:cs="Times New Roman"/>
          <w:sz w:val="24"/>
          <w:szCs w:val="24"/>
        </w:rPr>
        <w:t>、</w:t>
      </w:r>
      <w:r>
        <w:rPr>
          <w:rFonts w:ascii="Times New Roman" w:hAnsi="Times New Roman" w:cs="Times New Roman"/>
          <w:sz w:val="24"/>
          <w:szCs w:val="24"/>
        </w:rPr>
        <w:t>用软管连接</w:t>
      </w:r>
      <w:r>
        <w:rPr>
          <w:rFonts w:ascii="Times New Roman" w:hAnsi="Times New Roman" w:cs="Times New Roman"/>
          <w:bCs/>
          <w:sz w:val="24"/>
          <w:szCs w:val="24"/>
        </w:rPr>
        <w:t>等隔声降噪措施</w:t>
      </w:r>
      <w:r>
        <w:rPr>
          <w:rFonts w:hint="eastAsia" w:ascii="Times New Roman" w:hAnsi="Times New Roman" w:cs="Times New Roman"/>
          <w:bCs/>
          <w:sz w:val="24"/>
          <w:szCs w:val="24"/>
        </w:rPr>
        <w:t>；</w:t>
      </w:r>
      <w:r>
        <w:rPr>
          <w:rFonts w:ascii="Times New Roman" w:hAnsi="Times New Roman" w:cs="Times New Roman"/>
          <w:bCs/>
          <w:sz w:val="24"/>
          <w:szCs w:val="24"/>
        </w:rPr>
        <w:t>选用低噪声冷却塔，在冷却塔进风百叶口和排风口加装消声器，对冷却塔进行基础减</w:t>
      </w:r>
      <w:r>
        <w:rPr>
          <w:rFonts w:hint="eastAsia" w:ascii="Times New Roman" w:hAnsi="Times New Roman" w:cs="Times New Roman"/>
          <w:bCs/>
          <w:sz w:val="24"/>
          <w:szCs w:val="24"/>
        </w:rPr>
        <w:t>振</w:t>
      </w:r>
      <w:r>
        <w:rPr>
          <w:rFonts w:ascii="Times New Roman" w:hAnsi="Times New Roman" w:cs="Times New Roman"/>
          <w:bCs/>
          <w:sz w:val="24"/>
          <w:szCs w:val="24"/>
        </w:rPr>
        <w:t>，受水盘水面铺设聚胺脂多孔泡沫塑料垫</w:t>
      </w:r>
      <w:r>
        <w:rPr>
          <w:rFonts w:hint="eastAsia" w:ascii="Times New Roman" w:hAnsi="Times New Roman" w:cs="Times New Roman"/>
          <w:bCs/>
          <w:sz w:val="24"/>
          <w:szCs w:val="24"/>
        </w:rPr>
        <w:t>。</w:t>
      </w:r>
      <w:r>
        <w:rPr>
          <w:rFonts w:ascii="Times New Roman" w:hAnsi="Times New Roman" w:cs="Times New Roman"/>
          <w:sz w:val="24"/>
          <w:szCs w:val="24"/>
        </w:rPr>
        <w:t>采取上述措施后，噪声源声级可下降20~30dB（A），</w:t>
      </w:r>
      <w:r>
        <w:rPr>
          <w:rFonts w:hint="eastAsia" w:ascii="Times New Roman" w:hAnsi="Times New Roman" w:cs="Times New Roman"/>
          <w:sz w:val="24"/>
          <w:szCs w:val="24"/>
        </w:rPr>
        <w:t>北</w:t>
      </w:r>
      <w:r>
        <w:rPr>
          <w:rFonts w:ascii="Times New Roman" w:hAnsi="Times New Roman" w:cs="Times New Roman"/>
          <w:sz w:val="24"/>
          <w:szCs w:val="24"/>
        </w:rPr>
        <w:t>边界噪声可达到《工业企业厂界环境噪声排放标准》</w:t>
      </w:r>
      <w:r>
        <w:rPr>
          <w:rFonts w:hint="eastAsia" w:ascii="Times New Roman" w:hAnsi="Times New Roman" w:cs="Times New Roman"/>
          <w:sz w:val="24"/>
          <w:szCs w:val="24"/>
        </w:rPr>
        <w:t>（</w:t>
      </w:r>
      <w:r>
        <w:rPr>
          <w:rFonts w:ascii="Times New Roman" w:hAnsi="Times New Roman" w:cs="Times New Roman"/>
          <w:sz w:val="24"/>
          <w:szCs w:val="24"/>
        </w:rPr>
        <w:t>GB12348-2008）</w:t>
      </w:r>
      <w:r>
        <w:rPr>
          <w:rFonts w:hint="eastAsia" w:ascii="Times New Roman" w:hAnsi="Times New Roman" w:cs="Times New Roman"/>
          <w:sz w:val="24"/>
          <w:szCs w:val="24"/>
        </w:rPr>
        <w:t>4类标准，其它边界可达</w:t>
      </w:r>
      <w:r>
        <w:rPr>
          <w:rFonts w:ascii="Times New Roman" w:hAnsi="Times New Roman" w:cs="Times New Roman"/>
          <w:sz w:val="24"/>
          <w:szCs w:val="24"/>
        </w:rPr>
        <w:t>《工业企业厂界环境噪声排放标准》</w:t>
      </w:r>
      <w:r>
        <w:rPr>
          <w:rFonts w:hint="eastAsia" w:ascii="Times New Roman" w:hAnsi="Times New Roman" w:cs="Times New Roman"/>
          <w:sz w:val="24"/>
          <w:szCs w:val="24"/>
        </w:rPr>
        <w:t>（</w:t>
      </w:r>
      <w:r>
        <w:rPr>
          <w:rFonts w:ascii="Times New Roman" w:hAnsi="Times New Roman" w:cs="Times New Roman"/>
          <w:sz w:val="24"/>
          <w:szCs w:val="24"/>
        </w:rPr>
        <w:t>GB12348-2008）</w:t>
      </w:r>
      <w:r>
        <w:rPr>
          <w:rFonts w:hint="eastAsia" w:ascii="Times New Roman" w:hAnsi="Times New Roman" w:cs="Times New Roman"/>
          <w:sz w:val="24"/>
          <w:szCs w:val="24"/>
        </w:rPr>
        <w:t>1类标准</w:t>
      </w:r>
      <w:r>
        <w:rPr>
          <w:rFonts w:ascii="Times New Roman" w:hAnsi="Times New Roman" w:cs="Times New Roman"/>
          <w:sz w:val="24"/>
          <w:szCs w:val="24"/>
        </w:rPr>
        <w:t>。</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3.3.4固体废物</w:t>
      </w:r>
    </w:p>
    <w:p>
      <w:pPr>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本项目产生的固废主要为污水站及化粪池污泥、医疗废物、煎药药渣、生活垃圾、</w:t>
      </w:r>
      <w:r>
        <w:rPr>
          <w:rFonts w:ascii="Times New Roman" w:hAnsi="Times New Roman" w:cs="Times New Roman"/>
          <w:bCs/>
          <w:sz w:val="24"/>
          <w:szCs w:val="24"/>
        </w:rPr>
        <w:t>COD</w:t>
      </w:r>
      <w:r>
        <w:rPr>
          <w:rFonts w:hint="eastAsia" w:ascii="Times New Roman" w:hAnsi="Times New Roman" w:cs="Times New Roman"/>
          <w:bCs/>
          <w:sz w:val="24"/>
          <w:szCs w:val="24"/>
        </w:rPr>
        <w:t>、氨氮在线监测仪产生的废液。</w:t>
      </w:r>
    </w:p>
    <w:p>
      <w:pPr>
        <w:spacing w:line="360" w:lineRule="auto"/>
        <w:ind w:firstLine="480" w:firstLineChars="200"/>
        <w:rPr>
          <w:rFonts w:ascii="Times New Roman" w:hAnsi="Times New Roman" w:cs="Times New Roman"/>
          <w:bCs/>
          <w:sz w:val="24"/>
          <w:szCs w:val="24"/>
        </w:rPr>
      </w:pPr>
      <w:r>
        <w:rPr>
          <w:rFonts w:hint="eastAsia" w:cs="Times New Roman" w:asciiTheme="minorEastAsia" w:hAnsiTheme="minorEastAsia"/>
          <w:bCs/>
          <w:sz w:val="24"/>
          <w:szCs w:val="24"/>
        </w:rPr>
        <w:t>①</w:t>
      </w:r>
      <w:r>
        <w:rPr>
          <w:rFonts w:hint="eastAsia" w:ascii="Times New Roman" w:hAnsi="Times New Roman" w:cs="Times New Roman"/>
          <w:bCs/>
          <w:sz w:val="24"/>
          <w:szCs w:val="24"/>
        </w:rPr>
        <w:t>生活垃圾</w:t>
      </w:r>
    </w:p>
    <w:p>
      <w:pPr>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本项目生活垃圾按0.5kg/病床·d计，则产生的生活垃圾的量为109.5t/a；本项目医护人员900人，生活垃圾产生量按0.5kg/人·d计，则产生的生活垃圾的量为164.25t/a。因此，本项目生活垃圾产生量为273.75t/a，定期由环卫部门统一收集处置。</w:t>
      </w:r>
    </w:p>
    <w:p>
      <w:pPr>
        <w:spacing w:line="360" w:lineRule="auto"/>
        <w:ind w:firstLine="480" w:firstLineChars="200"/>
        <w:rPr>
          <w:rFonts w:ascii="Times New Roman" w:hAnsi="Times New Roman" w:cs="Times New Roman"/>
          <w:bCs/>
          <w:color w:val="000000" w:themeColor="text1"/>
          <w:sz w:val="24"/>
          <w:szCs w:val="24"/>
        </w:rPr>
      </w:pPr>
      <w:r>
        <w:rPr>
          <w:rFonts w:hint="eastAsia" w:cs="Times New Roman" w:asciiTheme="minorEastAsia" w:hAnsiTheme="minorEastAsia"/>
          <w:bCs/>
          <w:color w:val="000000" w:themeColor="text1"/>
          <w:sz w:val="24"/>
          <w:szCs w:val="24"/>
        </w:rPr>
        <w:t>②药渣</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煎药室煎药过程药渣产生量为0.5</w:t>
      </w:r>
      <w:r>
        <w:rPr>
          <w:rFonts w:hint="eastAsia" w:ascii="宋体" w:hAnsi="宋体" w:eastAsia="宋体" w:cs="Times New Roman"/>
          <w:color w:val="000000" w:themeColor="text1"/>
          <w:kern w:val="0"/>
          <w:sz w:val="24"/>
          <w:szCs w:val="24"/>
          <w:u w:color="000000"/>
        </w:rPr>
        <w:t xml:space="preserve"> </w:t>
      </w:r>
      <w:r>
        <w:rPr>
          <w:rFonts w:hint="eastAsia" w:ascii="Times New Roman" w:hAnsi="Times New Roman" w:cs="Times New Roman"/>
          <w:bCs/>
          <w:color w:val="000000" w:themeColor="text1"/>
          <w:sz w:val="24"/>
          <w:szCs w:val="24"/>
        </w:rPr>
        <w:t>t/a，定期由环卫部门统一收集处置。</w:t>
      </w:r>
    </w:p>
    <w:p>
      <w:pPr>
        <w:spacing w:line="360" w:lineRule="auto"/>
        <w:ind w:firstLine="480" w:firstLineChars="200"/>
        <w:rPr>
          <w:rFonts w:ascii="Times New Roman" w:hAnsi="Times New Roman" w:cs="Times New Roman"/>
          <w:bCs/>
          <w:sz w:val="24"/>
          <w:szCs w:val="24"/>
        </w:rPr>
      </w:pPr>
      <w:r>
        <w:rPr>
          <w:rFonts w:hint="eastAsia" w:cs="Times New Roman" w:asciiTheme="minorEastAsia" w:hAnsiTheme="minorEastAsia"/>
          <w:bCs/>
          <w:sz w:val="24"/>
          <w:szCs w:val="24"/>
        </w:rPr>
        <w:t>③</w:t>
      </w:r>
      <w:r>
        <w:rPr>
          <w:rFonts w:hint="eastAsia" w:ascii="Times New Roman" w:hAnsi="Times New Roman" w:cs="Times New Roman"/>
          <w:bCs/>
          <w:sz w:val="24"/>
          <w:szCs w:val="24"/>
        </w:rPr>
        <w:t>医疗废物</w:t>
      </w:r>
    </w:p>
    <w:p>
      <w:pPr>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医疗废物是指医疗卫生机构在医疗、预防、保健以及其他相关活动中产生的具有直接或间接感染性、毒性以及其他危害的废物，主要分为感染性废物、病理性废物、损伤性废物、药物性废物和化学性废物等几大类，主要包括棉球、棉签、纱布、废注射器、输液袋、输液管、废针头、含病毒病菌的组织、检验室废液、过期药品等，一次性医疗用品等，医疗废物按50g/床·日计，本项目建成后全院总床位数为600张，医疗废物产生量约11t/a。各类医疗废物依据其性质在发生场所就地分类收集后，</w:t>
      </w:r>
      <w:r>
        <w:rPr>
          <w:rFonts w:ascii="Times New Roman" w:hAnsi="Times New Roman" w:cs="Times New Roman"/>
          <w:bCs/>
          <w:sz w:val="24"/>
          <w:szCs w:val="24"/>
        </w:rPr>
        <w:t>放入标明适当颜色或标识的</w:t>
      </w:r>
      <w:r>
        <w:rPr>
          <w:rFonts w:hint="eastAsia" w:ascii="Times New Roman" w:hAnsi="Times New Roman" w:cs="Times New Roman"/>
          <w:bCs/>
          <w:sz w:val="24"/>
          <w:szCs w:val="24"/>
        </w:rPr>
        <w:t>防渗漏、防锐器穿透的专用包装物或者密闭的容器内，在装满3/4时封袋，由专人负责存放在医疗废物暂存间。并采用专用车辆定期用专用车运到有资质单位统一处理。</w:t>
      </w:r>
    </w:p>
    <w:p>
      <w:pPr>
        <w:spacing w:line="360" w:lineRule="auto"/>
        <w:ind w:firstLine="480" w:firstLineChars="200"/>
        <w:rPr>
          <w:rFonts w:ascii="Times New Roman" w:hAnsi="Times New Roman" w:cs="Times New Roman"/>
          <w:bCs/>
          <w:sz w:val="24"/>
          <w:szCs w:val="24"/>
        </w:rPr>
      </w:pPr>
      <w:r>
        <w:rPr>
          <w:rFonts w:hint="eastAsia" w:cs="Times New Roman" w:asciiTheme="minorEastAsia" w:hAnsiTheme="minorEastAsia"/>
          <w:bCs/>
          <w:sz w:val="24"/>
          <w:szCs w:val="24"/>
        </w:rPr>
        <w:t>④</w:t>
      </w:r>
      <w:r>
        <w:rPr>
          <w:rFonts w:hint="eastAsia" w:ascii="Times New Roman" w:hAnsi="Times New Roman" w:cs="Times New Roman"/>
          <w:bCs/>
          <w:sz w:val="24"/>
          <w:szCs w:val="24"/>
        </w:rPr>
        <w:t>污泥</w:t>
      </w:r>
    </w:p>
    <w:p>
      <w:pPr>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本项目完成后医院污泥主要为污水处理站、化粪池、格栅及污泥池产生的污泥量约8t/a（干基），按含水率97%计约267t/a，平均产生量约0.73m</w:t>
      </w:r>
      <w:r>
        <w:rPr>
          <w:rFonts w:hint="eastAsia" w:ascii="Times New Roman" w:hAnsi="Times New Roman" w:cs="Times New Roman"/>
          <w:bCs/>
          <w:sz w:val="24"/>
          <w:szCs w:val="24"/>
          <w:vertAlign w:val="superscript"/>
        </w:rPr>
        <w:t>3</w:t>
      </w:r>
      <w:r>
        <w:rPr>
          <w:rFonts w:hint="eastAsia" w:ascii="Times New Roman" w:hAnsi="Times New Roman" w:cs="Times New Roman"/>
          <w:bCs/>
          <w:sz w:val="24"/>
          <w:szCs w:val="24"/>
        </w:rPr>
        <w:t>/d。按照《医院污水处理技术指南》，污水处理站应建设不小于1m</w:t>
      </w:r>
      <w:r>
        <w:rPr>
          <w:rFonts w:hint="eastAsia" w:ascii="Times New Roman" w:hAnsi="Times New Roman" w:cs="Times New Roman"/>
          <w:bCs/>
          <w:sz w:val="24"/>
          <w:szCs w:val="24"/>
          <w:vertAlign w:val="superscript"/>
        </w:rPr>
        <w:t>3</w:t>
      </w:r>
      <w:r>
        <w:rPr>
          <w:rFonts w:hint="eastAsia" w:ascii="Times New Roman" w:hAnsi="Times New Roman" w:cs="Times New Roman"/>
          <w:bCs/>
          <w:sz w:val="24"/>
          <w:szCs w:val="24"/>
        </w:rPr>
        <w:t>的污泥消毒池，内设搅拌措施，采取二氧化氯发生器消毒后，定期清掏、脱水，由有资质单位统一处理。</w:t>
      </w:r>
    </w:p>
    <w:p>
      <w:pPr>
        <w:spacing w:line="360" w:lineRule="auto"/>
        <w:ind w:firstLine="480" w:firstLineChars="200"/>
        <w:rPr>
          <w:rFonts w:ascii="Times New Roman" w:hAnsi="Times New Roman" w:cs="Times New Roman"/>
          <w:bCs/>
          <w:sz w:val="24"/>
          <w:szCs w:val="24"/>
        </w:rPr>
      </w:pPr>
      <w:r>
        <w:rPr>
          <w:rFonts w:hint="eastAsia" w:ascii="宋体" w:hAnsi="宋体" w:eastAsia="宋体" w:cs="宋体"/>
          <w:bCs/>
          <w:sz w:val="24"/>
          <w:szCs w:val="24"/>
        </w:rPr>
        <w:t>⑤</w:t>
      </w:r>
      <w:r>
        <w:rPr>
          <w:rFonts w:ascii="Times New Roman" w:hAnsi="Times New Roman" w:cs="Times New Roman"/>
          <w:bCs/>
          <w:sz w:val="24"/>
          <w:szCs w:val="24"/>
        </w:rPr>
        <w:t>COD、氨氮在线监测仪产生的废液</w:t>
      </w:r>
      <w:r>
        <w:rPr>
          <w:rFonts w:hint="eastAsia" w:ascii="Times New Roman" w:hAnsi="Times New Roman" w:cs="Times New Roman"/>
          <w:bCs/>
          <w:sz w:val="24"/>
          <w:szCs w:val="24"/>
        </w:rPr>
        <w:t>产生量为0.5 t/a，由专人负责存放在医疗废物暂存间。并采用专用车辆定期用专用车运到有资质单位统一处理。</w:t>
      </w:r>
    </w:p>
    <w:p>
      <w:pPr>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根据《建设项目危险废物环境影响评价指南》，</w:t>
      </w:r>
      <w:r>
        <w:rPr>
          <w:rFonts w:ascii="Times New Roman" w:hAnsi="Times New Roman" w:cs="Times New Roman"/>
          <w:bCs/>
          <w:sz w:val="24"/>
          <w:szCs w:val="24"/>
        </w:rPr>
        <w:t>项目危险废物汇总表见表3-</w:t>
      </w:r>
      <w:r>
        <w:rPr>
          <w:rFonts w:hint="eastAsia" w:ascii="Times New Roman" w:hAnsi="Times New Roman" w:cs="Times New Roman"/>
          <w:bCs/>
          <w:sz w:val="24"/>
          <w:szCs w:val="24"/>
        </w:rPr>
        <w:t>8</w:t>
      </w:r>
      <w:r>
        <w:rPr>
          <w:rFonts w:ascii="Times New Roman" w:hAnsi="Times New Roman" w:cs="Times New Roman"/>
          <w:bCs/>
          <w:sz w:val="24"/>
          <w:szCs w:val="24"/>
        </w:rPr>
        <w:t>，危险废物暂存间基本情况见表3-</w:t>
      </w:r>
      <w:r>
        <w:rPr>
          <w:rFonts w:hint="eastAsia" w:ascii="Times New Roman" w:hAnsi="Times New Roman" w:cs="Times New Roman"/>
          <w:bCs/>
          <w:sz w:val="24"/>
          <w:szCs w:val="24"/>
        </w:rPr>
        <w:t>9</w:t>
      </w:r>
      <w:r>
        <w:rPr>
          <w:rFonts w:ascii="Times New Roman" w:hAnsi="Times New Roman" w:cs="Times New Roman"/>
          <w:bCs/>
          <w:sz w:val="24"/>
          <w:szCs w:val="24"/>
        </w:rPr>
        <w:t>。</w:t>
      </w:r>
    </w:p>
    <w:p>
      <w:pPr>
        <w:spacing w:line="360" w:lineRule="auto"/>
        <w:ind w:firstLine="480" w:firstLineChars="200"/>
        <w:rPr>
          <w:rFonts w:ascii="Times New Roman" w:hAnsi="Times New Roman" w:cs="Times New Roman"/>
          <w:bCs/>
          <w:sz w:val="24"/>
          <w:szCs w:val="24"/>
        </w:rPr>
      </w:pPr>
    </w:p>
    <w:p>
      <w:pPr>
        <w:spacing w:line="360" w:lineRule="auto"/>
        <w:ind w:firstLine="480" w:firstLineChars="200"/>
        <w:rPr>
          <w:rFonts w:ascii="Times New Roman" w:hAnsi="Times New Roman" w:cs="Times New Roman"/>
          <w:bCs/>
          <w:sz w:val="24"/>
          <w:szCs w:val="24"/>
        </w:rPr>
      </w:pPr>
    </w:p>
    <w:p>
      <w:pPr>
        <w:spacing w:line="360" w:lineRule="auto"/>
        <w:ind w:firstLine="480" w:firstLineChars="200"/>
        <w:rPr>
          <w:rFonts w:ascii="Times New Roman" w:hAnsi="Times New Roman" w:cs="Times New Roman"/>
          <w:bCs/>
          <w:sz w:val="24"/>
          <w:szCs w:val="24"/>
        </w:rPr>
      </w:pPr>
    </w:p>
    <w:p>
      <w:pPr>
        <w:spacing w:line="360" w:lineRule="auto"/>
        <w:ind w:firstLine="480" w:firstLineChars="200"/>
        <w:rPr>
          <w:rFonts w:ascii="Times New Roman" w:hAnsi="Times New Roman" w:cs="Times New Roman"/>
          <w:bCs/>
          <w:sz w:val="24"/>
          <w:szCs w:val="24"/>
        </w:rPr>
      </w:pPr>
    </w:p>
    <w:p>
      <w:pPr>
        <w:spacing w:line="360" w:lineRule="auto"/>
        <w:ind w:firstLine="480" w:firstLineChars="200"/>
        <w:rPr>
          <w:rFonts w:ascii="Times New Roman" w:hAnsi="Times New Roman" w:cs="Times New Roman"/>
          <w:bCs/>
          <w:sz w:val="24"/>
          <w:szCs w:val="24"/>
        </w:rPr>
      </w:pPr>
    </w:p>
    <w:p>
      <w:pPr>
        <w:spacing w:line="360" w:lineRule="auto"/>
        <w:ind w:firstLine="480" w:firstLineChars="200"/>
        <w:rPr>
          <w:rFonts w:ascii="Times New Roman" w:hAnsi="Times New Roman" w:cs="Times New Roman"/>
          <w:bCs/>
          <w:sz w:val="24"/>
          <w:szCs w:val="24"/>
        </w:rPr>
      </w:pPr>
    </w:p>
    <w:p>
      <w:pPr>
        <w:spacing w:line="360" w:lineRule="auto"/>
        <w:rPr>
          <w:rFonts w:ascii="Times New Roman" w:hAnsi="Times New Roman" w:cs="Times New Roman"/>
          <w:bCs/>
          <w:sz w:val="24"/>
          <w:szCs w:val="24"/>
        </w:rPr>
      </w:pPr>
    </w:p>
    <w:p>
      <w:pPr>
        <w:spacing w:line="360" w:lineRule="auto"/>
        <w:rPr>
          <w:rFonts w:ascii="Times New Roman" w:hAnsi="Times New Roman" w:cs="Times New Roman"/>
          <w:bCs/>
          <w:sz w:val="24"/>
          <w:szCs w:val="24"/>
        </w:rPr>
      </w:pPr>
    </w:p>
    <w:p>
      <w:pPr>
        <w:spacing w:line="360" w:lineRule="auto"/>
        <w:rPr>
          <w:rFonts w:ascii="Times New Roman" w:hAnsi="Times New Roman" w:cs="Times New Roman"/>
          <w:bCs/>
          <w:sz w:val="24"/>
          <w:szCs w:val="24"/>
        </w:rPr>
      </w:pPr>
    </w:p>
    <w:p>
      <w:pPr>
        <w:spacing w:line="360" w:lineRule="auto"/>
        <w:ind w:firstLine="480" w:firstLineChars="200"/>
        <w:jc w:val="center"/>
        <w:rPr>
          <w:rFonts w:ascii="Times New Roman" w:hAnsi="Times New Roman" w:cs="Times New Roman"/>
          <w:b/>
          <w:bCs/>
          <w:sz w:val="24"/>
          <w:szCs w:val="24"/>
        </w:rPr>
      </w:pPr>
      <w:r>
        <w:rPr>
          <w:rFonts w:ascii="Times New Roman" w:hAnsi="Times New Roman" w:cs="Times New Roman"/>
          <w:b/>
          <w:bCs/>
          <w:sz w:val="24"/>
          <w:szCs w:val="24"/>
        </w:rPr>
        <w:t>表3-</w:t>
      </w:r>
      <w:r>
        <w:rPr>
          <w:rFonts w:hint="eastAsia" w:ascii="Times New Roman" w:hAnsi="Times New Roman" w:cs="Times New Roman"/>
          <w:b/>
          <w:bCs/>
          <w:sz w:val="24"/>
          <w:szCs w:val="24"/>
        </w:rPr>
        <w:t>8</w:t>
      </w:r>
      <w:r>
        <w:rPr>
          <w:rFonts w:ascii="Times New Roman" w:hAnsi="Times New Roman" w:cs="Times New Roman"/>
          <w:b/>
          <w:bCs/>
          <w:sz w:val="24"/>
          <w:szCs w:val="24"/>
        </w:rPr>
        <w:t xml:space="preserve">  危险废物产生及去向汇总表</w:t>
      </w:r>
    </w:p>
    <w:tbl>
      <w:tblPr>
        <w:tblStyle w:val="27"/>
        <w:tblW w:w="852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27"/>
        <w:gridCol w:w="470"/>
        <w:gridCol w:w="776"/>
        <w:gridCol w:w="1412"/>
        <w:gridCol w:w="871"/>
        <w:gridCol w:w="960"/>
        <w:gridCol w:w="427"/>
        <w:gridCol w:w="537"/>
        <w:gridCol w:w="636"/>
        <w:gridCol w:w="549"/>
        <w:gridCol w:w="636"/>
        <w:gridCol w:w="82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427" w:type="dxa"/>
            <w:vAlign w:val="center"/>
          </w:tcPr>
          <w:p>
            <w:pPr>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编号</w:t>
            </w:r>
          </w:p>
        </w:tc>
        <w:tc>
          <w:tcPr>
            <w:tcW w:w="470" w:type="dxa"/>
            <w:vAlign w:val="center"/>
          </w:tcPr>
          <w:p>
            <w:pPr>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危险废物</w:t>
            </w:r>
          </w:p>
          <w:p>
            <w:pPr>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名称</w:t>
            </w:r>
          </w:p>
        </w:tc>
        <w:tc>
          <w:tcPr>
            <w:tcW w:w="776" w:type="dxa"/>
            <w:vAlign w:val="center"/>
          </w:tcPr>
          <w:p>
            <w:pPr>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危险废物类别</w:t>
            </w:r>
          </w:p>
        </w:tc>
        <w:tc>
          <w:tcPr>
            <w:tcW w:w="1412" w:type="dxa"/>
            <w:vAlign w:val="center"/>
          </w:tcPr>
          <w:p>
            <w:pPr>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危险废物代码</w:t>
            </w:r>
          </w:p>
        </w:tc>
        <w:tc>
          <w:tcPr>
            <w:tcW w:w="871" w:type="dxa"/>
            <w:vAlign w:val="center"/>
          </w:tcPr>
          <w:p>
            <w:pPr>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产生量（t/a）</w:t>
            </w:r>
          </w:p>
        </w:tc>
        <w:tc>
          <w:tcPr>
            <w:tcW w:w="960" w:type="dxa"/>
            <w:vAlign w:val="center"/>
          </w:tcPr>
          <w:p>
            <w:pPr>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产生工序及装置</w:t>
            </w:r>
          </w:p>
        </w:tc>
        <w:tc>
          <w:tcPr>
            <w:tcW w:w="427" w:type="dxa"/>
            <w:vAlign w:val="center"/>
          </w:tcPr>
          <w:p>
            <w:pPr>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形态</w:t>
            </w:r>
          </w:p>
        </w:tc>
        <w:tc>
          <w:tcPr>
            <w:tcW w:w="537" w:type="dxa"/>
            <w:vAlign w:val="center"/>
          </w:tcPr>
          <w:p>
            <w:pPr>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主要成分</w:t>
            </w:r>
          </w:p>
        </w:tc>
        <w:tc>
          <w:tcPr>
            <w:tcW w:w="636" w:type="dxa"/>
            <w:vAlign w:val="center"/>
          </w:tcPr>
          <w:p>
            <w:pPr>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有害成分</w:t>
            </w:r>
          </w:p>
        </w:tc>
        <w:tc>
          <w:tcPr>
            <w:tcW w:w="549" w:type="dxa"/>
            <w:vAlign w:val="center"/>
          </w:tcPr>
          <w:p>
            <w:pPr>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产废周期</w:t>
            </w:r>
          </w:p>
        </w:tc>
        <w:tc>
          <w:tcPr>
            <w:tcW w:w="636" w:type="dxa"/>
            <w:vAlign w:val="center"/>
          </w:tcPr>
          <w:p>
            <w:pPr>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危险特性</w:t>
            </w:r>
          </w:p>
        </w:tc>
        <w:tc>
          <w:tcPr>
            <w:tcW w:w="827" w:type="dxa"/>
            <w:vAlign w:val="center"/>
          </w:tcPr>
          <w:p>
            <w:pPr>
              <w:jc w:val="center"/>
              <w:rPr>
                <w:rFonts w:ascii="Times New Roman" w:hAnsi="Times New Roman" w:cs="Times New Roman"/>
                <w:b/>
                <w:color w:val="000000" w:themeColor="text1"/>
                <w:szCs w:val="21"/>
              </w:rPr>
            </w:pPr>
            <w:r>
              <w:rPr>
                <w:rFonts w:ascii="Times New Roman" w:hAnsi="Times New Roman" w:cs="Times New Roman"/>
                <w:b/>
                <w:color w:val="000000" w:themeColor="text1"/>
                <w:szCs w:val="21"/>
              </w:rPr>
              <w:t>污染防治措施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427" w:type="dxa"/>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470" w:type="dxa"/>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医疗废物</w:t>
            </w:r>
          </w:p>
        </w:tc>
        <w:tc>
          <w:tcPr>
            <w:tcW w:w="776" w:type="dxa"/>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HW01</w:t>
            </w:r>
          </w:p>
        </w:tc>
        <w:tc>
          <w:tcPr>
            <w:tcW w:w="1412" w:type="dxa"/>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831-001-01、831-002-01、831-003-01、831-004-01、831-005-01、</w:t>
            </w:r>
          </w:p>
        </w:tc>
        <w:tc>
          <w:tcPr>
            <w:tcW w:w="871" w:type="dxa"/>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r>
              <w:rPr>
                <w:rFonts w:hint="eastAsia" w:ascii="Times New Roman" w:hAnsi="Times New Roman" w:cs="Times New Roman"/>
                <w:color w:val="000000" w:themeColor="text1"/>
                <w:szCs w:val="21"/>
              </w:rPr>
              <w:t>1</w:t>
            </w:r>
          </w:p>
        </w:tc>
        <w:tc>
          <w:tcPr>
            <w:tcW w:w="960" w:type="dxa"/>
            <w:vAlign w:val="center"/>
          </w:tcPr>
          <w:p>
            <w:pPr>
              <w:jc w:val="center"/>
              <w:rPr>
                <w:rFonts w:ascii="Times New Roman" w:hAnsi="Times New Roman" w:cs="Times New Roman"/>
                <w:color w:val="000000" w:themeColor="text1"/>
                <w:szCs w:val="21"/>
              </w:rPr>
            </w:pPr>
            <w:r>
              <w:rPr>
                <w:rFonts w:ascii="Times New Roman" w:hAnsi="Times New Roman" w:cs="Times New Roman"/>
                <w:bCs/>
                <w:snapToGrid w:val="0"/>
                <w:color w:val="000000" w:themeColor="text1"/>
                <w:kern w:val="0"/>
                <w:szCs w:val="21"/>
              </w:rPr>
              <w:t>医疗、预防、保健</w:t>
            </w:r>
          </w:p>
        </w:tc>
        <w:tc>
          <w:tcPr>
            <w:tcW w:w="427" w:type="dxa"/>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固体</w:t>
            </w:r>
          </w:p>
        </w:tc>
        <w:tc>
          <w:tcPr>
            <w:tcW w:w="537" w:type="dxa"/>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636" w:type="dxa"/>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病毒、病菌</w:t>
            </w:r>
          </w:p>
        </w:tc>
        <w:tc>
          <w:tcPr>
            <w:tcW w:w="549" w:type="dxa"/>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6个月</w:t>
            </w:r>
          </w:p>
        </w:tc>
        <w:tc>
          <w:tcPr>
            <w:tcW w:w="636" w:type="dxa"/>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T</w:t>
            </w:r>
            <w:r>
              <w:rPr>
                <w:rFonts w:ascii="Times New Roman" w:hAnsi="Times New Roman" w:cs="Times New Roman"/>
                <w:color w:val="000000" w:themeColor="text1"/>
                <w:szCs w:val="21"/>
              </w:rPr>
              <w:t>毒性、</w:t>
            </w:r>
            <w:r>
              <w:rPr>
                <w:rFonts w:hint="eastAsia" w:ascii="Times New Roman" w:hAnsi="Times New Roman" w:cs="Times New Roman"/>
                <w:color w:val="000000" w:themeColor="text1"/>
                <w:szCs w:val="21"/>
              </w:rPr>
              <w:t>In</w:t>
            </w:r>
            <w:r>
              <w:rPr>
                <w:rFonts w:ascii="Times New Roman" w:hAnsi="Times New Roman" w:cs="Times New Roman"/>
                <w:color w:val="000000" w:themeColor="text1"/>
                <w:szCs w:val="21"/>
              </w:rPr>
              <w:t>感染性</w:t>
            </w:r>
          </w:p>
        </w:tc>
        <w:tc>
          <w:tcPr>
            <w:tcW w:w="827" w:type="dxa"/>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存放与医院</w:t>
            </w:r>
            <w:r>
              <w:rPr>
                <w:rFonts w:ascii="Times New Roman" w:hAnsi="Times New Roman" w:cs="Times New Roman"/>
                <w:bCs/>
                <w:color w:val="000000" w:themeColor="text1"/>
                <w:szCs w:val="21"/>
              </w:rPr>
              <w:t>医疗废物暂存间</w:t>
            </w:r>
            <w:r>
              <w:rPr>
                <w:rFonts w:ascii="Times New Roman" w:hAnsi="Times New Roman" w:cs="Times New Roman"/>
                <w:color w:val="000000" w:themeColor="text1"/>
                <w:szCs w:val="21"/>
              </w:rPr>
              <w:t>，交由有资质单位处理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427" w:type="dxa"/>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w:t>
            </w:r>
          </w:p>
        </w:tc>
        <w:tc>
          <w:tcPr>
            <w:tcW w:w="470" w:type="dxa"/>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污泥</w:t>
            </w:r>
          </w:p>
        </w:tc>
        <w:tc>
          <w:tcPr>
            <w:tcW w:w="776" w:type="dxa"/>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HW01</w:t>
            </w:r>
          </w:p>
        </w:tc>
        <w:tc>
          <w:tcPr>
            <w:tcW w:w="1412" w:type="dxa"/>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900-001-01</w:t>
            </w:r>
          </w:p>
        </w:tc>
        <w:tc>
          <w:tcPr>
            <w:tcW w:w="871" w:type="dxa"/>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8</w:t>
            </w:r>
          </w:p>
        </w:tc>
        <w:tc>
          <w:tcPr>
            <w:tcW w:w="960" w:type="dxa"/>
            <w:vAlign w:val="center"/>
          </w:tcPr>
          <w:p>
            <w:pPr>
              <w:jc w:val="center"/>
              <w:rPr>
                <w:rFonts w:ascii="Times New Roman" w:hAnsi="Times New Roman" w:cs="Times New Roman"/>
                <w:snapToGrid w:val="0"/>
                <w:color w:val="000000" w:themeColor="text1"/>
                <w:kern w:val="0"/>
                <w:szCs w:val="21"/>
              </w:rPr>
            </w:pPr>
            <w:r>
              <w:rPr>
                <w:rFonts w:ascii="Times New Roman" w:hAnsi="Times New Roman" w:cs="Times New Roman"/>
                <w:bCs/>
                <w:color w:val="000000" w:themeColor="text1"/>
                <w:szCs w:val="21"/>
              </w:rPr>
              <w:t>污水处理站、化粪池、格栅及污泥池</w:t>
            </w:r>
          </w:p>
        </w:tc>
        <w:tc>
          <w:tcPr>
            <w:tcW w:w="427" w:type="dxa"/>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固体</w:t>
            </w:r>
          </w:p>
        </w:tc>
        <w:tc>
          <w:tcPr>
            <w:tcW w:w="537" w:type="dxa"/>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636" w:type="dxa"/>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病毒、病菌</w:t>
            </w:r>
          </w:p>
        </w:tc>
        <w:tc>
          <w:tcPr>
            <w:tcW w:w="549" w:type="dxa"/>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6个月</w:t>
            </w:r>
          </w:p>
        </w:tc>
        <w:tc>
          <w:tcPr>
            <w:tcW w:w="636" w:type="dxa"/>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In</w:t>
            </w:r>
            <w:r>
              <w:rPr>
                <w:rFonts w:ascii="Times New Roman" w:hAnsi="Times New Roman" w:cs="Times New Roman"/>
                <w:color w:val="000000" w:themeColor="text1"/>
                <w:szCs w:val="21"/>
              </w:rPr>
              <w:t>感染性</w:t>
            </w:r>
          </w:p>
        </w:tc>
        <w:tc>
          <w:tcPr>
            <w:tcW w:w="827" w:type="dxa"/>
            <w:vAlign w:val="center"/>
          </w:tcPr>
          <w:p>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定期清掏、脱水，由有资质单位统一处理。</w:t>
            </w:r>
          </w:p>
          <w:p>
            <w:pPr>
              <w:jc w:val="center"/>
              <w:rPr>
                <w:rFonts w:ascii="Times New Roman" w:hAnsi="Times New Roman" w:cs="Times New Roman"/>
                <w:color w:val="000000" w:themeColor="text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427" w:type="dxa"/>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3</w:t>
            </w:r>
          </w:p>
        </w:tc>
        <w:tc>
          <w:tcPr>
            <w:tcW w:w="470" w:type="dxa"/>
            <w:vAlign w:val="center"/>
          </w:tcPr>
          <w:p>
            <w:pPr>
              <w:snapToGrid w:val="0"/>
              <w:spacing w:line="34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废液</w:t>
            </w:r>
          </w:p>
        </w:tc>
        <w:tc>
          <w:tcPr>
            <w:tcW w:w="776" w:type="dxa"/>
            <w:vAlign w:val="center"/>
          </w:tcPr>
          <w:p>
            <w:pPr>
              <w:snapToGrid w:val="0"/>
              <w:spacing w:line="340" w:lineRule="exact"/>
              <w:jc w:val="center"/>
              <w:rPr>
                <w:rFonts w:ascii="Times New Roman" w:hAnsi="Times New Roman" w:cs="Times New Roman"/>
                <w:bCs/>
                <w:color w:val="000000" w:themeColor="text1"/>
                <w:spacing w:val="-6"/>
                <w:szCs w:val="21"/>
              </w:rPr>
            </w:pPr>
            <w:r>
              <w:rPr>
                <w:rFonts w:ascii="Times New Roman" w:hAnsi="Times New Roman" w:cs="Times New Roman"/>
                <w:bCs/>
                <w:color w:val="000000" w:themeColor="text1"/>
                <w:szCs w:val="21"/>
              </w:rPr>
              <w:t>HW49</w:t>
            </w:r>
          </w:p>
        </w:tc>
        <w:tc>
          <w:tcPr>
            <w:tcW w:w="1412" w:type="dxa"/>
            <w:vAlign w:val="center"/>
          </w:tcPr>
          <w:p>
            <w:pPr>
              <w:snapToGrid w:val="0"/>
              <w:spacing w:line="340" w:lineRule="exact"/>
              <w:jc w:val="center"/>
              <w:rPr>
                <w:rFonts w:ascii="Times New Roman" w:hAnsi="Times New Roman" w:cs="Times New Roman"/>
                <w:bCs/>
                <w:color w:val="000000" w:themeColor="text1"/>
                <w:spacing w:val="-6"/>
                <w:szCs w:val="21"/>
              </w:rPr>
            </w:pPr>
            <w:r>
              <w:rPr>
                <w:rFonts w:ascii="Times New Roman" w:hAnsi="Times New Roman" w:cs="Times New Roman"/>
                <w:bCs/>
                <w:color w:val="000000" w:themeColor="text1"/>
                <w:spacing w:val="-6"/>
                <w:szCs w:val="21"/>
              </w:rPr>
              <w:t>900-047-49</w:t>
            </w:r>
          </w:p>
        </w:tc>
        <w:tc>
          <w:tcPr>
            <w:tcW w:w="871" w:type="dxa"/>
            <w:vAlign w:val="center"/>
          </w:tcPr>
          <w:p>
            <w:pPr>
              <w:snapToGrid w:val="0"/>
              <w:spacing w:line="34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0.5</w:t>
            </w:r>
          </w:p>
        </w:tc>
        <w:tc>
          <w:tcPr>
            <w:tcW w:w="960" w:type="dxa"/>
            <w:vAlign w:val="center"/>
          </w:tcPr>
          <w:p>
            <w:pPr>
              <w:snapToGrid w:val="0"/>
              <w:spacing w:line="34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在线监测</w:t>
            </w:r>
          </w:p>
        </w:tc>
        <w:tc>
          <w:tcPr>
            <w:tcW w:w="427" w:type="dxa"/>
            <w:vAlign w:val="center"/>
          </w:tcPr>
          <w:p>
            <w:pPr>
              <w:snapToGrid w:val="0"/>
              <w:spacing w:line="34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液态</w:t>
            </w:r>
          </w:p>
        </w:tc>
        <w:tc>
          <w:tcPr>
            <w:tcW w:w="537" w:type="dxa"/>
            <w:vAlign w:val="center"/>
          </w:tcPr>
          <w:p>
            <w:pPr>
              <w:snapToGrid w:val="0"/>
              <w:spacing w:line="340" w:lineRule="exact"/>
              <w:ind w:firstLine="105" w:firstLineChars="50"/>
              <w:rPr>
                <w:rFonts w:ascii="Times New Roman" w:hAnsi="Times New Roman" w:cs="Times New Roman"/>
                <w:bCs/>
                <w:color w:val="000000" w:themeColor="text1"/>
                <w:szCs w:val="21"/>
              </w:rPr>
            </w:pPr>
            <w:r>
              <w:rPr>
                <w:rFonts w:ascii="Times New Roman" w:hAnsi="Times New Roman" w:cs="Times New Roman"/>
                <w:bCs/>
                <w:color w:val="000000" w:themeColor="text1"/>
                <w:szCs w:val="21"/>
              </w:rPr>
              <w:t>毒性</w:t>
            </w:r>
          </w:p>
        </w:tc>
        <w:tc>
          <w:tcPr>
            <w:tcW w:w="636" w:type="dxa"/>
            <w:vAlign w:val="center"/>
          </w:tcPr>
          <w:p>
            <w:pPr>
              <w:snapToGrid w:val="0"/>
              <w:spacing w:line="34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w:t>
            </w:r>
          </w:p>
        </w:tc>
        <w:tc>
          <w:tcPr>
            <w:tcW w:w="549" w:type="dxa"/>
            <w:vAlign w:val="center"/>
          </w:tcPr>
          <w:p>
            <w:pPr>
              <w:snapToGrid w:val="0"/>
              <w:spacing w:line="340" w:lineRule="exact"/>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1d</w:t>
            </w:r>
          </w:p>
        </w:tc>
        <w:tc>
          <w:tcPr>
            <w:tcW w:w="636" w:type="dxa"/>
            <w:vAlign w:val="center"/>
          </w:tcPr>
          <w:p>
            <w:pPr>
              <w:snapToGrid w:val="0"/>
              <w:spacing w:line="340" w:lineRule="exact"/>
              <w:jc w:val="center"/>
              <w:rPr>
                <w:rFonts w:ascii="Times New Roman" w:hAnsi="Times New Roman" w:cs="Times New Roman"/>
                <w:bCs/>
                <w:color w:val="000000" w:themeColor="text1"/>
                <w:spacing w:val="-6"/>
                <w:szCs w:val="21"/>
              </w:rPr>
            </w:pPr>
            <w:r>
              <w:rPr>
                <w:rFonts w:ascii="Times New Roman" w:hAnsi="Times New Roman" w:cs="Times New Roman"/>
                <w:bCs/>
                <w:color w:val="000000" w:themeColor="text1"/>
                <w:spacing w:val="-6"/>
                <w:szCs w:val="21"/>
              </w:rPr>
              <w:t>T毒性、C腐蚀性、I易燃性、R反应性</w:t>
            </w:r>
          </w:p>
        </w:tc>
        <w:tc>
          <w:tcPr>
            <w:tcW w:w="827" w:type="dxa"/>
            <w:vAlign w:val="center"/>
          </w:tcPr>
          <w:p>
            <w:pPr>
              <w:jc w:val="center"/>
              <w:rPr>
                <w:rFonts w:ascii="Times New Roman" w:hAnsi="Times New Roman" w:cs="Times New Roman"/>
                <w:bCs/>
                <w:color w:val="000000" w:themeColor="text1"/>
                <w:szCs w:val="21"/>
              </w:rPr>
            </w:pPr>
            <w:r>
              <w:rPr>
                <w:rFonts w:ascii="Times New Roman" w:hAnsi="Times New Roman" w:cs="Times New Roman"/>
                <w:bCs/>
                <w:color w:val="000000" w:themeColor="text1"/>
                <w:szCs w:val="21"/>
              </w:rPr>
              <w:t>存放与医院医疗废物暂存间，交由有资质单位处理</w:t>
            </w:r>
          </w:p>
        </w:tc>
      </w:tr>
    </w:tbl>
    <w:p>
      <w:pPr>
        <w:spacing w:line="360" w:lineRule="auto"/>
        <w:ind w:firstLine="480" w:firstLineChars="200"/>
        <w:jc w:val="center"/>
        <w:rPr>
          <w:rFonts w:ascii="Times New Roman" w:hAnsi="Times New Roman" w:cs="Times New Roman"/>
          <w:b/>
          <w:bCs/>
          <w:sz w:val="24"/>
          <w:szCs w:val="24"/>
        </w:rPr>
      </w:pPr>
    </w:p>
    <w:p>
      <w:pPr>
        <w:spacing w:line="360" w:lineRule="auto"/>
        <w:ind w:firstLine="480" w:firstLineChars="200"/>
        <w:jc w:val="center"/>
        <w:rPr>
          <w:rFonts w:ascii="Times New Roman" w:hAnsi="Times New Roman" w:cs="Times New Roman"/>
          <w:b/>
          <w:bCs/>
          <w:sz w:val="24"/>
          <w:szCs w:val="24"/>
        </w:rPr>
      </w:pPr>
    </w:p>
    <w:p>
      <w:pPr>
        <w:spacing w:line="360" w:lineRule="auto"/>
        <w:ind w:firstLine="480" w:firstLineChars="200"/>
        <w:jc w:val="center"/>
        <w:rPr>
          <w:rFonts w:ascii="Times New Roman" w:hAnsi="Times New Roman" w:cs="Times New Roman"/>
          <w:b/>
          <w:bCs/>
          <w:sz w:val="24"/>
          <w:szCs w:val="24"/>
        </w:rPr>
      </w:pPr>
    </w:p>
    <w:p>
      <w:pPr>
        <w:spacing w:line="360" w:lineRule="auto"/>
        <w:ind w:firstLine="480" w:firstLineChars="200"/>
        <w:jc w:val="center"/>
        <w:rPr>
          <w:rFonts w:ascii="Times New Roman" w:hAnsi="Times New Roman" w:cs="Times New Roman"/>
          <w:b/>
          <w:bCs/>
          <w:sz w:val="24"/>
          <w:szCs w:val="24"/>
        </w:rPr>
      </w:pPr>
    </w:p>
    <w:p>
      <w:pPr>
        <w:spacing w:line="360" w:lineRule="auto"/>
        <w:ind w:firstLine="480" w:firstLineChars="200"/>
        <w:jc w:val="center"/>
        <w:rPr>
          <w:rFonts w:ascii="Times New Roman" w:hAnsi="Times New Roman" w:cs="Times New Roman"/>
          <w:b/>
          <w:bCs/>
          <w:sz w:val="24"/>
          <w:szCs w:val="24"/>
        </w:rPr>
      </w:pPr>
      <w:r>
        <w:rPr>
          <w:rFonts w:ascii="Times New Roman" w:hAnsi="Times New Roman" w:cs="Times New Roman"/>
          <w:b/>
          <w:bCs/>
          <w:sz w:val="24"/>
          <w:szCs w:val="24"/>
        </w:rPr>
        <w:t>表3-</w:t>
      </w:r>
      <w:r>
        <w:rPr>
          <w:rFonts w:hint="eastAsia" w:ascii="Times New Roman" w:hAnsi="Times New Roman" w:cs="Times New Roman"/>
          <w:b/>
          <w:bCs/>
          <w:sz w:val="24"/>
          <w:szCs w:val="24"/>
        </w:rPr>
        <w:t>9</w:t>
      </w:r>
      <w:r>
        <w:rPr>
          <w:rFonts w:ascii="Times New Roman" w:hAnsi="Times New Roman" w:cs="Times New Roman"/>
          <w:b/>
          <w:bCs/>
          <w:sz w:val="24"/>
          <w:szCs w:val="24"/>
        </w:rPr>
        <w:t xml:space="preserve">  </w:t>
      </w:r>
      <w:r>
        <w:rPr>
          <w:rFonts w:hint="eastAsia" w:ascii="Times New Roman" w:hAnsi="Times New Roman" w:cs="Times New Roman"/>
          <w:b/>
          <w:bCs/>
          <w:sz w:val="24"/>
          <w:szCs w:val="24"/>
        </w:rPr>
        <w:t>医疗废物暂存间基本情况表</w:t>
      </w:r>
    </w:p>
    <w:tbl>
      <w:tblPr>
        <w:tblStyle w:val="27"/>
        <w:tblW w:w="8505"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88"/>
        <w:gridCol w:w="1114"/>
        <w:gridCol w:w="1134"/>
        <w:gridCol w:w="993"/>
        <w:gridCol w:w="1134"/>
        <w:gridCol w:w="1275"/>
        <w:gridCol w:w="1134"/>
        <w:gridCol w:w="113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588" w:type="dxa"/>
            <w:vAlign w:val="center"/>
          </w:tcPr>
          <w:p>
            <w:pPr>
              <w:jc w:val="center"/>
              <w:rPr>
                <w:rFonts w:ascii="Times New Roman" w:hAnsi="Times New Roman" w:cs="Times New Roman"/>
                <w:b/>
                <w:color w:val="000000" w:themeColor="text1"/>
                <w:szCs w:val="21"/>
              </w:rPr>
            </w:pPr>
            <w:r>
              <w:rPr>
                <w:rFonts w:ascii="Times New Roman" w:cs="Times New Roman"/>
                <w:b/>
                <w:color w:val="000000" w:themeColor="text1"/>
                <w:szCs w:val="21"/>
              </w:rPr>
              <w:t>编号</w:t>
            </w:r>
          </w:p>
        </w:tc>
        <w:tc>
          <w:tcPr>
            <w:tcW w:w="1114" w:type="dxa"/>
            <w:vAlign w:val="center"/>
          </w:tcPr>
          <w:p>
            <w:pPr>
              <w:jc w:val="center"/>
              <w:rPr>
                <w:rFonts w:ascii="Times New Roman" w:hAnsi="Times New Roman" w:cs="Times New Roman"/>
                <w:b/>
                <w:color w:val="000000" w:themeColor="text1"/>
                <w:szCs w:val="21"/>
              </w:rPr>
            </w:pPr>
            <w:r>
              <w:rPr>
                <w:rFonts w:ascii="Times New Roman" w:cs="Times New Roman"/>
                <w:b/>
                <w:color w:val="000000" w:themeColor="text1"/>
                <w:szCs w:val="21"/>
              </w:rPr>
              <w:t>贮存场所</w:t>
            </w:r>
          </w:p>
        </w:tc>
        <w:tc>
          <w:tcPr>
            <w:tcW w:w="1134" w:type="dxa"/>
            <w:vAlign w:val="center"/>
          </w:tcPr>
          <w:p>
            <w:pPr>
              <w:jc w:val="center"/>
              <w:rPr>
                <w:rFonts w:ascii="Times New Roman" w:hAnsi="Times New Roman" w:cs="Times New Roman"/>
                <w:b/>
                <w:color w:val="000000" w:themeColor="text1"/>
                <w:szCs w:val="21"/>
              </w:rPr>
            </w:pPr>
            <w:r>
              <w:rPr>
                <w:rFonts w:ascii="Times New Roman" w:cs="Times New Roman"/>
                <w:b/>
                <w:color w:val="000000" w:themeColor="text1"/>
                <w:szCs w:val="21"/>
              </w:rPr>
              <w:t>危险废物名称</w:t>
            </w:r>
          </w:p>
        </w:tc>
        <w:tc>
          <w:tcPr>
            <w:tcW w:w="993" w:type="dxa"/>
            <w:vAlign w:val="center"/>
          </w:tcPr>
          <w:p>
            <w:pPr>
              <w:jc w:val="center"/>
              <w:rPr>
                <w:rFonts w:ascii="Times New Roman" w:hAnsi="Times New Roman" w:cs="Times New Roman"/>
                <w:b/>
                <w:color w:val="000000" w:themeColor="text1"/>
                <w:szCs w:val="21"/>
              </w:rPr>
            </w:pPr>
            <w:r>
              <w:rPr>
                <w:rFonts w:ascii="Times New Roman" w:cs="Times New Roman"/>
                <w:b/>
                <w:color w:val="000000" w:themeColor="text1"/>
                <w:szCs w:val="21"/>
              </w:rPr>
              <w:t>位置</w:t>
            </w:r>
          </w:p>
        </w:tc>
        <w:tc>
          <w:tcPr>
            <w:tcW w:w="1134" w:type="dxa"/>
            <w:vAlign w:val="center"/>
          </w:tcPr>
          <w:p>
            <w:pPr>
              <w:jc w:val="center"/>
              <w:rPr>
                <w:rFonts w:ascii="Times New Roman" w:hAnsi="Times New Roman" w:cs="Times New Roman"/>
                <w:b/>
                <w:color w:val="000000" w:themeColor="text1"/>
                <w:szCs w:val="21"/>
              </w:rPr>
            </w:pPr>
            <w:r>
              <w:rPr>
                <w:rFonts w:ascii="Times New Roman" w:cs="Times New Roman"/>
                <w:b/>
                <w:color w:val="000000" w:themeColor="text1"/>
                <w:szCs w:val="21"/>
              </w:rPr>
              <w:t>占地面积</w:t>
            </w:r>
          </w:p>
        </w:tc>
        <w:tc>
          <w:tcPr>
            <w:tcW w:w="1275" w:type="dxa"/>
            <w:vAlign w:val="center"/>
          </w:tcPr>
          <w:p>
            <w:pPr>
              <w:jc w:val="center"/>
              <w:rPr>
                <w:rFonts w:ascii="Times New Roman" w:hAnsi="Times New Roman" w:cs="Times New Roman"/>
                <w:b/>
                <w:color w:val="000000" w:themeColor="text1"/>
                <w:szCs w:val="21"/>
              </w:rPr>
            </w:pPr>
            <w:r>
              <w:rPr>
                <w:rFonts w:ascii="Times New Roman" w:cs="Times New Roman"/>
                <w:b/>
                <w:color w:val="000000" w:themeColor="text1"/>
                <w:szCs w:val="21"/>
              </w:rPr>
              <w:t>贮存方式</w:t>
            </w:r>
          </w:p>
        </w:tc>
        <w:tc>
          <w:tcPr>
            <w:tcW w:w="1134" w:type="dxa"/>
            <w:vAlign w:val="center"/>
          </w:tcPr>
          <w:p>
            <w:pPr>
              <w:jc w:val="center"/>
              <w:rPr>
                <w:rFonts w:ascii="Times New Roman" w:hAnsi="Times New Roman" w:cs="Times New Roman"/>
                <w:b/>
                <w:color w:val="000000" w:themeColor="text1"/>
                <w:szCs w:val="21"/>
              </w:rPr>
            </w:pPr>
            <w:r>
              <w:rPr>
                <w:rFonts w:ascii="Times New Roman" w:cs="Times New Roman"/>
                <w:b/>
                <w:color w:val="000000" w:themeColor="text1"/>
                <w:szCs w:val="21"/>
              </w:rPr>
              <w:t>贮存能力</w:t>
            </w:r>
          </w:p>
        </w:tc>
        <w:tc>
          <w:tcPr>
            <w:tcW w:w="1133" w:type="dxa"/>
            <w:vAlign w:val="center"/>
          </w:tcPr>
          <w:p>
            <w:pPr>
              <w:jc w:val="center"/>
              <w:rPr>
                <w:rFonts w:ascii="Times New Roman" w:hAnsi="Times New Roman" w:cs="Times New Roman"/>
                <w:b/>
                <w:color w:val="000000" w:themeColor="text1"/>
                <w:szCs w:val="21"/>
              </w:rPr>
            </w:pPr>
            <w:r>
              <w:rPr>
                <w:rFonts w:ascii="Times New Roman" w:cs="Times New Roman"/>
                <w:b/>
                <w:color w:val="000000" w:themeColor="text1"/>
                <w:szCs w:val="21"/>
              </w:rPr>
              <w:t>贮存周期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20" w:hRule="atLeast"/>
          <w:jc w:val="center"/>
        </w:trPr>
        <w:tc>
          <w:tcPr>
            <w:tcW w:w="588" w:type="dxa"/>
            <w:vMerge w:val="restart"/>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1114" w:type="dxa"/>
            <w:vMerge w:val="restart"/>
            <w:vAlign w:val="center"/>
          </w:tcPr>
          <w:p>
            <w:pPr>
              <w:jc w:val="center"/>
              <w:rPr>
                <w:rFonts w:ascii="Times New Roman" w:hAnsi="Times New Roman" w:cs="Times New Roman"/>
                <w:color w:val="000000" w:themeColor="text1"/>
                <w:szCs w:val="21"/>
              </w:rPr>
            </w:pPr>
            <w:r>
              <w:rPr>
                <w:rFonts w:hint="eastAsia" w:ascii="Times New Roman" w:cs="Times New Roman"/>
                <w:bCs/>
                <w:color w:val="000000" w:themeColor="text1"/>
                <w:szCs w:val="21"/>
              </w:rPr>
              <w:t>医疗废物</w:t>
            </w:r>
            <w:r>
              <w:rPr>
                <w:rFonts w:ascii="Times New Roman" w:cs="Times New Roman"/>
                <w:color w:val="000000" w:themeColor="text1"/>
                <w:szCs w:val="21"/>
              </w:rPr>
              <w:t>暂存间</w:t>
            </w:r>
          </w:p>
        </w:tc>
        <w:tc>
          <w:tcPr>
            <w:tcW w:w="1134" w:type="dxa"/>
            <w:vAlign w:val="center"/>
          </w:tcPr>
          <w:p>
            <w:pPr>
              <w:jc w:val="center"/>
              <w:rPr>
                <w:rFonts w:ascii="Times New Roman" w:hAnsi="Times New Roman" w:cs="Times New Roman"/>
                <w:color w:val="000000" w:themeColor="text1"/>
                <w:szCs w:val="21"/>
              </w:rPr>
            </w:pPr>
            <w:r>
              <w:rPr>
                <w:rFonts w:hint="eastAsia"/>
                <w:color w:val="000000" w:themeColor="text1"/>
                <w:szCs w:val="21"/>
              </w:rPr>
              <w:t>医疗废物</w:t>
            </w:r>
          </w:p>
        </w:tc>
        <w:tc>
          <w:tcPr>
            <w:tcW w:w="993" w:type="dxa"/>
            <w:vAlign w:val="center"/>
          </w:tcPr>
          <w:p>
            <w:pPr>
              <w:jc w:val="center"/>
              <w:rPr>
                <w:rFonts w:ascii="Times New Roman" w:hAnsi="Times New Roman" w:cs="Times New Roman"/>
                <w:color w:val="000000" w:themeColor="text1"/>
                <w:szCs w:val="21"/>
              </w:rPr>
            </w:pPr>
            <w:r>
              <w:rPr>
                <w:rFonts w:hint="eastAsia" w:ascii="Times New Roman" w:cs="Times New Roman"/>
                <w:bCs/>
                <w:snapToGrid w:val="0"/>
                <w:color w:val="000000" w:themeColor="text1"/>
                <w:kern w:val="0"/>
                <w:szCs w:val="21"/>
              </w:rPr>
              <w:t>医疗、预防、保健</w:t>
            </w:r>
          </w:p>
        </w:tc>
        <w:tc>
          <w:tcPr>
            <w:tcW w:w="1134" w:type="dxa"/>
            <w:vMerge w:val="restart"/>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100</w:t>
            </w:r>
            <w:r>
              <w:rPr>
                <w:rFonts w:ascii="Times New Roman" w:hAnsi="Times New Roman" w:cs="Times New Roman"/>
                <w:color w:val="000000" w:themeColor="text1"/>
                <w:szCs w:val="21"/>
              </w:rPr>
              <w:t>m</w:t>
            </w:r>
            <w:r>
              <w:rPr>
                <w:rFonts w:ascii="Times New Roman" w:hAnsi="Times New Roman" w:cs="Times New Roman"/>
                <w:color w:val="000000" w:themeColor="text1"/>
                <w:szCs w:val="21"/>
                <w:vertAlign w:val="superscript"/>
              </w:rPr>
              <w:t>2</w:t>
            </w:r>
          </w:p>
        </w:tc>
        <w:tc>
          <w:tcPr>
            <w:tcW w:w="1275" w:type="dxa"/>
            <w:vAlign w:val="center"/>
          </w:tcPr>
          <w:p>
            <w:pPr>
              <w:jc w:val="center"/>
              <w:rPr>
                <w:rFonts w:ascii="Times New Roman" w:cs="Times New Roman"/>
                <w:bCs/>
                <w:color w:val="000000" w:themeColor="text1"/>
                <w:szCs w:val="21"/>
              </w:rPr>
            </w:pPr>
            <w:r>
              <w:rPr>
                <w:rFonts w:hint="eastAsia" w:ascii="Times New Roman" w:cs="Times New Roman"/>
                <w:bCs/>
                <w:color w:val="000000" w:themeColor="text1"/>
                <w:szCs w:val="21"/>
              </w:rPr>
              <w:t>分区</w:t>
            </w:r>
          </w:p>
          <w:p>
            <w:pPr>
              <w:jc w:val="center"/>
              <w:rPr>
                <w:rFonts w:ascii="Times New Roman" w:hAnsi="Times New Roman" w:cs="Times New Roman"/>
                <w:color w:val="000000" w:themeColor="text1"/>
                <w:szCs w:val="21"/>
              </w:rPr>
            </w:pPr>
            <w:r>
              <w:rPr>
                <w:rFonts w:hint="eastAsia" w:ascii="Times New Roman" w:cs="Times New Roman"/>
                <w:bCs/>
                <w:color w:val="000000" w:themeColor="text1"/>
                <w:szCs w:val="21"/>
              </w:rPr>
              <w:t>贮存，防渗漏、防锐器穿透的专用包装物或者密闭的容器内</w:t>
            </w:r>
          </w:p>
        </w:tc>
        <w:tc>
          <w:tcPr>
            <w:tcW w:w="1134" w:type="dxa"/>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5</w:t>
            </w:r>
            <w:r>
              <w:rPr>
                <w:rFonts w:ascii="Times New Roman" w:hAnsi="Times New Roman" w:cs="Times New Roman"/>
                <w:bCs/>
                <w:color w:val="000000" w:themeColor="text1"/>
                <w:szCs w:val="21"/>
              </w:rPr>
              <w:t>t</w:t>
            </w:r>
          </w:p>
        </w:tc>
        <w:tc>
          <w:tcPr>
            <w:tcW w:w="1133" w:type="dxa"/>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w:t>
            </w:r>
            <w:r>
              <w:rPr>
                <w:rFonts w:ascii="Times New Roman" w:cs="Times New Roman"/>
                <w:color w:val="000000" w:themeColor="text1"/>
                <w:szCs w:val="21"/>
              </w:rPr>
              <w:t>个月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20" w:hRule="atLeast"/>
          <w:jc w:val="center"/>
        </w:trPr>
        <w:tc>
          <w:tcPr>
            <w:tcW w:w="588" w:type="dxa"/>
            <w:vMerge w:val="continue"/>
            <w:vAlign w:val="center"/>
          </w:tcPr>
          <w:p>
            <w:pPr>
              <w:jc w:val="center"/>
              <w:rPr>
                <w:rFonts w:ascii="Times New Roman" w:hAnsi="Times New Roman" w:cs="Times New Roman"/>
                <w:color w:val="000000" w:themeColor="text1"/>
                <w:szCs w:val="21"/>
              </w:rPr>
            </w:pPr>
          </w:p>
        </w:tc>
        <w:tc>
          <w:tcPr>
            <w:tcW w:w="1114" w:type="dxa"/>
            <w:vMerge w:val="continue"/>
            <w:vAlign w:val="center"/>
          </w:tcPr>
          <w:p>
            <w:pPr>
              <w:jc w:val="center"/>
              <w:rPr>
                <w:rFonts w:ascii="Times New Roman" w:cs="Times New Roman"/>
                <w:bCs/>
                <w:color w:val="000000" w:themeColor="text1"/>
                <w:szCs w:val="21"/>
              </w:rPr>
            </w:pPr>
          </w:p>
        </w:tc>
        <w:tc>
          <w:tcPr>
            <w:tcW w:w="1134" w:type="dxa"/>
            <w:vAlign w:val="center"/>
          </w:tcPr>
          <w:p>
            <w:pPr>
              <w:jc w:val="center"/>
              <w:rPr>
                <w:color w:val="000000" w:themeColor="text1"/>
                <w:szCs w:val="21"/>
              </w:rPr>
            </w:pPr>
            <w:r>
              <w:rPr>
                <w:rFonts w:hint="eastAsia"/>
                <w:color w:val="000000" w:themeColor="text1"/>
                <w:szCs w:val="21"/>
              </w:rPr>
              <w:t>污泥</w:t>
            </w:r>
          </w:p>
        </w:tc>
        <w:tc>
          <w:tcPr>
            <w:tcW w:w="993" w:type="dxa"/>
            <w:vAlign w:val="center"/>
          </w:tcPr>
          <w:p>
            <w:pPr>
              <w:jc w:val="center"/>
              <w:rPr>
                <w:rFonts w:ascii="Times New Roman" w:cs="Times New Roman"/>
                <w:snapToGrid w:val="0"/>
                <w:color w:val="000000" w:themeColor="text1"/>
                <w:kern w:val="0"/>
                <w:szCs w:val="21"/>
              </w:rPr>
            </w:pPr>
            <w:r>
              <w:rPr>
                <w:rFonts w:hint="eastAsia" w:ascii="Times New Roman" w:hAnsi="Times New Roman" w:cs="Times New Roman"/>
                <w:bCs/>
                <w:color w:val="000000" w:themeColor="text1"/>
                <w:szCs w:val="21"/>
              </w:rPr>
              <w:t>污水处理站、化粪池、格栅及污泥池</w:t>
            </w:r>
          </w:p>
        </w:tc>
        <w:tc>
          <w:tcPr>
            <w:tcW w:w="1134" w:type="dxa"/>
            <w:vMerge w:val="continue"/>
            <w:vAlign w:val="center"/>
          </w:tcPr>
          <w:p>
            <w:pPr>
              <w:jc w:val="center"/>
              <w:rPr>
                <w:rFonts w:ascii="Times New Roman" w:hAnsi="Times New Roman" w:cs="Times New Roman"/>
                <w:color w:val="000000" w:themeColor="text1"/>
                <w:szCs w:val="21"/>
              </w:rPr>
            </w:pPr>
          </w:p>
        </w:tc>
        <w:tc>
          <w:tcPr>
            <w:tcW w:w="1275" w:type="dxa"/>
            <w:vAlign w:val="center"/>
          </w:tcPr>
          <w:p>
            <w:pPr>
              <w:jc w:val="center"/>
              <w:rPr>
                <w:rFonts w:ascii="Times New Roman" w:cs="Times New Roman"/>
                <w:bCs/>
                <w:color w:val="000000" w:themeColor="text1"/>
                <w:szCs w:val="21"/>
              </w:rPr>
            </w:pPr>
            <w:r>
              <w:rPr>
                <w:rFonts w:hint="eastAsia" w:cs="Times New Roman" w:asciiTheme="minorEastAsia" w:hAnsiTheme="minorEastAsia"/>
                <w:bCs/>
                <w:color w:val="000000" w:themeColor="text1"/>
                <w:szCs w:val="21"/>
              </w:rPr>
              <w:t>─</w:t>
            </w:r>
          </w:p>
        </w:tc>
        <w:tc>
          <w:tcPr>
            <w:tcW w:w="1134" w:type="dxa"/>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0.5</w:t>
            </w:r>
            <w:r>
              <w:rPr>
                <w:rFonts w:ascii="Times New Roman" w:hAnsi="Times New Roman" w:eastAsia="宋体" w:cs="Times New Roman"/>
                <w:bCs/>
                <w:color w:val="000000" w:themeColor="text1"/>
                <w:szCs w:val="21"/>
              </w:rPr>
              <w:t xml:space="preserve"> </w:t>
            </w:r>
            <w:r>
              <w:rPr>
                <w:rFonts w:ascii="Times New Roman" w:hAnsi="Times New Roman" w:cs="Times New Roman"/>
                <w:bCs/>
                <w:color w:val="000000" w:themeColor="text1"/>
                <w:szCs w:val="21"/>
              </w:rPr>
              <w:t>t</w:t>
            </w:r>
          </w:p>
        </w:tc>
        <w:tc>
          <w:tcPr>
            <w:tcW w:w="1133" w:type="dxa"/>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w:t>
            </w:r>
            <w:r>
              <w:rPr>
                <w:rFonts w:ascii="Times New Roman" w:hAnsi="Times New Roman" w:cs="Times New Roman"/>
                <w:color w:val="000000" w:themeColor="text1"/>
                <w:szCs w:val="21"/>
              </w:rPr>
              <w:t>个月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20" w:hRule="atLeast"/>
          <w:jc w:val="center"/>
        </w:trPr>
        <w:tc>
          <w:tcPr>
            <w:tcW w:w="588" w:type="dxa"/>
            <w:vMerge w:val="continue"/>
            <w:vAlign w:val="center"/>
          </w:tcPr>
          <w:p>
            <w:pPr>
              <w:jc w:val="center"/>
              <w:rPr>
                <w:rFonts w:ascii="Times New Roman" w:hAnsi="Times New Roman" w:cs="Times New Roman"/>
                <w:color w:val="000000" w:themeColor="text1"/>
                <w:szCs w:val="21"/>
              </w:rPr>
            </w:pPr>
          </w:p>
        </w:tc>
        <w:tc>
          <w:tcPr>
            <w:tcW w:w="1114" w:type="dxa"/>
            <w:vMerge w:val="continue"/>
            <w:vAlign w:val="center"/>
          </w:tcPr>
          <w:p>
            <w:pPr>
              <w:jc w:val="center"/>
              <w:rPr>
                <w:rFonts w:ascii="Times New Roman" w:cs="Times New Roman"/>
                <w:bCs/>
                <w:color w:val="000000" w:themeColor="text1"/>
                <w:szCs w:val="21"/>
              </w:rPr>
            </w:pPr>
          </w:p>
        </w:tc>
        <w:tc>
          <w:tcPr>
            <w:tcW w:w="1134" w:type="dxa"/>
            <w:vAlign w:val="center"/>
          </w:tcPr>
          <w:p>
            <w:pPr>
              <w:jc w:val="center"/>
              <w:rPr>
                <w:color w:val="000000" w:themeColor="text1"/>
                <w:szCs w:val="21"/>
              </w:rPr>
            </w:pPr>
            <w:r>
              <w:rPr>
                <w:rFonts w:hint="eastAsia"/>
                <w:bCs/>
                <w:color w:val="000000" w:themeColor="text1"/>
                <w:szCs w:val="21"/>
              </w:rPr>
              <w:t>废液</w:t>
            </w:r>
          </w:p>
        </w:tc>
        <w:tc>
          <w:tcPr>
            <w:tcW w:w="993" w:type="dxa"/>
            <w:vAlign w:val="center"/>
          </w:tcPr>
          <w:p>
            <w:pPr>
              <w:jc w:val="center"/>
              <w:rPr>
                <w:rFonts w:ascii="Times New Roman" w:hAnsi="Times New Roman" w:cs="Times New Roman"/>
                <w:snapToGrid w:val="0"/>
                <w:color w:val="000000" w:themeColor="text1"/>
                <w:kern w:val="0"/>
                <w:szCs w:val="21"/>
              </w:rPr>
            </w:pPr>
            <w:r>
              <w:rPr>
                <w:rFonts w:ascii="Times New Roman" w:hAnsi="Times New Roman" w:cs="Times New Roman"/>
                <w:bCs/>
                <w:snapToGrid w:val="0"/>
                <w:color w:val="000000" w:themeColor="text1"/>
                <w:kern w:val="0"/>
                <w:szCs w:val="21"/>
              </w:rPr>
              <w:t>COD、氨氮在线监测仪</w:t>
            </w:r>
          </w:p>
        </w:tc>
        <w:tc>
          <w:tcPr>
            <w:tcW w:w="1134" w:type="dxa"/>
            <w:vMerge w:val="continue"/>
            <w:vAlign w:val="center"/>
          </w:tcPr>
          <w:p>
            <w:pPr>
              <w:jc w:val="center"/>
              <w:rPr>
                <w:rFonts w:ascii="Times New Roman" w:hAnsi="Times New Roman" w:cs="Times New Roman"/>
                <w:color w:val="000000" w:themeColor="text1"/>
                <w:szCs w:val="21"/>
              </w:rPr>
            </w:pPr>
          </w:p>
        </w:tc>
        <w:tc>
          <w:tcPr>
            <w:tcW w:w="1275" w:type="dxa"/>
            <w:vAlign w:val="center"/>
          </w:tcPr>
          <w:p>
            <w:pPr>
              <w:jc w:val="center"/>
              <w:rPr>
                <w:rFonts w:ascii="Times New Roman" w:cs="Times New Roman"/>
                <w:bCs/>
                <w:color w:val="000000" w:themeColor="text1"/>
                <w:szCs w:val="21"/>
              </w:rPr>
            </w:pPr>
            <w:r>
              <w:rPr>
                <w:rFonts w:hint="eastAsia" w:ascii="Times New Roman" w:cs="Times New Roman"/>
                <w:bCs/>
                <w:color w:val="000000" w:themeColor="text1"/>
                <w:szCs w:val="21"/>
              </w:rPr>
              <w:t>桶装</w:t>
            </w:r>
          </w:p>
          <w:p>
            <w:pPr>
              <w:jc w:val="center"/>
              <w:rPr>
                <w:rFonts w:ascii="Times New Roman" w:cs="Times New Roman"/>
                <w:bCs/>
                <w:color w:val="000000" w:themeColor="text1"/>
                <w:szCs w:val="21"/>
              </w:rPr>
            </w:pPr>
            <w:r>
              <w:rPr>
                <w:rFonts w:hint="eastAsia" w:ascii="Times New Roman" w:cs="Times New Roman"/>
                <w:bCs/>
                <w:color w:val="000000" w:themeColor="text1"/>
                <w:szCs w:val="21"/>
              </w:rPr>
              <w:t>贮存</w:t>
            </w:r>
          </w:p>
        </w:tc>
        <w:tc>
          <w:tcPr>
            <w:tcW w:w="1134" w:type="dxa"/>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w:t>
            </w:r>
            <w:r>
              <w:rPr>
                <w:rFonts w:ascii="Times New Roman" w:hAnsi="Times New Roman" w:eastAsia="宋体" w:cs="Times New Roman"/>
                <w:bCs/>
                <w:color w:val="000000" w:themeColor="text1"/>
                <w:szCs w:val="21"/>
              </w:rPr>
              <w:t xml:space="preserve"> </w:t>
            </w:r>
            <w:r>
              <w:rPr>
                <w:rFonts w:ascii="Times New Roman" w:hAnsi="Times New Roman" w:cs="Times New Roman"/>
                <w:bCs/>
                <w:color w:val="000000" w:themeColor="text1"/>
                <w:szCs w:val="21"/>
              </w:rPr>
              <w:t>t</w:t>
            </w:r>
          </w:p>
        </w:tc>
        <w:tc>
          <w:tcPr>
            <w:tcW w:w="1133" w:type="dxa"/>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w:t>
            </w:r>
            <w:r>
              <w:rPr>
                <w:rFonts w:ascii="Times New Roman" w:hAnsi="Times New Roman" w:cs="Times New Roman"/>
                <w:color w:val="000000" w:themeColor="text1"/>
                <w:szCs w:val="21"/>
              </w:rPr>
              <w:t>个月</w:t>
            </w:r>
          </w:p>
        </w:tc>
      </w:tr>
    </w:tbl>
    <w:p>
      <w:pPr>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医疗废物存放在厂区医疗废物暂存间，交由有资质单位处理。医疗废物的临时贮存必须按照《危险废物贮存污染控制标准》（</w:t>
      </w:r>
      <w:r>
        <w:rPr>
          <w:rFonts w:ascii="Times New Roman" w:hAnsi="Times New Roman" w:cs="Times New Roman"/>
          <w:bCs/>
          <w:sz w:val="24"/>
          <w:szCs w:val="24"/>
        </w:rPr>
        <w:t>GB18579-2001</w:t>
      </w:r>
      <w:r>
        <w:rPr>
          <w:rFonts w:hint="eastAsia" w:ascii="Times New Roman" w:hAnsi="Times New Roman" w:cs="Times New Roman"/>
          <w:bCs/>
          <w:sz w:val="24"/>
          <w:szCs w:val="24"/>
        </w:rPr>
        <w:t>）及其修改单（环境保护部公告</w:t>
      </w:r>
      <w:r>
        <w:rPr>
          <w:rFonts w:ascii="Times New Roman" w:hAnsi="Times New Roman" w:cs="Times New Roman"/>
          <w:bCs/>
          <w:sz w:val="24"/>
          <w:szCs w:val="24"/>
        </w:rPr>
        <w:t>2013</w:t>
      </w:r>
      <w:r>
        <w:rPr>
          <w:rFonts w:hint="eastAsia" w:ascii="Times New Roman" w:hAnsi="Times New Roman" w:cs="Times New Roman"/>
          <w:bCs/>
          <w:sz w:val="24"/>
          <w:szCs w:val="24"/>
        </w:rPr>
        <w:t>年第</w:t>
      </w:r>
      <w:r>
        <w:rPr>
          <w:rFonts w:ascii="Times New Roman" w:hAnsi="Times New Roman" w:cs="Times New Roman"/>
          <w:bCs/>
          <w:sz w:val="24"/>
          <w:szCs w:val="24"/>
        </w:rPr>
        <w:t>36</w:t>
      </w:r>
      <w:r>
        <w:rPr>
          <w:rFonts w:hint="eastAsia" w:ascii="Times New Roman" w:hAnsi="Times New Roman" w:cs="Times New Roman"/>
          <w:bCs/>
          <w:sz w:val="24"/>
          <w:szCs w:val="24"/>
        </w:rPr>
        <w:t>号）的要求进行。具体要求如下：</w:t>
      </w:r>
    </w:p>
    <w:p>
      <w:pPr>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①使用符合标准的容器盛装危险废物，其材质强度满足贮存要求，同时，选用的材质不能与危险废物产生化学反应。</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sz w:val="24"/>
          <w:szCs w:val="24"/>
        </w:rPr>
        <w:t>②</w:t>
      </w:r>
      <w:r>
        <w:rPr>
          <w:rFonts w:hint="eastAsia" w:ascii="Times New Roman" w:hAnsi="Times New Roman" w:cs="Times New Roman"/>
          <w:bCs/>
          <w:color w:val="000000" w:themeColor="text1"/>
          <w:sz w:val="24"/>
          <w:szCs w:val="24"/>
        </w:rPr>
        <w:t>医疗废物贮存场所的地面与群脚应采用坚固、防渗材料建造，同时材料不能与危险废物产生化学反应。</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③应加强危险废物贮存设施的运行管理，做好出库管理记录和标识，定期检查包装容器制造的完好性，发现破损，应及时采取措施。</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④医疗废物暂存间基础须做防渗处理，防渗层至少为</w:t>
      </w:r>
      <w:r>
        <w:rPr>
          <w:rFonts w:ascii="Times New Roman" w:hAnsi="Times New Roman" w:cs="Times New Roman"/>
          <w:bCs/>
          <w:color w:val="000000" w:themeColor="text1"/>
          <w:sz w:val="24"/>
          <w:szCs w:val="24"/>
        </w:rPr>
        <w:t>1m</w:t>
      </w:r>
      <w:r>
        <w:rPr>
          <w:rFonts w:hint="eastAsia" w:ascii="Times New Roman" w:hAnsi="Times New Roman" w:cs="Times New Roman"/>
          <w:bCs/>
          <w:color w:val="000000" w:themeColor="text1"/>
          <w:sz w:val="24"/>
          <w:szCs w:val="24"/>
        </w:rPr>
        <w:t>厚黏土层（渗透系数</w:t>
      </w:r>
      <w:r>
        <w:rPr>
          <w:rFonts w:ascii="Times New Roman" w:hAnsi="Times New Roman" w:cs="Times New Roman"/>
          <w:bCs/>
          <w:color w:val="000000" w:themeColor="text1"/>
          <w:sz w:val="24"/>
          <w:szCs w:val="24"/>
        </w:rPr>
        <w:t>≤10</w:t>
      </w:r>
      <w:r>
        <w:rPr>
          <w:rFonts w:ascii="Times New Roman" w:hAnsi="Times New Roman" w:cs="Times New Roman"/>
          <w:bCs/>
          <w:color w:val="000000" w:themeColor="text1"/>
          <w:sz w:val="24"/>
          <w:szCs w:val="24"/>
          <w:vertAlign w:val="superscript"/>
        </w:rPr>
        <w:t>-7</w:t>
      </w:r>
      <w:r>
        <w:rPr>
          <w:rFonts w:ascii="Times New Roman" w:hAnsi="Times New Roman" w:cs="Times New Roman"/>
          <w:bCs/>
          <w:color w:val="000000" w:themeColor="text1"/>
          <w:sz w:val="24"/>
          <w:szCs w:val="24"/>
        </w:rPr>
        <w:t>cm/s</w:t>
      </w:r>
      <w:r>
        <w:rPr>
          <w:rFonts w:hint="eastAsia" w:ascii="Times New Roman" w:hAnsi="Times New Roman" w:cs="Times New Roman"/>
          <w:bCs/>
          <w:color w:val="000000" w:themeColor="text1"/>
          <w:sz w:val="24"/>
          <w:szCs w:val="24"/>
        </w:rPr>
        <w:t>），或</w:t>
      </w:r>
      <w:r>
        <w:rPr>
          <w:rFonts w:ascii="Times New Roman" w:hAnsi="Times New Roman" w:cs="Times New Roman"/>
          <w:bCs/>
          <w:color w:val="000000" w:themeColor="text1"/>
          <w:sz w:val="24"/>
          <w:szCs w:val="24"/>
        </w:rPr>
        <w:t>2mm</w:t>
      </w:r>
      <w:r>
        <w:rPr>
          <w:rFonts w:hint="eastAsia" w:ascii="Times New Roman" w:hAnsi="Times New Roman" w:cs="Times New Roman"/>
          <w:bCs/>
          <w:color w:val="000000" w:themeColor="text1"/>
          <w:sz w:val="24"/>
          <w:szCs w:val="24"/>
        </w:rPr>
        <w:t>厚高密度聚乙烯，或至少</w:t>
      </w:r>
      <w:r>
        <w:rPr>
          <w:rFonts w:ascii="Times New Roman" w:hAnsi="Times New Roman" w:cs="Times New Roman"/>
          <w:bCs/>
          <w:color w:val="000000" w:themeColor="text1"/>
          <w:sz w:val="24"/>
          <w:szCs w:val="24"/>
        </w:rPr>
        <w:t>2mm</w:t>
      </w:r>
      <w:r>
        <w:rPr>
          <w:rFonts w:hint="eastAsia" w:ascii="Times New Roman" w:hAnsi="Times New Roman" w:cs="Times New Roman"/>
          <w:bCs/>
          <w:color w:val="000000" w:themeColor="text1"/>
          <w:sz w:val="24"/>
          <w:szCs w:val="24"/>
        </w:rPr>
        <w:t>厚其它人工材料，渗透系数</w:t>
      </w:r>
      <w:r>
        <w:rPr>
          <w:rFonts w:ascii="Times New Roman" w:hAnsi="Times New Roman" w:cs="Times New Roman"/>
          <w:bCs/>
          <w:color w:val="000000" w:themeColor="text1"/>
          <w:sz w:val="24"/>
          <w:szCs w:val="24"/>
        </w:rPr>
        <w:t>≤10</w:t>
      </w:r>
      <w:r>
        <w:rPr>
          <w:rFonts w:ascii="Times New Roman" w:hAnsi="Times New Roman" w:cs="Times New Roman"/>
          <w:bCs/>
          <w:color w:val="000000" w:themeColor="text1"/>
          <w:sz w:val="24"/>
          <w:szCs w:val="24"/>
          <w:vertAlign w:val="superscript"/>
        </w:rPr>
        <w:t>-10</w:t>
      </w:r>
      <w:r>
        <w:rPr>
          <w:rFonts w:ascii="Times New Roman" w:hAnsi="Times New Roman" w:cs="Times New Roman"/>
          <w:bCs/>
          <w:color w:val="000000" w:themeColor="text1"/>
          <w:sz w:val="24"/>
          <w:szCs w:val="24"/>
        </w:rPr>
        <w:t>cm/s</w:t>
      </w:r>
      <w:r>
        <w:rPr>
          <w:rFonts w:hint="eastAsia" w:ascii="Times New Roman" w:hAnsi="Times New Roman" w:cs="Times New Roman"/>
          <w:bCs/>
          <w:color w:val="000000" w:themeColor="text1"/>
          <w:sz w:val="24"/>
          <w:szCs w:val="24"/>
        </w:rPr>
        <w:t>。要防风、防雨、防晒、防渗漏。</w:t>
      </w:r>
    </w:p>
    <w:p>
      <w:pPr>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bCs/>
          <w:color w:val="000000" w:themeColor="text1"/>
          <w:sz w:val="24"/>
          <w:szCs w:val="24"/>
        </w:rPr>
        <w:t>⑤医疗废物贮存间门口需</w:t>
      </w:r>
      <w:r>
        <w:rPr>
          <w:rFonts w:hint="eastAsia" w:ascii="Times New Roman" w:hAnsi="Times New Roman" w:cs="Times New Roman"/>
          <w:bCs/>
          <w:sz w:val="24"/>
          <w:szCs w:val="24"/>
        </w:rPr>
        <w:t>张贴标准规范的危险废物标识和危废信息板，屋内张贴企业《危险废物管理制度》。</w:t>
      </w:r>
    </w:p>
    <w:p>
      <w:pPr>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⑥建立台账并悬挂于危废间内，转入及转出（处置、自利用）需要填写危废种类、数量、时间及负责人员姓名。</w:t>
      </w:r>
    </w:p>
    <w:p>
      <w:pPr>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项目产生的固体废物全部合理处置和利用，不外排入环境</w:t>
      </w:r>
      <w:r>
        <w:rPr>
          <w:rFonts w:hint="eastAsia" w:ascii="Times New Roman" w:hAnsi="Times New Roman" w:cs="Times New Roman"/>
          <w:bCs/>
          <w:sz w:val="24"/>
          <w:szCs w:val="24"/>
        </w:rPr>
        <w:t>。</w:t>
      </w:r>
      <w:r>
        <w:rPr>
          <w:rFonts w:ascii="Times New Roman" w:hAnsi="Times New Roman" w:cs="Times New Roman"/>
          <w:bCs/>
          <w:sz w:val="24"/>
          <w:szCs w:val="24"/>
        </w:rPr>
        <w:t>固体废物产生详见表3-</w:t>
      </w:r>
      <w:r>
        <w:rPr>
          <w:rFonts w:hint="eastAsia" w:ascii="Times New Roman" w:hAnsi="Times New Roman" w:cs="Times New Roman"/>
          <w:bCs/>
          <w:sz w:val="24"/>
          <w:szCs w:val="24"/>
        </w:rPr>
        <w:t>10</w:t>
      </w:r>
      <w:r>
        <w:rPr>
          <w:rFonts w:ascii="Times New Roman" w:hAnsi="Times New Roman" w:cs="Times New Roman"/>
          <w:bCs/>
          <w:sz w:val="24"/>
          <w:szCs w:val="24"/>
        </w:rPr>
        <w:t>。</w:t>
      </w:r>
    </w:p>
    <w:p>
      <w:pPr>
        <w:spacing w:line="360" w:lineRule="auto"/>
        <w:ind w:firstLine="480" w:firstLineChars="200"/>
        <w:jc w:val="center"/>
        <w:rPr>
          <w:rFonts w:ascii="Times New Roman" w:hAnsi="Times New Roman" w:cs="Times New Roman"/>
          <w:b/>
          <w:bCs/>
          <w:sz w:val="24"/>
          <w:szCs w:val="24"/>
        </w:rPr>
      </w:pPr>
      <w:r>
        <w:rPr>
          <w:rFonts w:ascii="Times New Roman" w:hAnsi="Times New Roman" w:cs="Times New Roman"/>
          <w:b/>
          <w:bCs/>
          <w:sz w:val="24"/>
          <w:szCs w:val="24"/>
        </w:rPr>
        <w:t>表3-</w:t>
      </w:r>
      <w:r>
        <w:rPr>
          <w:rFonts w:hint="eastAsia" w:ascii="Times New Roman" w:hAnsi="Times New Roman" w:cs="Times New Roman"/>
          <w:b/>
          <w:bCs/>
          <w:sz w:val="24"/>
          <w:szCs w:val="24"/>
        </w:rPr>
        <w:t>10</w:t>
      </w:r>
      <w:r>
        <w:rPr>
          <w:rFonts w:ascii="Times New Roman" w:hAnsi="Times New Roman" w:cs="Times New Roman"/>
          <w:b/>
          <w:bCs/>
          <w:sz w:val="24"/>
          <w:szCs w:val="24"/>
        </w:rPr>
        <w:t xml:space="preserve">   </w:t>
      </w:r>
      <w:r>
        <w:rPr>
          <w:rFonts w:hint="eastAsia" w:ascii="Times New Roman" w:hAnsi="Times New Roman" w:cs="Times New Roman"/>
          <w:b/>
          <w:bCs/>
          <w:sz w:val="24"/>
          <w:szCs w:val="24"/>
        </w:rPr>
        <w:t>医院</w:t>
      </w:r>
      <w:r>
        <w:rPr>
          <w:rFonts w:ascii="Times New Roman" w:hAnsi="Times New Roman" w:cs="Times New Roman"/>
          <w:b/>
          <w:bCs/>
          <w:sz w:val="24"/>
          <w:szCs w:val="24"/>
        </w:rPr>
        <w:t>固体废物产生量一览表</w:t>
      </w:r>
    </w:p>
    <w:tbl>
      <w:tblPr>
        <w:tblStyle w:val="27"/>
        <w:tblW w:w="8528"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57"/>
        <w:gridCol w:w="2343"/>
        <w:gridCol w:w="1465"/>
        <w:gridCol w:w="1407"/>
        <w:gridCol w:w="26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exact"/>
          <w:jc w:val="center"/>
        </w:trPr>
        <w:tc>
          <w:tcPr>
            <w:tcW w:w="65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4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序号</w:t>
            </w:r>
          </w:p>
        </w:tc>
        <w:tc>
          <w:tcPr>
            <w:tcW w:w="2343"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4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名称</w:t>
            </w:r>
          </w:p>
        </w:tc>
        <w:tc>
          <w:tcPr>
            <w:tcW w:w="1465"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4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产生量（</w:t>
            </w:r>
            <w:r>
              <w:rPr>
                <w:rFonts w:ascii="Times New Roman" w:hAnsi="Times New Roman" w:eastAsia="宋体" w:cs="Times New Roman"/>
                <w:bCs/>
                <w:color w:val="000000"/>
                <w:szCs w:val="21"/>
              </w:rPr>
              <w:t>t/a</w:t>
            </w:r>
            <w:r>
              <w:rPr>
                <w:rFonts w:hint="eastAsia" w:ascii="Times New Roman" w:hAnsi="Times New Roman" w:eastAsia="宋体" w:cs="Times New Roman"/>
                <w:color w:val="000000"/>
                <w:szCs w:val="21"/>
              </w:rPr>
              <w:t>）</w:t>
            </w:r>
          </w:p>
        </w:tc>
        <w:tc>
          <w:tcPr>
            <w:tcW w:w="140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4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类别</w:t>
            </w:r>
          </w:p>
        </w:tc>
        <w:tc>
          <w:tcPr>
            <w:tcW w:w="2656"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4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处理措施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727" w:hRule="exact"/>
          <w:jc w:val="center"/>
        </w:trPr>
        <w:tc>
          <w:tcPr>
            <w:tcW w:w="65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4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w:t>
            </w:r>
          </w:p>
        </w:tc>
        <w:tc>
          <w:tcPr>
            <w:tcW w:w="2343"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40" w:lineRule="exact"/>
              <w:jc w:val="center"/>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医疗废物</w:t>
            </w:r>
          </w:p>
        </w:tc>
        <w:tc>
          <w:tcPr>
            <w:tcW w:w="1465"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40" w:lineRule="exact"/>
              <w:jc w:val="center"/>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11</w:t>
            </w:r>
          </w:p>
        </w:tc>
        <w:tc>
          <w:tcPr>
            <w:tcW w:w="140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40" w:lineRule="exact"/>
              <w:ind w:firstLine="199" w:firstLineChars="95"/>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危险废物</w:t>
            </w:r>
          </w:p>
        </w:tc>
        <w:tc>
          <w:tcPr>
            <w:tcW w:w="2656" w:type="dxa"/>
            <w:vMerge w:val="restart"/>
            <w:tcBorders>
              <w:top w:val="single" w:color="000000" w:sz="6" w:space="0"/>
              <w:left w:val="single" w:color="000000" w:sz="6" w:space="0"/>
              <w:bottom w:val="single" w:color="000000" w:sz="6" w:space="0"/>
              <w:right w:val="single" w:color="000000" w:sz="6" w:space="0"/>
            </w:tcBorders>
            <w:vAlign w:val="center"/>
          </w:tcPr>
          <w:p>
            <w:pPr>
              <w:widowControl/>
              <w:jc w:val="left"/>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置于医疗废物暂存间，由有相应危废资质的单位回收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727" w:hRule="exact"/>
          <w:jc w:val="center"/>
        </w:trPr>
        <w:tc>
          <w:tcPr>
            <w:tcW w:w="65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4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w:t>
            </w:r>
          </w:p>
        </w:tc>
        <w:tc>
          <w:tcPr>
            <w:tcW w:w="2343"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40" w:lineRule="exac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COD</w:t>
            </w:r>
            <w:r>
              <w:rPr>
                <w:rFonts w:hint="eastAsia" w:ascii="Times New Roman" w:hAnsi="Times New Roman" w:eastAsia="宋体" w:cs="Times New Roman"/>
                <w:color w:val="000000"/>
                <w:szCs w:val="21"/>
              </w:rPr>
              <w:t>、氨氮在线监测产生废液</w:t>
            </w:r>
          </w:p>
        </w:tc>
        <w:tc>
          <w:tcPr>
            <w:tcW w:w="1465"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40" w:lineRule="exact"/>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0.5</w:t>
            </w:r>
          </w:p>
        </w:tc>
        <w:tc>
          <w:tcPr>
            <w:tcW w:w="140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40" w:lineRule="exact"/>
              <w:ind w:firstLine="199" w:firstLineChars="95"/>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危险废物</w:t>
            </w:r>
          </w:p>
        </w:tc>
        <w:tc>
          <w:tcPr>
            <w:tcW w:w="2656"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left"/>
              <w:rPr>
                <w:rFonts w:ascii="Times New Roman" w:hAnsi="Times New Roman" w:eastAsia="宋体" w:cs="Times New Roman"/>
                <w:bCs/>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776" w:hRule="exact"/>
          <w:jc w:val="center"/>
        </w:trPr>
        <w:tc>
          <w:tcPr>
            <w:tcW w:w="65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4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3</w:t>
            </w:r>
          </w:p>
        </w:tc>
        <w:tc>
          <w:tcPr>
            <w:tcW w:w="2343"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4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污泥</w:t>
            </w:r>
          </w:p>
        </w:tc>
        <w:tc>
          <w:tcPr>
            <w:tcW w:w="1465"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4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8</w:t>
            </w:r>
          </w:p>
        </w:tc>
        <w:tc>
          <w:tcPr>
            <w:tcW w:w="140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4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危险废物</w:t>
            </w:r>
          </w:p>
        </w:tc>
        <w:tc>
          <w:tcPr>
            <w:tcW w:w="2656"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40" w:lineRule="exact"/>
              <w:jc w:val="center"/>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污水处理站建设不小于1m</w:t>
            </w:r>
            <w:r>
              <w:rPr>
                <w:rFonts w:hint="eastAsia" w:ascii="Times New Roman" w:hAnsi="Times New Roman" w:eastAsia="宋体" w:cs="Times New Roman"/>
                <w:bCs/>
                <w:color w:val="000000"/>
                <w:szCs w:val="21"/>
                <w:vertAlign w:val="superscript"/>
              </w:rPr>
              <w:t>3</w:t>
            </w:r>
            <w:r>
              <w:rPr>
                <w:rFonts w:hint="eastAsia" w:ascii="Times New Roman" w:hAnsi="Times New Roman" w:eastAsia="宋体" w:cs="Times New Roman"/>
                <w:bCs/>
                <w:color w:val="000000"/>
                <w:szCs w:val="21"/>
              </w:rPr>
              <w:t>的污泥消毒池，内设搅拌措施，采取二氧化氯发生器，定期清掏、脱水，由有资质单位统一处理。</w:t>
            </w:r>
          </w:p>
          <w:p>
            <w:pPr>
              <w:adjustRightInd w:val="0"/>
              <w:snapToGrid w:val="0"/>
              <w:spacing w:line="340" w:lineRule="exact"/>
              <w:jc w:val="center"/>
              <w:rPr>
                <w:rFonts w:ascii="Times New Roman" w:hAnsi="Times New Roman" w:eastAsia="宋体" w:cs="Times New Roman"/>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exact"/>
          <w:jc w:val="center"/>
        </w:trPr>
        <w:tc>
          <w:tcPr>
            <w:tcW w:w="65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4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 xml:space="preserve">4                                                         </w:t>
            </w:r>
          </w:p>
        </w:tc>
        <w:tc>
          <w:tcPr>
            <w:tcW w:w="2343"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40" w:lineRule="exact"/>
              <w:jc w:val="center"/>
              <w:rPr>
                <w:rFonts w:ascii="Times New Roman" w:hAnsi="Times New Roman" w:eastAsia="宋体" w:cs="Times New Roman"/>
                <w:color w:val="000000"/>
                <w:szCs w:val="21"/>
              </w:rPr>
            </w:pPr>
            <w:r>
              <w:rPr>
                <w:rFonts w:hint="eastAsia" w:ascii="Times New Roman" w:hAnsi="Times New Roman" w:eastAsia="宋体" w:cs="Times New Roman"/>
                <w:bCs/>
                <w:color w:val="000000"/>
                <w:szCs w:val="21"/>
              </w:rPr>
              <w:t>生活垃圾</w:t>
            </w:r>
          </w:p>
        </w:tc>
        <w:tc>
          <w:tcPr>
            <w:tcW w:w="1465"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40" w:lineRule="exact"/>
              <w:jc w:val="center"/>
              <w:rPr>
                <w:rFonts w:ascii="Times New Roman" w:hAnsi="Times New Roman" w:eastAsia="宋体" w:cs="Times New Roman"/>
                <w:color w:val="000000"/>
                <w:szCs w:val="21"/>
              </w:rPr>
            </w:pPr>
            <w:r>
              <w:rPr>
                <w:rFonts w:hint="eastAsia" w:ascii="Times New Roman" w:hAnsi="Times New Roman" w:eastAsia="宋体" w:cs="Times New Roman"/>
                <w:bCs/>
                <w:color w:val="000000"/>
                <w:szCs w:val="21"/>
              </w:rPr>
              <w:t>273.75</w:t>
            </w:r>
          </w:p>
        </w:tc>
        <w:tc>
          <w:tcPr>
            <w:tcW w:w="140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4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一般固废</w:t>
            </w:r>
          </w:p>
        </w:tc>
        <w:tc>
          <w:tcPr>
            <w:tcW w:w="2656"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4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环卫部门统一收集处理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exact"/>
          <w:jc w:val="center"/>
        </w:trPr>
        <w:tc>
          <w:tcPr>
            <w:tcW w:w="65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5</w:t>
            </w:r>
          </w:p>
        </w:tc>
        <w:tc>
          <w:tcPr>
            <w:tcW w:w="2343"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40" w:lineRule="exact"/>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药渣</w:t>
            </w:r>
          </w:p>
        </w:tc>
        <w:tc>
          <w:tcPr>
            <w:tcW w:w="1465"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40" w:lineRule="exact"/>
              <w:jc w:val="center"/>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0.5</w:t>
            </w:r>
          </w:p>
        </w:tc>
        <w:tc>
          <w:tcPr>
            <w:tcW w:w="140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一般固废</w:t>
            </w:r>
          </w:p>
        </w:tc>
        <w:tc>
          <w:tcPr>
            <w:tcW w:w="2656"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环卫部门统一收集处理</w:t>
            </w:r>
          </w:p>
        </w:tc>
      </w:tr>
    </w:tbl>
    <w:p>
      <w:pPr>
        <w:pStyle w:val="3"/>
        <w:spacing w:before="0" w:after="0" w:line="415" w:lineRule="auto"/>
        <w:rPr>
          <w:rFonts w:ascii="Times New Roman" w:hAnsi="Times New Roman" w:cs="Times New Roman"/>
          <w:sz w:val="24"/>
          <w:szCs w:val="24"/>
        </w:rPr>
      </w:pPr>
      <w:bookmarkStart w:id="26" w:name="_Toc13725352"/>
      <w:r>
        <w:rPr>
          <w:rFonts w:hint="eastAsia" w:ascii="Times New Roman" w:hAnsi="Times New Roman" w:cs="Times New Roman"/>
          <w:sz w:val="24"/>
          <w:szCs w:val="24"/>
        </w:rPr>
        <w:t>3.4总量控制要求</w:t>
      </w:r>
      <w:bookmarkEnd w:id="26"/>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根据国家污染物实行排放总量控制的要求，结合项目的污染物排放特点和本评价提出的环保对策建议，确定本项目污染物排放总量控制项目为废气中的SO</w:t>
      </w:r>
      <w:r>
        <w:rPr>
          <w:rFonts w:hint="eastAsia" w:ascii="Times New Roman" w:hAnsi="Times New Roman" w:cs="Times New Roman"/>
          <w:color w:val="000000" w:themeColor="text1"/>
          <w:sz w:val="24"/>
          <w:szCs w:val="24"/>
          <w:vertAlign w:val="subscript"/>
        </w:rPr>
        <w:t>2</w:t>
      </w:r>
      <w:r>
        <w:rPr>
          <w:rFonts w:hint="eastAsia" w:ascii="Times New Roman" w:hAnsi="Times New Roman" w:cs="Times New Roman"/>
          <w:color w:val="000000" w:themeColor="text1"/>
          <w:sz w:val="24"/>
          <w:szCs w:val="24"/>
        </w:rPr>
        <w:t>、NO</w:t>
      </w:r>
      <w:r>
        <w:rPr>
          <w:rFonts w:hint="eastAsia" w:ascii="Times New Roman" w:hAnsi="Times New Roman" w:cs="Times New Roman"/>
          <w:color w:val="000000" w:themeColor="text1"/>
          <w:sz w:val="24"/>
          <w:szCs w:val="24"/>
          <w:vertAlign w:val="subscript"/>
        </w:rPr>
        <w:t>x</w:t>
      </w:r>
      <w:r>
        <w:rPr>
          <w:rFonts w:hint="eastAsia" w:ascii="Times New Roman" w:hAnsi="Times New Roman" w:cs="Times New Roman"/>
          <w:color w:val="000000" w:themeColor="text1"/>
          <w:sz w:val="24"/>
          <w:szCs w:val="24"/>
        </w:rPr>
        <w:t>、颗粒物、VOCs（以非甲烷总烃计）、氨、硫化氢和废水中的COD、NH</w:t>
      </w:r>
      <w:r>
        <w:rPr>
          <w:rFonts w:hint="eastAsia" w:ascii="Times New Roman" w:hAnsi="Times New Roman" w:cs="Times New Roman"/>
          <w:color w:val="000000" w:themeColor="text1"/>
          <w:sz w:val="24"/>
          <w:szCs w:val="24"/>
          <w:vertAlign w:val="subscript"/>
        </w:rPr>
        <w:t>3</w:t>
      </w:r>
      <w:r>
        <w:rPr>
          <w:rFonts w:hint="eastAsia" w:ascii="Times New Roman" w:hAnsi="Times New Roman" w:cs="Times New Roman"/>
          <w:color w:val="000000" w:themeColor="text1"/>
          <w:sz w:val="24"/>
          <w:szCs w:val="24"/>
        </w:rPr>
        <w:t>-N、TN、TP。</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本评价在污染物达标排放的前提下，以预测值计算的排放量作为该项目污染物排放总量控制建议值，计算过程如下：</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氨</w:t>
      </w:r>
      <w:r>
        <w:rPr>
          <w:rFonts w:ascii="Times New Roman" w:hAnsi="Times New Roman" w:cs="Times New Roman"/>
          <w:color w:val="000000" w:themeColor="text1"/>
          <w:spacing w:val="-6"/>
          <w:sz w:val="24"/>
        </w:rPr>
        <w:t>=</w:t>
      </w:r>
      <w:r>
        <w:rPr>
          <w:rFonts w:hint="eastAsia" w:ascii="Times New Roman" w:hAnsi="Times New Roman" w:cs="Times New Roman"/>
          <w:color w:val="000000" w:themeColor="text1"/>
          <w:spacing w:val="-6"/>
          <w:sz w:val="24"/>
        </w:rPr>
        <w:t>0.064kg/h÷1000</w:t>
      </w:r>
      <w:r>
        <w:rPr>
          <w:rFonts w:ascii="Times New Roman" w:hAnsi="Times New Roman" w:cs="Times New Roman"/>
          <w:color w:val="000000" w:themeColor="text1"/>
          <w:spacing w:val="-6"/>
          <w:sz w:val="24"/>
        </w:rPr>
        <w:t>×</w:t>
      </w:r>
      <w:r>
        <w:rPr>
          <w:rFonts w:hint="eastAsia" w:ascii="Times New Roman" w:hAnsi="Times New Roman" w:cs="Times New Roman"/>
          <w:color w:val="000000" w:themeColor="text1"/>
          <w:spacing w:val="-6"/>
          <w:sz w:val="24"/>
        </w:rPr>
        <w:t>8760h+0.014t/a =0.579</w:t>
      </w:r>
      <w:r>
        <w:rPr>
          <w:rFonts w:ascii="Times New Roman" w:hAnsi="Times New Roman" w:cs="Times New Roman"/>
          <w:color w:val="000000" w:themeColor="text1"/>
          <w:sz w:val="24"/>
        </w:rPr>
        <w:t>t/a</w:t>
      </w:r>
      <w:r>
        <w:rPr>
          <w:rFonts w:hint="eastAsia" w:ascii="Times New Roman" w:hAnsi="Times New Roman" w:cs="Times New Roman"/>
          <w:color w:val="000000" w:themeColor="text1"/>
          <w:sz w:val="24"/>
        </w:rPr>
        <w:t>；</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硫化氢</w:t>
      </w:r>
      <w:r>
        <w:rPr>
          <w:rFonts w:ascii="Times New Roman" w:hAnsi="Times New Roman" w:cs="Times New Roman"/>
          <w:color w:val="000000" w:themeColor="text1"/>
          <w:spacing w:val="-6"/>
          <w:sz w:val="24"/>
        </w:rPr>
        <w:t>=</w:t>
      </w:r>
      <w:r>
        <w:rPr>
          <w:rFonts w:hint="eastAsia" w:ascii="Times New Roman" w:hAnsi="Times New Roman" w:cs="Times New Roman"/>
          <w:color w:val="000000" w:themeColor="text1"/>
          <w:sz w:val="24"/>
          <w:szCs w:val="24"/>
        </w:rPr>
        <w:t>0.003kg/h</w:t>
      </w:r>
      <w:r>
        <w:rPr>
          <w:rFonts w:hint="eastAsia" w:ascii="Times New Roman" w:hAnsi="Times New Roman" w:cs="Times New Roman"/>
          <w:color w:val="000000" w:themeColor="text1"/>
          <w:spacing w:val="-6"/>
          <w:sz w:val="24"/>
        </w:rPr>
        <w:t>÷1000</w:t>
      </w:r>
      <w:r>
        <w:rPr>
          <w:rFonts w:ascii="Times New Roman" w:hAnsi="Times New Roman" w:cs="Times New Roman"/>
          <w:color w:val="000000" w:themeColor="text1"/>
          <w:spacing w:val="-6"/>
          <w:sz w:val="24"/>
        </w:rPr>
        <w:t>×</w:t>
      </w:r>
      <w:r>
        <w:rPr>
          <w:rFonts w:hint="eastAsia" w:ascii="Times New Roman" w:hAnsi="Times New Roman" w:cs="Times New Roman"/>
          <w:color w:val="000000" w:themeColor="text1"/>
          <w:spacing w:val="-6"/>
          <w:sz w:val="24"/>
        </w:rPr>
        <w:t>8760h+0.005 t/a =0.028</w:t>
      </w:r>
      <w:r>
        <w:rPr>
          <w:rFonts w:ascii="Times New Roman" w:hAnsi="Times New Roman" w:cs="Times New Roman"/>
          <w:color w:val="000000" w:themeColor="text1"/>
          <w:sz w:val="24"/>
        </w:rPr>
        <w:t xml:space="preserve"> t/a</w:t>
      </w:r>
      <w:r>
        <w:rPr>
          <w:rFonts w:hint="eastAsia" w:ascii="Times New Roman" w:hAnsi="Times New Roman" w:cs="Times New Roman"/>
          <w:color w:val="000000" w:themeColor="text1"/>
          <w:sz w:val="24"/>
        </w:rPr>
        <w:t>；</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COD</w:t>
      </w:r>
      <w:r>
        <w:rPr>
          <w:rFonts w:ascii="Times New Roman" w:hAnsi="Times New Roman" w:cs="Times New Roman"/>
          <w:color w:val="000000" w:themeColor="text1"/>
          <w:spacing w:val="-6"/>
          <w:sz w:val="24"/>
        </w:rPr>
        <w:t>=</w:t>
      </w:r>
      <w:r>
        <w:rPr>
          <w:rFonts w:hint="eastAsia" w:ascii="Times New Roman" w:hAnsi="Times New Roman" w:cs="Times New Roman"/>
          <w:color w:val="000000" w:themeColor="text1"/>
          <w:sz w:val="24"/>
          <w:szCs w:val="24"/>
        </w:rPr>
        <w:t>144425.390m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/a</w:t>
      </w:r>
      <w:r>
        <w:rPr>
          <w:rFonts w:ascii="Times New Roman" w:hAnsi="Times New Roman" w:cs="Times New Roman"/>
          <w:color w:val="000000" w:themeColor="text1"/>
          <w:spacing w:val="-6"/>
          <w:sz w:val="24"/>
        </w:rPr>
        <w:t>×</w:t>
      </w:r>
      <w:r>
        <w:rPr>
          <w:rFonts w:hint="eastAsia" w:ascii="Times New Roman" w:hAnsi="Times New Roman" w:cs="Times New Roman"/>
          <w:color w:val="000000" w:themeColor="text1"/>
          <w:spacing w:val="-6"/>
          <w:sz w:val="24"/>
        </w:rPr>
        <w:t>200mg/L</w:t>
      </w:r>
      <w:r>
        <w:rPr>
          <w:rFonts w:ascii="Times New Roman" w:hAnsi="Times New Roman" w:cs="Times New Roman"/>
          <w:color w:val="000000" w:themeColor="text1"/>
          <w:spacing w:val="-6"/>
          <w:sz w:val="24"/>
        </w:rPr>
        <w:t>×10</w:t>
      </w:r>
      <w:r>
        <w:rPr>
          <w:rFonts w:ascii="Times New Roman" w:hAnsi="Times New Roman" w:cs="Times New Roman"/>
          <w:color w:val="000000" w:themeColor="text1"/>
          <w:spacing w:val="-6"/>
          <w:sz w:val="24"/>
          <w:vertAlign w:val="superscript"/>
        </w:rPr>
        <w:t>-</w:t>
      </w:r>
      <w:r>
        <w:rPr>
          <w:rFonts w:hint="eastAsia" w:ascii="Times New Roman" w:hAnsi="Times New Roman" w:cs="Times New Roman"/>
          <w:color w:val="000000" w:themeColor="text1"/>
          <w:spacing w:val="-6"/>
          <w:sz w:val="24"/>
          <w:vertAlign w:val="superscript"/>
        </w:rPr>
        <w:t>6</w:t>
      </w:r>
      <w:r>
        <w:rPr>
          <w:rFonts w:hint="eastAsia" w:ascii="Times New Roman" w:hAnsi="Times New Roman" w:cs="Times New Roman"/>
          <w:color w:val="000000" w:themeColor="text1"/>
          <w:spacing w:val="-6"/>
          <w:sz w:val="24"/>
        </w:rPr>
        <w:t>=28.885</w:t>
      </w:r>
      <w:r>
        <w:rPr>
          <w:rFonts w:ascii="Times New Roman" w:hAnsi="Times New Roman" w:cs="Times New Roman"/>
          <w:color w:val="000000" w:themeColor="text1"/>
          <w:sz w:val="24"/>
        </w:rPr>
        <w:t xml:space="preserve"> t/a</w:t>
      </w:r>
      <w:r>
        <w:rPr>
          <w:rFonts w:hint="eastAsia" w:ascii="Times New Roman" w:hAnsi="Times New Roman" w:cs="Times New Roman"/>
          <w:color w:val="000000" w:themeColor="text1"/>
          <w:sz w:val="24"/>
        </w:rPr>
        <w:t>；</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氨氮</w:t>
      </w:r>
      <w:r>
        <w:rPr>
          <w:rFonts w:ascii="Times New Roman" w:hAnsi="Times New Roman" w:cs="Times New Roman"/>
          <w:color w:val="000000" w:themeColor="text1"/>
          <w:spacing w:val="-6"/>
          <w:sz w:val="24"/>
        </w:rPr>
        <w:t>=</w:t>
      </w:r>
      <w:r>
        <w:rPr>
          <w:rFonts w:hint="eastAsia" w:ascii="Times New Roman" w:hAnsi="Times New Roman" w:cs="Times New Roman"/>
          <w:color w:val="000000" w:themeColor="text1"/>
          <w:sz w:val="24"/>
          <w:szCs w:val="24"/>
        </w:rPr>
        <w:t>144425.390m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/a</w:t>
      </w:r>
      <w:r>
        <w:rPr>
          <w:rFonts w:ascii="Times New Roman" w:hAnsi="Times New Roman" w:cs="Times New Roman"/>
          <w:color w:val="000000" w:themeColor="text1"/>
          <w:spacing w:val="-6"/>
          <w:sz w:val="24"/>
        </w:rPr>
        <w:t>×</w:t>
      </w:r>
      <w:r>
        <w:rPr>
          <w:rFonts w:hint="eastAsia" w:ascii="Times New Roman" w:hAnsi="Times New Roman" w:cs="Times New Roman"/>
          <w:color w:val="000000" w:themeColor="text1"/>
          <w:spacing w:val="-6"/>
          <w:sz w:val="24"/>
        </w:rPr>
        <w:t>20mg/L</w:t>
      </w:r>
      <w:r>
        <w:rPr>
          <w:rFonts w:ascii="Times New Roman" w:hAnsi="Times New Roman" w:cs="Times New Roman"/>
          <w:color w:val="000000" w:themeColor="text1"/>
          <w:spacing w:val="-6"/>
          <w:sz w:val="24"/>
        </w:rPr>
        <w:t>×10</w:t>
      </w:r>
      <w:r>
        <w:rPr>
          <w:rFonts w:ascii="Times New Roman" w:hAnsi="Times New Roman" w:cs="Times New Roman"/>
          <w:color w:val="000000" w:themeColor="text1"/>
          <w:spacing w:val="-6"/>
          <w:sz w:val="24"/>
          <w:vertAlign w:val="superscript"/>
        </w:rPr>
        <w:t>-</w:t>
      </w:r>
      <w:r>
        <w:rPr>
          <w:rFonts w:hint="eastAsia" w:ascii="Times New Roman" w:hAnsi="Times New Roman" w:cs="Times New Roman"/>
          <w:color w:val="000000" w:themeColor="text1"/>
          <w:spacing w:val="-6"/>
          <w:sz w:val="24"/>
          <w:vertAlign w:val="superscript"/>
        </w:rPr>
        <w:t>6</w:t>
      </w:r>
      <w:r>
        <w:rPr>
          <w:rFonts w:hint="eastAsia" w:ascii="Times New Roman" w:hAnsi="Times New Roman" w:cs="Times New Roman"/>
          <w:color w:val="000000" w:themeColor="text1"/>
          <w:spacing w:val="-6"/>
          <w:sz w:val="24"/>
        </w:rPr>
        <w:t>=2.889</w:t>
      </w:r>
      <w:r>
        <w:rPr>
          <w:rFonts w:ascii="Times New Roman" w:hAnsi="Times New Roman" w:cs="Times New Roman"/>
          <w:color w:val="000000" w:themeColor="text1"/>
          <w:sz w:val="24"/>
        </w:rPr>
        <w:t xml:space="preserve"> t/a</w:t>
      </w:r>
      <w:r>
        <w:rPr>
          <w:rFonts w:hint="eastAsia" w:ascii="Times New Roman" w:hAnsi="Times New Roman" w:cs="Times New Roman"/>
          <w:color w:val="000000" w:themeColor="text1"/>
          <w:sz w:val="24"/>
        </w:rPr>
        <w:t>；</w:t>
      </w:r>
    </w:p>
    <w:p>
      <w:pPr>
        <w:spacing w:line="360" w:lineRule="auto"/>
        <w:ind w:firstLine="480" w:firstLineChars="200"/>
        <w:rPr>
          <w:rFonts w:ascii="Times New Roman" w:hAnsi="Times New Roman" w:cs="Times New Roman"/>
          <w:color w:val="000000" w:themeColor="text1"/>
          <w:sz w:val="24"/>
        </w:rPr>
      </w:pPr>
      <w:r>
        <w:rPr>
          <w:rFonts w:hint="eastAsia" w:ascii="Times New Roman" w:hAnsi="Times New Roman" w:cs="Times New Roman"/>
          <w:color w:val="000000" w:themeColor="text1"/>
          <w:sz w:val="24"/>
          <w:szCs w:val="24"/>
        </w:rPr>
        <w:t>总氮</w:t>
      </w:r>
      <w:r>
        <w:rPr>
          <w:rFonts w:ascii="Times New Roman" w:hAnsi="Times New Roman" w:cs="Times New Roman"/>
          <w:color w:val="000000" w:themeColor="text1"/>
          <w:spacing w:val="-6"/>
          <w:sz w:val="24"/>
        </w:rPr>
        <w:t>=</w:t>
      </w:r>
      <w:r>
        <w:rPr>
          <w:rFonts w:hint="eastAsia" w:ascii="Times New Roman" w:hAnsi="Times New Roman" w:cs="Times New Roman"/>
          <w:color w:val="000000" w:themeColor="text1"/>
          <w:sz w:val="24"/>
          <w:szCs w:val="24"/>
        </w:rPr>
        <w:t>144425.390m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/a</w:t>
      </w:r>
      <w:r>
        <w:rPr>
          <w:rFonts w:ascii="Times New Roman" w:hAnsi="Times New Roman" w:cs="Times New Roman"/>
          <w:color w:val="000000" w:themeColor="text1"/>
          <w:spacing w:val="-6"/>
          <w:sz w:val="24"/>
        </w:rPr>
        <w:t>×</w:t>
      </w:r>
      <w:r>
        <w:rPr>
          <w:rFonts w:hint="eastAsia" w:ascii="Times New Roman" w:hAnsi="Times New Roman" w:cs="Times New Roman"/>
          <w:color w:val="000000" w:themeColor="text1"/>
          <w:spacing w:val="-6"/>
          <w:sz w:val="24"/>
        </w:rPr>
        <w:t>30mg/L</w:t>
      </w:r>
      <w:r>
        <w:rPr>
          <w:rFonts w:ascii="Times New Roman" w:hAnsi="Times New Roman" w:cs="Times New Roman"/>
          <w:color w:val="000000" w:themeColor="text1"/>
          <w:spacing w:val="-6"/>
          <w:sz w:val="24"/>
        </w:rPr>
        <w:t>×10</w:t>
      </w:r>
      <w:r>
        <w:rPr>
          <w:rFonts w:ascii="Times New Roman" w:hAnsi="Times New Roman" w:cs="Times New Roman"/>
          <w:color w:val="000000" w:themeColor="text1"/>
          <w:spacing w:val="-6"/>
          <w:sz w:val="24"/>
          <w:vertAlign w:val="superscript"/>
        </w:rPr>
        <w:t>-</w:t>
      </w:r>
      <w:r>
        <w:rPr>
          <w:rFonts w:hint="eastAsia" w:ascii="Times New Roman" w:hAnsi="Times New Roman" w:cs="Times New Roman"/>
          <w:color w:val="000000" w:themeColor="text1"/>
          <w:spacing w:val="-6"/>
          <w:sz w:val="24"/>
          <w:vertAlign w:val="superscript"/>
        </w:rPr>
        <w:t>6</w:t>
      </w:r>
      <w:r>
        <w:rPr>
          <w:rFonts w:hint="eastAsia" w:ascii="Times New Roman" w:hAnsi="Times New Roman" w:cs="Times New Roman"/>
          <w:color w:val="000000" w:themeColor="text1"/>
          <w:spacing w:val="-6"/>
          <w:sz w:val="24"/>
        </w:rPr>
        <w:t>=4.333</w:t>
      </w:r>
      <w:r>
        <w:rPr>
          <w:rFonts w:ascii="Times New Roman" w:hAnsi="Times New Roman" w:cs="Times New Roman"/>
          <w:color w:val="000000" w:themeColor="text1"/>
          <w:sz w:val="24"/>
        </w:rPr>
        <w:t xml:space="preserve"> t/a</w:t>
      </w:r>
      <w:r>
        <w:rPr>
          <w:rFonts w:hint="eastAsia" w:ascii="Times New Roman" w:hAnsi="Times New Roman" w:cs="Times New Roman"/>
          <w:color w:val="000000" w:themeColor="text1"/>
          <w:sz w:val="24"/>
        </w:rPr>
        <w:t>；</w:t>
      </w:r>
    </w:p>
    <w:p>
      <w:pPr>
        <w:spacing w:line="360" w:lineRule="auto"/>
        <w:ind w:firstLine="480" w:firstLineChars="20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总磷</w:t>
      </w:r>
      <w:r>
        <w:rPr>
          <w:rFonts w:ascii="Times New Roman" w:hAnsi="Times New Roman" w:cs="Times New Roman"/>
          <w:color w:val="000000" w:themeColor="text1"/>
          <w:spacing w:val="-6"/>
          <w:sz w:val="24"/>
        </w:rPr>
        <w:t>=</w:t>
      </w:r>
      <w:r>
        <w:rPr>
          <w:rFonts w:hint="eastAsia" w:ascii="Times New Roman" w:hAnsi="Times New Roman" w:cs="Times New Roman"/>
          <w:color w:val="000000" w:themeColor="text1"/>
          <w:sz w:val="24"/>
          <w:szCs w:val="24"/>
        </w:rPr>
        <w:t>144425.390m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/a</w:t>
      </w:r>
      <w:r>
        <w:rPr>
          <w:rFonts w:ascii="Times New Roman" w:hAnsi="Times New Roman" w:cs="Times New Roman"/>
          <w:color w:val="000000" w:themeColor="text1"/>
          <w:spacing w:val="-6"/>
          <w:sz w:val="24"/>
        </w:rPr>
        <w:t>×</w:t>
      </w:r>
      <w:r>
        <w:rPr>
          <w:rFonts w:hint="eastAsia" w:ascii="Times New Roman" w:hAnsi="Times New Roman" w:cs="Times New Roman"/>
          <w:color w:val="000000" w:themeColor="text1"/>
          <w:spacing w:val="-6"/>
          <w:sz w:val="24"/>
        </w:rPr>
        <w:t>5.0mg/L</w:t>
      </w:r>
      <w:r>
        <w:rPr>
          <w:rFonts w:ascii="Times New Roman" w:hAnsi="Times New Roman" w:cs="Times New Roman"/>
          <w:color w:val="000000" w:themeColor="text1"/>
          <w:spacing w:val="-6"/>
          <w:sz w:val="24"/>
        </w:rPr>
        <w:t>×10</w:t>
      </w:r>
      <w:r>
        <w:rPr>
          <w:rFonts w:ascii="Times New Roman" w:hAnsi="Times New Roman" w:cs="Times New Roman"/>
          <w:color w:val="000000" w:themeColor="text1"/>
          <w:spacing w:val="-6"/>
          <w:sz w:val="24"/>
          <w:vertAlign w:val="superscript"/>
        </w:rPr>
        <w:t>-</w:t>
      </w:r>
      <w:r>
        <w:rPr>
          <w:rFonts w:hint="eastAsia" w:ascii="Times New Roman" w:hAnsi="Times New Roman" w:cs="Times New Roman"/>
          <w:color w:val="000000" w:themeColor="text1"/>
          <w:spacing w:val="-6"/>
          <w:sz w:val="24"/>
          <w:vertAlign w:val="superscript"/>
        </w:rPr>
        <w:t>6</w:t>
      </w:r>
      <w:r>
        <w:rPr>
          <w:rFonts w:hint="eastAsia" w:ascii="Times New Roman" w:hAnsi="Times New Roman" w:cs="Times New Roman"/>
          <w:color w:val="000000" w:themeColor="text1"/>
          <w:spacing w:val="-6"/>
          <w:sz w:val="24"/>
        </w:rPr>
        <w:t>=0.722</w:t>
      </w:r>
      <w:r>
        <w:rPr>
          <w:rFonts w:ascii="Times New Roman" w:hAnsi="Times New Roman" w:cs="Times New Roman"/>
          <w:color w:val="000000" w:themeColor="text1"/>
          <w:sz w:val="24"/>
        </w:rPr>
        <w:t xml:space="preserve"> t/a</w:t>
      </w:r>
      <w:r>
        <w:rPr>
          <w:rFonts w:hint="eastAsia" w:ascii="Times New Roman" w:hAnsi="Times New Roman" w:cs="Times New Roman"/>
          <w:color w:val="000000" w:themeColor="text1"/>
          <w:sz w:val="24"/>
        </w:rPr>
        <w:t>；</w:t>
      </w:r>
    </w:p>
    <w:p>
      <w:pPr>
        <w:autoSpaceDE w:val="0"/>
        <w:autoSpaceDN w:val="0"/>
        <w:adjustRightInd w:val="0"/>
        <w:spacing w:line="360" w:lineRule="auto"/>
        <w:ind w:firstLine="480" w:firstLineChars="200"/>
        <w:rPr>
          <w:rFonts w:ascii="Times New Roman" w:hAnsi="Times New Roman" w:cs="Times New Roman"/>
          <w:color w:val="000000" w:themeColor="text1"/>
          <w:kern w:val="0"/>
          <w:sz w:val="24"/>
        </w:rPr>
      </w:pPr>
      <w:r>
        <w:rPr>
          <w:rFonts w:hint="eastAsia"/>
          <w:color w:val="000000" w:themeColor="text1"/>
          <w:sz w:val="24"/>
        </w:rPr>
        <w:t>综上，本项目污染物总量控制指标建议值为：</w:t>
      </w:r>
      <w:r>
        <w:rPr>
          <w:rFonts w:ascii="Times New Roman" w:hAnsi="Times New Roman" w:cs="Times New Roman"/>
          <w:color w:val="000000" w:themeColor="text1"/>
          <w:kern w:val="0"/>
          <w:sz w:val="24"/>
        </w:rPr>
        <w:t>COD</w:t>
      </w:r>
      <w:r>
        <w:rPr>
          <w:rFonts w:hint="eastAsia" w:ascii="Times New Roman" w:hAnsi="Times New Roman" w:cs="Times New Roman"/>
          <w:color w:val="000000" w:themeColor="text1"/>
          <w:kern w:val="0"/>
          <w:sz w:val="24"/>
        </w:rPr>
        <w:t>28.885</w:t>
      </w:r>
      <w:r>
        <w:rPr>
          <w:rFonts w:ascii="Times New Roman" w:hAnsi="Times New Roman" w:cs="Times New Roman"/>
          <w:color w:val="000000" w:themeColor="text1"/>
          <w:kern w:val="0"/>
          <w:sz w:val="24"/>
        </w:rPr>
        <w:t>t/a</w:t>
      </w:r>
      <w:r>
        <w:rPr>
          <w:rFonts w:ascii="Times New Roman" w:cs="Times New Roman" w:hAnsiTheme="minorEastAsia"/>
          <w:color w:val="000000" w:themeColor="text1"/>
          <w:kern w:val="0"/>
          <w:sz w:val="24"/>
        </w:rPr>
        <w:t>、氨氮</w:t>
      </w:r>
      <w:r>
        <w:rPr>
          <w:rFonts w:hint="eastAsia" w:ascii="Times New Roman" w:hAnsi="Times New Roman" w:cs="Times New Roman"/>
          <w:color w:val="000000" w:themeColor="text1"/>
          <w:kern w:val="0"/>
          <w:sz w:val="24"/>
        </w:rPr>
        <w:t>2.889</w:t>
      </w:r>
      <w:r>
        <w:rPr>
          <w:rFonts w:ascii="Times New Roman" w:hAnsi="Times New Roman" w:cs="Times New Roman"/>
          <w:color w:val="000000" w:themeColor="text1"/>
          <w:kern w:val="0"/>
          <w:sz w:val="24"/>
        </w:rPr>
        <w:t xml:space="preserve"> t/a</w:t>
      </w:r>
      <w:r>
        <w:rPr>
          <w:rFonts w:ascii="Times New Roman" w:cs="Times New Roman" w:hAnsiTheme="minorEastAsia"/>
          <w:color w:val="000000" w:themeColor="text1"/>
          <w:kern w:val="0"/>
          <w:sz w:val="24"/>
        </w:rPr>
        <w:t>、总氮</w:t>
      </w:r>
      <w:r>
        <w:rPr>
          <w:rFonts w:hint="eastAsia" w:ascii="Times New Roman" w:hAnsi="Times New Roman" w:cs="Times New Roman"/>
          <w:color w:val="000000" w:themeColor="text1"/>
          <w:kern w:val="0"/>
          <w:sz w:val="24"/>
        </w:rPr>
        <w:t>4.333</w:t>
      </w:r>
      <w:r>
        <w:rPr>
          <w:rFonts w:ascii="Times New Roman" w:hAnsi="Times New Roman" w:cs="Times New Roman"/>
          <w:color w:val="000000" w:themeColor="text1"/>
          <w:kern w:val="0"/>
          <w:sz w:val="24"/>
        </w:rPr>
        <w:t xml:space="preserve"> t/a</w:t>
      </w:r>
      <w:r>
        <w:rPr>
          <w:rFonts w:ascii="Times New Roman" w:cs="Times New Roman" w:hAnsiTheme="minorEastAsia"/>
          <w:color w:val="000000" w:themeColor="text1"/>
          <w:kern w:val="0"/>
          <w:sz w:val="24"/>
        </w:rPr>
        <w:t>、总磷</w:t>
      </w:r>
      <w:r>
        <w:rPr>
          <w:rFonts w:hint="eastAsia" w:ascii="Times New Roman" w:hAnsi="Times New Roman" w:cs="Times New Roman"/>
          <w:color w:val="000000" w:themeColor="text1"/>
          <w:kern w:val="0"/>
          <w:sz w:val="24"/>
        </w:rPr>
        <w:t>0.361</w:t>
      </w:r>
      <w:r>
        <w:rPr>
          <w:rFonts w:ascii="Times New Roman" w:hAnsi="Times New Roman" w:cs="Times New Roman"/>
          <w:color w:val="000000" w:themeColor="text1"/>
          <w:kern w:val="0"/>
          <w:sz w:val="24"/>
        </w:rPr>
        <w:t>t/a</w:t>
      </w:r>
      <w:r>
        <w:rPr>
          <w:rFonts w:ascii="Times New Roman" w:cs="Times New Roman" w:hAnsiTheme="minorEastAsia"/>
          <w:color w:val="000000" w:themeColor="text1"/>
          <w:kern w:val="0"/>
          <w:sz w:val="24"/>
        </w:rPr>
        <w:t>、</w:t>
      </w:r>
      <w:r>
        <w:rPr>
          <w:rFonts w:ascii="Times New Roman" w:hAnsi="Times New Roman" w:cs="Times New Roman"/>
          <w:color w:val="000000" w:themeColor="text1"/>
          <w:kern w:val="0"/>
          <w:sz w:val="24"/>
        </w:rPr>
        <w:t>SO</w:t>
      </w:r>
      <w:r>
        <w:rPr>
          <w:rFonts w:ascii="Times New Roman" w:hAnsi="Times New Roman" w:cs="Times New Roman"/>
          <w:color w:val="000000" w:themeColor="text1"/>
          <w:kern w:val="0"/>
          <w:sz w:val="24"/>
          <w:vertAlign w:val="subscript"/>
        </w:rPr>
        <w:t>2</w:t>
      </w:r>
      <w:r>
        <w:rPr>
          <w:rFonts w:hint="eastAsia" w:ascii="Times New Roman" w:hAnsi="Times New Roman" w:cs="Times New Roman"/>
          <w:color w:val="000000" w:themeColor="text1"/>
          <w:kern w:val="0"/>
          <w:sz w:val="24"/>
        </w:rPr>
        <w:t>0</w:t>
      </w:r>
      <w:r>
        <w:rPr>
          <w:rFonts w:ascii="Times New Roman" w:hAnsi="Times New Roman" w:cs="Times New Roman"/>
          <w:color w:val="000000" w:themeColor="text1"/>
          <w:kern w:val="0"/>
          <w:sz w:val="24"/>
        </w:rPr>
        <w:t>t/a</w:t>
      </w:r>
      <w:r>
        <w:rPr>
          <w:rFonts w:ascii="Times New Roman" w:cs="Times New Roman" w:hAnsiTheme="minorEastAsia"/>
          <w:color w:val="000000" w:themeColor="text1"/>
          <w:kern w:val="0"/>
          <w:sz w:val="24"/>
        </w:rPr>
        <w:t>、</w:t>
      </w:r>
      <w:r>
        <w:rPr>
          <w:rFonts w:ascii="Times New Roman" w:hAnsi="Times New Roman" w:cs="Times New Roman"/>
          <w:color w:val="000000" w:themeColor="text1"/>
          <w:kern w:val="0"/>
          <w:sz w:val="24"/>
        </w:rPr>
        <w:t>NO</w:t>
      </w:r>
      <w:r>
        <w:rPr>
          <w:rFonts w:ascii="Times New Roman" w:hAnsi="Times New Roman" w:cs="Times New Roman"/>
          <w:color w:val="000000" w:themeColor="text1"/>
          <w:kern w:val="0"/>
          <w:sz w:val="24"/>
          <w:vertAlign w:val="subscript"/>
        </w:rPr>
        <w:t>X</w:t>
      </w:r>
      <w:r>
        <w:rPr>
          <w:rFonts w:hint="eastAsia" w:ascii="Times New Roman" w:hAnsi="Times New Roman" w:cs="Times New Roman"/>
          <w:color w:val="000000" w:themeColor="text1"/>
          <w:kern w:val="0"/>
          <w:sz w:val="24"/>
        </w:rPr>
        <w:t>0</w:t>
      </w:r>
      <w:r>
        <w:rPr>
          <w:rFonts w:ascii="Times New Roman" w:hAnsi="Times New Roman" w:cs="Times New Roman"/>
          <w:color w:val="000000" w:themeColor="text1"/>
          <w:kern w:val="0"/>
          <w:sz w:val="24"/>
        </w:rPr>
        <w:t xml:space="preserve"> t/a</w:t>
      </w:r>
      <w:r>
        <w:rPr>
          <w:rFonts w:ascii="Times New Roman" w:cs="Times New Roman" w:hAnsiTheme="minorEastAsia"/>
          <w:color w:val="000000" w:themeColor="text1"/>
          <w:kern w:val="0"/>
          <w:sz w:val="24"/>
        </w:rPr>
        <w:t>、</w:t>
      </w:r>
      <w:r>
        <w:rPr>
          <w:rFonts w:hint="eastAsia" w:ascii="Times New Roman" w:cs="Times New Roman" w:hAnsiTheme="minorEastAsia"/>
          <w:color w:val="000000" w:themeColor="text1"/>
          <w:kern w:val="0"/>
          <w:sz w:val="24"/>
        </w:rPr>
        <w:t>颗粒物</w:t>
      </w:r>
      <w:r>
        <w:rPr>
          <w:rFonts w:hint="eastAsia" w:ascii="Times New Roman" w:hAnsi="Times New Roman" w:cs="Times New Roman"/>
          <w:color w:val="000000" w:themeColor="text1"/>
          <w:kern w:val="0"/>
          <w:sz w:val="24"/>
        </w:rPr>
        <w:t>0</w:t>
      </w:r>
      <w:r>
        <w:rPr>
          <w:rFonts w:ascii="Times New Roman" w:hAnsi="Times New Roman" w:cs="Times New Roman"/>
          <w:color w:val="000000" w:themeColor="text1"/>
          <w:kern w:val="0"/>
          <w:sz w:val="24"/>
        </w:rPr>
        <w:t xml:space="preserve"> t/a</w:t>
      </w:r>
      <w:r>
        <w:rPr>
          <w:rFonts w:ascii="Times New Roman" w:cs="Times New Roman" w:hAnsiTheme="minorEastAsia"/>
          <w:color w:val="000000" w:themeColor="text1"/>
          <w:kern w:val="0"/>
          <w:sz w:val="24"/>
        </w:rPr>
        <w:t>、</w:t>
      </w:r>
      <w:r>
        <w:rPr>
          <w:rFonts w:ascii="Times New Roman" w:hAnsi="Times New Roman" w:cs="Times New Roman"/>
          <w:color w:val="000000" w:themeColor="text1"/>
          <w:kern w:val="0"/>
          <w:sz w:val="24"/>
        </w:rPr>
        <w:t>VOC</w:t>
      </w:r>
      <w:r>
        <w:rPr>
          <w:rFonts w:ascii="Times New Roman" w:hAnsi="Times New Roman" w:cs="Times New Roman"/>
          <w:color w:val="000000" w:themeColor="text1"/>
          <w:kern w:val="0"/>
          <w:sz w:val="24"/>
          <w:vertAlign w:val="subscript"/>
        </w:rPr>
        <w:t>S</w:t>
      </w:r>
      <w:r>
        <w:rPr>
          <w:rFonts w:ascii="Times New Roman" w:cs="Times New Roman" w:hAnsiTheme="minorEastAsia"/>
          <w:color w:val="000000" w:themeColor="text1"/>
          <w:kern w:val="0"/>
          <w:sz w:val="24"/>
        </w:rPr>
        <w:t>（以非甲烷总烃计）</w:t>
      </w:r>
      <w:r>
        <w:rPr>
          <w:rFonts w:hint="eastAsia" w:ascii="Times New Roman" w:hAnsi="Times New Roman" w:cs="Times New Roman"/>
          <w:color w:val="000000" w:themeColor="text1"/>
          <w:kern w:val="0"/>
          <w:sz w:val="24"/>
        </w:rPr>
        <w:t>0</w:t>
      </w:r>
      <w:r>
        <w:rPr>
          <w:rFonts w:ascii="Times New Roman" w:hAnsi="Times New Roman" w:cs="Times New Roman"/>
          <w:color w:val="000000" w:themeColor="text1"/>
          <w:kern w:val="0"/>
          <w:sz w:val="24"/>
        </w:rPr>
        <w:t>t/a</w:t>
      </w:r>
      <w:r>
        <w:rPr>
          <w:rFonts w:ascii="Times New Roman" w:cs="Times New Roman" w:hAnsiTheme="minorEastAsia"/>
          <w:color w:val="000000" w:themeColor="text1"/>
          <w:kern w:val="0"/>
          <w:sz w:val="24"/>
        </w:rPr>
        <w:t>，特征污染物</w:t>
      </w:r>
      <w:r>
        <w:rPr>
          <w:rFonts w:hint="eastAsia" w:ascii="Times New Roman" w:cs="Times New Roman" w:hAnsiTheme="minorEastAsia"/>
          <w:color w:val="000000" w:themeColor="text1"/>
          <w:kern w:val="0"/>
          <w:sz w:val="24"/>
        </w:rPr>
        <w:t>氨</w:t>
      </w:r>
      <w:r>
        <w:rPr>
          <w:rFonts w:hint="eastAsia" w:ascii="Times New Roman" w:hAnsi="Times New Roman" w:cs="Times New Roman"/>
          <w:color w:val="000000" w:themeColor="text1"/>
          <w:kern w:val="0"/>
          <w:sz w:val="24"/>
        </w:rPr>
        <w:t>0.579</w:t>
      </w:r>
      <w:r>
        <w:rPr>
          <w:rFonts w:ascii="Times New Roman" w:hAnsi="Times New Roman" w:cs="Times New Roman"/>
          <w:color w:val="000000" w:themeColor="text1"/>
          <w:kern w:val="0"/>
          <w:sz w:val="24"/>
        </w:rPr>
        <w:t xml:space="preserve"> t/a</w:t>
      </w:r>
      <w:r>
        <w:rPr>
          <w:rFonts w:ascii="Times New Roman" w:cs="Times New Roman" w:hAnsiTheme="minorEastAsia"/>
          <w:color w:val="000000" w:themeColor="text1"/>
          <w:kern w:val="0"/>
          <w:sz w:val="24"/>
        </w:rPr>
        <w:t>、</w:t>
      </w:r>
      <w:r>
        <w:rPr>
          <w:rFonts w:hint="eastAsia" w:ascii="Times New Roman" w:cs="Times New Roman" w:hAnsiTheme="minorEastAsia"/>
          <w:color w:val="000000" w:themeColor="text1"/>
          <w:kern w:val="0"/>
          <w:sz w:val="24"/>
        </w:rPr>
        <w:t>硫化氢</w:t>
      </w:r>
      <w:r>
        <w:rPr>
          <w:rFonts w:ascii="Times New Roman" w:hAnsi="Times New Roman" w:cs="Times New Roman"/>
          <w:color w:val="000000" w:themeColor="text1"/>
          <w:kern w:val="0"/>
          <w:sz w:val="24"/>
        </w:rPr>
        <w:t>0.</w:t>
      </w:r>
      <w:r>
        <w:rPr>
          <w:rFonts w:hint="eastAsia" w:ascii="Times New Roman" w:hAnsi="Times New Roman" w:cs="Times New Roman"/>
          <w:color w:val="000000" w:themeColor="text1"/>
          <w:kern w:val="0"/>
          <w:sz w:val="24"/>
        </w:rPr>
        <w:t>028</w:t>
      </w:r>
      <w:r>
        <w:rPr>
          <w:rFonts w:ascii="Times New Roman" w:hAnsi="Times New Roman" w:cs="Times New Roman"/>
          <w:color w:val="000000" w:themeColor="text1"/>
          <w:kern w:val="0"/>
          <w:sz w:val="24"/>
        </w:rPr>
        <w:t>t/a</w:t>
      </w:r>
      <w:r>
        <w:rPr>
          <w:rFonts w:ascii="Times New Roman" w:cs="Times New Roman" w:hAnsiTheme="minorEastAsia"/>
          <w:color w:val="000000" w:themeColor="text1"/>
          <w:kern w:val="0"/>
          <w:sz w:val="24"/>
        </w:rPr>
        <w:t>。</w:t>
      </w:r>
    </w:p>
    <w:p>
      <w:pPr>
        <w:spacing w:line="360" w:lineRule="auto"/>
        <w:rPr>
          <w:rFonts w:ascii="Times New Roman" w:hAnsi="Times New Roman" w:cs="Times New Roman"/>
          <w:sz w:val="24"/>
          <w:szCs w:val="24"/>
        </w:rPr>
        <w:sectPr>
          <w:pgSz w:w="11906" w:h="16838"/>
          <w:pgMar w:top="1440" w:right="1797" w:bottom="1440" w:left="1797" w:header="851" w:footer="992" w:gutter="0"/>
          <w:cols w:space="425" w:num="1"/>
          <w:docGrid w:type="linesAndChars" w:linePitch="312" w:charSpace="0"/>
        </w:sectPr>
      </w:pPr>
    </w:p>
    <w:p>
      <w:pPr>
        <w:pStyle w:val="2"/>
        <w:spacing w:before="0" w:after="0" w:line="360" w:lineRule="auto"/>
        <w:rPr>
          <w:rFonts w:ascii="Times New Roman" w:hAnsi="Times New Roman" w:cs="Times New Roman"/>
          <w:sz w:val="30"/>
          <w:szCs w:val="30"/>
        </w:rPr>
      </w:pPr>
      <w:bookmarkStart w:id="27" w:name="_Toc13725353"/>
      <w:r>
        <w:rPr>
          <w:rFonts w:ascii="Times New Roman" w:hAnsi="Times New Roman" w:cs="Times New Roman"/>
          <w:sz w:val="30"/>
          <w:szCs w:val="30"/>
        </w:rPr>
        <w:t>4.环境现状调查与评价</w:t>
      </w:r>
      <w:bookmarkEnd w:id="27"/>
    </w:p>
    <w:p>
      <w:pPr>
        <w:pStyle w:val="3"/>
        <w:spacing w:before="0" w:after="0" w:line="360" w:lineRule="auto"/>
        <w:rPr>
          <w:rFonts w:ascii="Times New Roman" w:hAnsi="Times New Roman" w:cs="Times New Roman"/>
          <w:sz w:val="28"/>
          <w:szCs w:val="28"/>
        </w:rPr>
      </w:pPr>
      <w:bookmarkStart w:id="28" w:name="_Toc13725354"/>
      <w:r>
        <w:rPr>
          <w:rFonts w:hint="eastAsia" w:ascii="Times New Roman" w:hAnsi="Times New Roman" w:cs="Times New Roman"/>
          <w:sz w:val="28"/>
          <w:szCs w:val="28"/>
        </w:rPr>
        <w:t>4.1项目区域自然环境概况</w:t>
      </w:r>
      <w:bookmarkEnd w:id="28"/>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4.1.1地理位置</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保定市地处华北平原西部，河北省中部，地理坐标为东经113°40′～116°20′，北纬38°10′～40°。东西最大横距约240km，南北最大纵距约200km，辖区总面积22113 km</w:t>
      </w:r>
      <w:r>
        <w:rPr>
          <w:rFonts w:ascii="Times New Roman" w:hAnsi="Times New Roman" w:cs="Times New Roman"/>
          <w:sz w:val="24"/>
          <w:szCs w:val="24"/>
          <w:vertAlign w:val="superscript"/>
        </w:rPr>
        <w:t>2</w:t>
      </w:r>
      <w:r>
        <w:rPr>
          <w:rFonts w:ascii="Times New Roman" w:hAnsi="Times New Roman" w:cs="Times New Roman"/>
          <w:sz w:val="24"/>
          <w:szCs w:val="24"/>
        </w:rPr>
        <w:t>。北邻北京市和张家口市，东接廊坊市和沧州市，往南148km是河北省会石家庄，西溯20km是纵贯冀晋豫三省的太行山脉。地处京、津、唐三角腹地，素有</w:t>
      </w:r>
      <w:r>
        <w:rPr>
          <w:rFonts w:hint="eastAsia" w:ascii="Times New Roman" w:hAnsi="Times New Roman" w:cs="Times New Roman"/>
          <w:sz w:val="24"/>
          <w:szCs w:val="24"/>
        </w:rPr>
        <w:t>“</w:t>
      </w:r>
      <w:r>
        <w:rPr>
          <w:rFonts w:ascii="Times New Roman" w:hAnsi="Times New Roman" w:cs="Times New Roman"/>
          <w:sz w:val="24"/>
          <w:szCs w:val="24"/>
        </w:rPr>
        <w:t>京师畿辅</w:t>
      </w:r>
      <w:r>
        <w:rPr>
          <w:rFonts w:hint="eastAsia" w:ascii="Times New Roman" w:hAnsi="Times New Roman" w:cs="Times New Roman"/>
          <w:sz w:val="24"/>
          <w:szCs w:val="24"/>
        </w:rPr>
        <w:t>”</w:t>
      </w:r>
      <w:r>
        <w:rPr>
          <w:rFonts w:ascii="Times New Roman" w:hAnsi="Times New Roman" w:cs="Times New Roman"/>
          <w:sz w:val="24"/>
          <w:szCs w:val="24"/>
        </w:rPr>
        <w:t>、</w:t>
      </w:r>
      <w:r>
        <w:rPr>
          <w:rFonts w:hint="eastAsia" w:ascii="Times New Roman" w:hAnsi="Times New Roman" w:cs="Times New Roman"/>
          <w:sz w:val="24"/>
          <w:szCs w:val="24"/>
        </w:rPr>
        <w:t>“</w:t>
      </w:r>
      <w:r>
        <w:rPr>
          <w:rFonts w:ascii="Times New Roman" w:hAnsi="Times New Roman" w:cs="Times New Roman"/>
          <w:sz w:val="24"/>
          <w:szCs w:val="24"/>
        </w:rPr>
        <w:t>首都南大门</w:t>
      </w:r>
      <w:r>
        <w:rPr>
          <w:rFonts w:hint="eastAsia" w:ascii="Times New Roman" w:hAnsi="Times New Roman" w:cs="Times New Roman"/>
          <w:sz w:val="24"/>
          <w:szCs w:val="24"/>
        </w:rPr>
        <w:t>”</w:t>
      </w:r>
      <w:r>
        <w:rPr>
          <w:rFonts w:ascii="Times New Roman" w:hAnsi="Times New Roman" w:cs="Times New Roman"/>
          <w:sz w:val="24"/>
          <w:szCs w:val="24"/>
        </w:rPr>
        <w:t>之称。地理位置十分优越。京广铁路和京深高速公路、107国道横贯其中，交通便利。</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本项目位于保定市莲池区华电路南侧，秀兰﹒文景苑小区东侧，厂区中心地理位置坐标为东经</w:t>
      </w:r>
      <w:r>
        <w:rPr>
          <w:rFonts w:ascii="Times New Roman" w:hAnsi="Times New Roman" w:cs="Times New Roman"/>
          <w:sz w:val="24"/>
          <w:szCs w:val="24"/>
        </w:rPr>
        <w:t>115°</w:t>
      </w:r>
      <w:r>
        <w:rPr>
          <w:rFonts w:hint="eastAsia" w:ascii="Times New Roman" w:hAnsi="Times New Roman" w:cs="Times New Roman"/>
          <w:sz w:val="24"/>
          <w:szCs w:val="24"/>
        </w:rPr>
        <w:t>30</w:t>
      </w:r>
      <w:r>
        <w:rPr>
          <w:rFonts w:ascii="Times New Roman" w:hAnsi="Times New Roman" w:cs="Times New Roman"/>
          <w:sz w:val="24"/>
          <w:szCs w:val="24"/>
        </w:rPr>
        <w:t>′</w:t>
      </w:r>
      <w:r>
        <w:rPr>
          <w:rFonts w:hint="eastAsia" w:ascii="Times New Roman" w:hAnsi="Times New Roman" w:cs="Times New Roman"/>
          <w:sz w:val="24"/>
          <w:szCs w:val="24"/>
        </w:rPr>
        <w:t>21.56</w:t>
      </w:r>
      <w:r>
        <w:rPr>
          <w:rFonts w:ascii="Times New Roman" w:hAnsi="Times New Roman" w:cs="Times New Roman"/>
          <w:sz w:val="24"/>
          <w:szCs w:val="24"/>
        </w:rPr>
        <w:t>″ 、</w:t>
      </w:r>
      <w:r>
        <w:rPr>
          <w:rFonts w:hint="eastAsia" w:ascii="Times New Roman" w:hAnsi="Times New Roman" w:cs="Times New Roman"/>
          <w:sz w:val="24"/>
          <w:szCs w:val="24"/>
        </w:rPr>
        <w:t>北纬</w:t>
      </w:r>
      <w:r>
        <w:rPr>
          <w:rFonts w:ascii="Times New Roman" w:hAnsi="Times New Roman" w:cs="Times New Roman"/>
          <w:sz w:val="24"/>
          <w:szCs w:val="24"/>
        </w:rPr>
        <w:t>3</w:t>
      </w:r>
      <w:r>
        <w:rPr>
          <w:rFonts w:hint="eastAsia" w:ascii="Times New Roman" w:hAnsi="Times New Roman" w:cs="Times New Roman"/>
          <w:sz w:val="24"/>
          <w:szCs w:val="24"/>
        </w:rPr>
        <w:t>8</w:t>
      </w:r>
      <w:r>
        <w:rPr>
          <w:rFonts w:ascii="Times New Roman" w:hAnsi="Times New Roman" w:cs="Times New Roman"/>
          <w:sz w:val="24"/>
          <w:szCs w:val="24"/>
        </w:rPr>
        <w:t>°</w:t>
      </w:r>
      <w:r>
        <w:rPr>
          <w:rFonts w:hint="eastAsia" w:ascii="Times New Roman" w:hAnsi="Times New Roman" w:cs="Times New Roman"/>
          <w:sz w:val="24"/>
          <w:szCs w:val="24"/>
        </w:rPr>
        <w:t>53</w:t>
      </w:r>
      <w:r>
        <w:rPr>
          <w:rFonts w:ascii="Times New Roman" w:hAnsi="Times New Roman" w:cs="Times New Roman"/>
          <w:sz w:val="24"/>
          <w:szCs w:val="24"/>
        </w:rPr>
        <w:t>′</w:t>
      </w:r>
      <w:r>
        <w:rPr>
          <w:rFonts w:hint="eastAsia" w:ascii="Times New Roman" w:hAnsi="Times New Roman" w:cs="Times New Roman"/>
          <w:sz w:val="24"/>
          <w:szCs w:val="24"/>
        </w:rPr>
        <w:t>5.00</w:t>
      </w:r>
      <w:r>
        <w:rPr>
          <w:rFonts w:ascii="Times New Roman" w:hAnsi="Times New Roman" w:cs="Times New Roman"/>
          <w:sz w:val="24"/>
          <w:szCs w:val="24"/>
        </w:rPr>
        <w:t>″</w:t>
      </w:r>
      <w:r>
        <w:rPr>
          <w:rFonts w:hint="eastAsia" w:ascii="Times New Roman" w:hAnsi="Times New Roman" w:cs="Times New Roman"/>
          <w:sz w:val="24"/>
          <w:szCs w:val="24"/>
        </w:rPr>
        <w:t>。项目东侧为中央司法警官学院，南侧为空地，西侧为文景苑小区，北侧为为华电路，隔路为华北电力大学，距离项目最近的环境敏感点为项目西侧文景苑小区和东侧中央司法警官学院。</w:t>
      </w:r>
    </w:p>
    <w:p>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项目</w:t>
      </w:r>
      <w:r>
        <w:rPr>
          <w:rFonts w:ascii="Times New Roman" w:hAnsi="Times New Roman" w:eastAsia="宋体"/>
          <w:sz w:val="24"/>
          <w:szCs w:val="24"/>
        </w:rPr>
        <w:t>地理位置见附图1，周边关系见附图2。</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4.1.2地形地貌</w:t>
      </w:r>
    </w:p>
    <w:p>
      <w:pPr>
        <w:pStyle w:val="51"/>
        <w:spacing w:line="360" w:lineRule="auto"/>
        <w:ind w:firstLine="482"/>
        <w:rPr>
          <w:rFonts w:ascii="Times New Roman" w:hAnsi="Times New Roman"/>
        </w:rPr>
      </w:pPr>
      <w:r>
        <w:rPr>
          <w:rFonts w:ascii="Times New Roman" w:hAnsi="Times New Roman"/>
        </w:rPr>
        <w:t>保定市总面积22113 平方公里，其中山区面积11056 平方公里，平原面积8624 平方公里，洼地面积2432 平方公里。保定市地势自西北向东南倾斜，由于地质内外应力的作用，地貌分异非常明显，山地、丘陵、山麓平原、洼淀自西向东依次排列，界限清晰。</w:t>
      </w:r>
    </w:p>
    <w:p>
      <w:pPr>
        <w:pStyle w:val="51"/>
        <w:spacing w:line="360" w:lineRule="auto"/>
        <w:ind w:firstLine="482"/>
        <w:rPr>
          <w:rFonts w:ascii="Times New Roman" w:hAnsi="Times New Roman"/>
        </w:rPr>
      </w:pPr>
      <w:r>
        <w:rPr>
          <w:rFonts w:ascii="Times New Roman" w:hAnsi="Times New Roman"/>
        </w:rPr>
        <w:t>建设项目所在区域位于太行山东麓山前冲积平原，总体地势是由西北向东南倾斜。地形开阔平坦，坡度为0.9‰，出露地层为第四系冲洪沉积物，海拔高约18.0-18.07m之间，工程地质条件良好，沉积环境稳定，宜作建筑场地。</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4.1.3气候特征</w:t>
      </w:r>
    </w:p>
    <w:p>
      <w:pPr>
        <w:pStyle w:val="51"/>
        <w:spacing w:line="360" w:lineRule="auto"/>
        <w:ind w:firstLine="482"/>
        <w:rPr>
          <w:rFonts w:ascii="Times New Roman" w:hAnsi="Times New Roman"/>
        </w:rPr>
      </w:pPr>
      <w:r>
        <w:rPr>
          <w:rFonts w:ascii="Times New Roman" w:hAnsi="Times New Roman"/>
        </w:rPr>
        <w:t>保定市区属欧亚东部温带半湿润季风区域，冬季盛行大陆吹向海洋的干冷冬季风，夏季盛行由海洋吹向大陆的湿热夏季风，春秋则为过渡性季节，常有南北风交替出现的现象。季风特征显著，故四季分明：春季干燥多风，夏季炎热多雨，秋季天高气爽，冬季寒冷少雪。年平均气温12.9</w:t>
      </w:r>
      <w:r>
        <w:rPr>
          <w:rFonts w:hint="eastAsia"/>
        </w:rPr>
        <w:t>℃</w:t>
      </w:r>
      <w:r>
        <w:rPr>
          <w:rFonts w:ascii="Times New Roman" w:hAnsi="Times New Roman"/>
        </w:rPr>
        <w:t>，以七月份为最热，月平均气温26.5</w:t>
      </w:r>
      <w:r>
        <w:rPr>
          <w:rFonts w:hint="eastAsia"/>
        </w:rPr>
        <w:t>℃</w:t>
      </w:r>
      <w:r>
        <w:rPr>
          <w:rFonts w:ascii="Times New Roman" w:hAnsi="Times New Roman"/>
        </w:rPr>
        <w:t>；1月份最冷，月平均气温-2.9</w:t>
      </w:r>
      <w:r>
        <w:rPr>
          <w:rFonts w:hint="eastAsia"/>
        </w:rPr>
        <w:t>℃</w:t>
      </w:r>
      <w:r>
        <w:rPr>
          <w:rFonts w:ascii="Times New Roman" w:hAnsi="Times New Roman"/>
        </w:rPr>
        <w:t>；年平均降水量552.9 毫米，主要集中在6、7、8月份，约占全年降水量的70-80</w:t>
      </w:r>
      <w:r>
        <w:rPr>
          <w:rFonts w:hint="eastAsia"/>
        </w:rPr>
        <w:t>℃</w:t>
      </w:r>
      <w:r>
        <w:rPr>
          <w:rFonts w:ascii="Times New Roman" w:hAnsi="Times New Roman"/>
        </w:rPr>
        <w:t>。年均蒸发量1566.0 毫米 ，年内最大蒸发量出现在5、6月份，约占全年蒸发量的三分之一。冻土期为11月到次年3月，最大冻土厚度为46厘米。无霜期平均为178天。</w:t>
      </w:r>
    </w:p>
    <w:p>
      <w:pPr>
        <w:pStyle w:val="51"/>
        <w:spacing w:line="360" w:lineRule="auto"/>
        <w:ind w:firstLine="482"/>
        <w:rPr>
          <w:rFonts w:ascii="Times New Roman" w:hAnsi="Times New Roman"/>
        </w:rPr>
      </w:pPr>
      <w:r>
        <w:rPr>
          <w:rFonts w:ascii="Times New Roman" w:hAnsi="Times New Roman"/>
        </w:rPr>
        <w:t>地面气流明显受太行山山脉影响，主导风向为SSW，次主导风向为NNE，多年平均风速为1.8米/秒，最大风速为18.7米/秒，年平均静风频率为23.9</w:t>
      </w:r>
      <w:r>
        <w:rPr>
          <w:rFonts w:hint="eastAsia"/>
        </w:rPr>
        <w:t>℃</w:t>
      </w:r>
      <w:r>
        <w:rPr>
          <w:rFonts w:ascii="Times New Roman" w:hAnsi="Times New Roman"/>
        </w:rPr>
        <w:t>。</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4.1.4地表水</w:t>
      </w:r>
    </w:p>
    <w:p>
      <w:pPr>
        <w:pStyle w:val="51"/>
        <w:spacing w:line="360" w:lineRule="auto"/>
        <w:ind w:firstLine="482"/>
        <w:rPr>
          <w:rFonts w:ascii="Times New Roman" w:hAnsi="Times New Roman" w:cs="Times New Roman"/>
        </w:rPr>
      </w:pPr>
      <w:r>
        <w:rPr>
          <w:rFonts w:ascii="Times New Roman" w:hAnsi="Times New Roman" w:cs="Times New Roman"/>
        </w:rPr>
        <w:t>本区流域属白洋淀流域，流经本区的河流主要是府河，另外在保定市城区外围有一条以泄洪、防洪为主的防洪沟</w:t>
      </w:r>
      <w:r>
        <w:rPr>
          <w:rFonts w:hint="eastAsia" w:ascii="Times New Roman" w:hAnsi="Times New Roman" w:cs="Times New Roman"/>
        </w:rPr>
        <w:t>——</w:t>
      </w:r>
      <w:r>
        <w:rPr>
          <w:rFonts w:ascii="Times New Roman" w:hAnsi="Times New Roman" w:cs="Times New Roman"/>
        </w:rPr>
        <w:t>黄花沟。</w:t>
      </w:r>
    </w:p>
    <w:p>
      <w:pPr>
        <w:pStyle w:val="51"/>
        <w:spacing w:line="360" w:lineRule="auto"/>
        <w:ind w:firstLine="482"/>
        <w:rPr>
          <w:rFonts w:ascii="Times New Roman" w:hAnsi="Times New Roman" w:cs="Times New Roman"/>
        </w:rPr>
      </w:pPr>
      <w:r>
        <w:rPr>
          <w:rFonts w:ascii="Times New Roman" w:hAnsi="Times New Roman" w:cs="Times New Roman"/>
        </w:rPr>
        <w:t>（1）府河</w:t>
      </w:r>
    </w:p>
    <w:p>
      <w:pPr>
        <w:pStyle w:val="51"/>
        <w:spacing w:line="360" w:lineRule="auto"/>
        <w:ind w:firstLine="482"/>
        <w:rPr>
          <w:rFonts w:ascii="Times New Roman" w:hAnsi="Times New Roman" w:cs="Times New Roman"/>
        </w:rPr>
      </w:pPr>
      <w:r>
        <w:rPr>
          <w:rFonts w:ascii="Times New Roman" w:hAnsi="Times New Roman" w:cs="Times New Roman"/>
        </w:rPr>
        <w:t>府河发源于保定市市区西部的一亩泉村附近，是一亩泉河、白草沟、侯河的总汇水河，向东流入白洋淀。流域面积781平方公里，全长为62公里。以前府河源头曾是泉水喷涌，水源丰沛，渔航两便。1958年以后随着工农业生产和城市建设的发展，一亩泉水源地地下水连年超采，而地下水补给又逐渐偏少，致使一亩泉泉水干枯，其它各支流相继断流。到六十年代中后期，府河成为一条以生活污水为主及少量污染较轻的工业废水的排水沟。目前，府河水质污染仍然存在。</w:t>
      </w:r>
    </w:p>
    <w:p>
      <w:pPr>
        <w:pStyle w:val="51"/>
        <w:spacing w:line="360" w:lineRule="auto"/>
        <w:ind w:firstLine="482"/>
        <w:rPr>
          <w:rFonts w:ascii="Times New Roman" w:hAnsi="Times New Roman" w:cs="Times New Roman"/>
        </w:rPr>
      </w:pPr>
      <w:r>
        <w:rPr>
          <w:rFonts w:ascii="Times New Roman" w:hAnsi="Times New Roman" w:cs="Times New Roman"/>
        </w:rPr>
        <w:t>（2）黄花沟</w:t>
      </w:r>
    </w:p>
    <w:p>
      <w:pPr>
        <w:pStyle w:val="51"/>
        <w:spacing w:line="360" w:lineRule="auto"/>
        <w:ind w:firstLine="482"/>
        <w:rPr>
          <w:rFonts w:ascii="Times New Roman" w:hAnsi="Times New Roman" w:cs="Times New Roman"/>
        </w:rPr>
      </w:pPr>
      <w:r>
        <w:rPr>
          <w:rFonts w:ascii="Times New Roman" w:hAnsi="Times New Roman" w:cs="Times New Roman"/>
        </w:rPr>
        <w:t>黄花沟位于保定市区北部，是流经护城堤外的泻洪渠，全长33公里，在保定市东郊莲花闸处和府河汇合。黄花沟为银</w:t>
      </w:r>
      <w:r>
        <w:rPr>
          <w:rFonts w:hint="eastAsia" w:ascii="Times New Roman" w:hAnsi="Times New Roman" w:cs="Times New Roman"/>
        </w:rPr>
        <w:t>定</w:t>
      </w:r>
      <w:r>
        <w:rPr>
          <w:rFonts w:ascii="Times New Roman" w:hAnsi="Times New Roman" w:cs="Times New Roman"/>
        </w:rPr>
        <w:t>庄污水处理厂出水的排水沟。生活污水及少量污染较轻的工业废水经银</w:t>
      </w:r>
      <w:r>
        <w:rPr>
          <w:rFonts w:hint="eastAsia" w:ascii="Times New Roman" w:hAnsi="Times New Roman" w:cs="Times New Roman"/>
        </w:rPr>
        <w:t>定</w:t>
      </w:r>
      <w:r>
        <w:rPr>
          <w:rFonts w:ascii="Times New Roman" w:hAnsi="Times New Roman" w:cs="Times New Roman"/>
        </w:rPr>
        <w:t>庄污水处理厂达标处理后排入黄花沟，再经府河进入白洋淀。</w:t>
      </w:r>
    </w:p>
    <w:p>
      <w:pPr>
        <w:pStyle w:val="51"/>
        <w:spacing w:line="360" w:lineRule="auto"/>
        <w:ind w:firstLine="482"/>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w:t>
      </w:r>
      <w:r>
        <w:rPr>
          <w:rFonts w:ascii="Times New Roman" w:hAnsi="Times New Roman" w:cs="Times New Roman"/>
        </w:rPr>
        <w:t>大水系</w:t>
      </w:r>
      <w:r>
        <w:rPr>
          <w:rFonts w:hint="eastAsia" w:ascii="Times New Roman" w:hAnsi="Times New Roman" w:cs="Times New Roman"/>
        </w:rPr>
        <w:t>”</w:t>
      </w:r>
      <w:r>
        <w:rPr>
          <w:rFonts w:ascii="Times New Roman" w:hAnsi="Times New Roman" w:cs="Times New Roman"/>
        </w:rPr>
        <w:t>建设</w:t>
      </w:r>
    </w:p>
    <w:p>
      <w:pPr>
        <w:pStyle w:val="51"/>
        <w:spacing w:line="360" w:lineRule="auto"/>
        <w:ind w:firstLine="482"/>
        <w:rPr>
          <w:rFonts w:ascii="Times New Roman" w:hAnsi="Times New Roman" w:cs="Times New Roman"/>
        </w:rPr>
      </w:pPr>
      <w:r>
        <w:rPr>
          <w:rFonts w:ascii="Times New Roman" w:hAnsi="Times New Roman" w:cs="Times New Roman"/>
        </w:rPr>
        <w:t>保定市于2009年启动</w:t>
      </w:r>
      <w:r>
        <w:rPr>
          <w:rFonts w:hint="eastAsia" w:ascii="Times New Roman" w:hAnsi="Times New Roman" w:cs="Times New Roman"/>
        </w:rPr>
        <w:t>“</w:t>
      </w:r>
      <w:r>
        <w:rPr>
          <w:rFonts w:ascii="Times New Roman" w:hAnsi="Times New Roman" w:cs="Times New Roman"/>
        </w:rPr>
        <w:t>大水系</w:t>
      </w:r>
      <w:r>
        <w:rPr>
          <w:rFonts w:hint="eastAsia" w:ascii="Times New Roman" w:hAnsi="Times New Roman" w:cs="Times New Roman"/>
        </w:rPr>
        <w:t>”</w:t>
      </w:r>
      <w:r>
        <w:rPr>
          <w:rFonts w:ascii="Times New Roman" w:hAnsi="Times New Roman" w:cs="Times New Roman"/>
        </w:rPr>
        <w:t>建设，</w:t>
      </w:r>
      <w:r>
        <w:rPr>
          <w:rFonts w:hint="eastAsia" w:ascii="Times New Roman" w:hAnsi="Times New Roman" w:cs="Times New Roman"/>
        </w:rPr>
        <w:t>“</w:t>
      </w:r>
      <w:r>
        <w:rPr>
          <w:rFonts w:ascii="Times New Roman" w:hAnsi="Times New Roman" w:cs="Times New Roman"/>
        </w:rPr>
        <w:t>大水系</w:t>
      </w:r>
      <w:r>
        <w:rPr>
          <w:rFonts w:hint="eastAsia" w:ascii="Times New Roman" w:hAnsi="Times New Roman" w:cs="Times New Roman"/>
        </w:rPr>
        <w:t>”</w:t>
      </w:r>
      <w:r>
        <w:rPr>
          <w:rFonts w:ascii="Times New Roman" w:hAnsi="Times New Roman" w:cs="Times New Roman"/>
        </w:rPr>
        <w:t>的主要建设内容包括：连通西大洋水库和王快水库，引水出山后分三条线路分别入市。利用城区现有水系以及适当扩建，使城区水网形成</w:t>
      </w:r>
      <w:r>
        <w:rPr>
          <w:rFonts w:hint="eastAsia" w:ascii="Times New Roman" w:hAnsi="Times New Roman" w:cs="Times New Roman"/>
        </w:rPr>
        <w:t>“</w:t>
      </w:r>
      <w:r>
        <w:rPr>
          <w:rFonts w:ascii="Times New Roman" w:hAnsi="Times New Roman" w:cs="Times New Roman"/>
        </w:rPr>
        <w:t>两环、四廊、五湖、十园</w:t>
      </w:r>
      <w:r>
        <w:rPr>
          <w:rFonts w:hint="eastAsia" w:ascii="Times New Roman" w:hAnsi="Times New Roman" w:cs="Times New Roman"/>
        </w:rPr>
        <w:t>”</w:t>
      </w:r>
      <w:r>
        <w:rPr>
          <w:rFonts w:ascii="Times New Roman" w:hAnsi="Times New Roman" w:cs="Times New Roman"/>
        </w:rPr>
        <w:t>互连互通的架构，城区水面总面积595公顷，水面率3.5%。其中，旧城区护城河水系将构成</w:t>
      </w:r>
      <w:r>
        <w:rPr>
          <w:rFonts w:hint="eastAsia" w:ascii="Times New Roman" w:hAnsi="Times New Roman" w:cs="Times New Roman"/>
        </w:rPr>
        <w:t>“</w:t>
      </w:r>
      <w:r>
        <w:rPr>
          <w:rFonts w:ascii="Times New Roman" w:hAnsi="Times New Roman" w:cs="Times New Roman"/>
        </w:rPr>
        <w:t>水内环</w:t>
      </w:r>
      <w:r>
        <w:rPr>
          <w:rFonts w:hint="eastAsia" w:ascii="Times New Roman" w:hAnsi="Times New Roman" w:cs="Times New Roman"/>
        </w:rPr>
        <w:t>”</w:t>
      </w:r>
      <w:r>
        <w:rPr>
          <w:rFonts w:ascii="Times New Roman" w:hAnsi="Times New Roman" w:cs="Times New Roman"/>
        </w:rPr>
        <w:t>，城区外围南环堤河、一亩泉河、黄花沟等水系构成</w:t>
      </w:r>
      <w:r>
        <w:rPr>
          <w:rFonts w:hint="eastAsia" w:ascii="Times New Roman" w:hAnsi="Times New Roman" w:cs="Times New Roman"/>
        </w:rPr>
        <w:t>“</w:t>
      </w:r>
      <w:r>
        <w:rPr>
          <w:rFonts w:ascii="Times New Roman" w:hAnsi="Times New Roman" w:cs="Times New Roman"/>
        </w:rPr>
        <w:t>水外环</w:t>
      </w:r>
      <w:r>
        <w:rPr>
          <w:rFonts w:hint="eastAsia" w:ascii="Times New Roman" w:hAnsi="Times New Roman" w:cs="Times New Roman"/>
        </w:rPr>
        <w:t>”</w:t>
      </w:r>
      <w:r>
        <w:rPr>
          <w:rFonts w:ascii="Times New Roman" w:hAnsi="Times New Roman" w:cs="Times New Roman"/>
        </w:rPr>
        <w:t>。沿着</w:t>
      </w:r>
      <w:r>
        <w:rPr>
          <w:rFonts w:hint="eastAsia" w:ascii="Times New Roman" w:hAnsi="Times New Roman" w:cs="Times New Roman"/>
        </w:rPr>
        <w:t>“</w:t>
      </w:r>
      <w:r>
        <w:rPr>
          <w:rFonts w:ascii="Times New Roman" w:hAnsi="Times New Roman" w:cs="Times New Roman"/>
        </w:rPr>
        <w:t>水外环</w:t>
      </w:r>
      <w:r>
        <w:rPr>
          <w:rFonts w:hint="eastAsia" w:ascii="Times New Roman" w:hAnsi="Times New Roman" w:cs="Times New Roman"/>
        </w:rPr>
        <w:t>”</w:t>
      </w:r>
      <w:r>
        <w:rPr>
          <w:rFonts w:ascii="Times New Roman" w:hAnsi="Times New Roman" w:cs="Times New Roman"/>
        </w:rPr>
        <w:t>河系，建设南湖、北湖、西湖、东湖和新湖五个湖，新建一亩泉公园、黄花沟生态公园、侯河生态公园、刘守庙文化公园、城墙遗址文化公园等。</w:t>
      </w:r>
      <w:r>
        <w:rPr>
          <w:rFonts w:hint="eastAsia" w:ascii="Times New Roman" w:hAnsi="Times New Roman" w:cs="Times New Roman"/>
        </w:rPr>
        <w:t>“</w:t>
      </w:r>
      <w:r>
        <w:rPr>
          <w:rFonts w:ascii="Times New Roman" w:hAnsi="Times New Roman" w:cs="Times New Roman"/>
        </w:rPr>
        <w:t>大水系</w:t>
      </w:r>
      <w:r>
        <w:rPr>
          <w:rFonts w:hint="eastAsia" w:ascii="Times New Roman" w:hAnsi="Times New Roman" w:cs="Times New Roman"/>
        </w:rPr>
        <w:t>”</w:t>
      </w:r>
      <w:r>
        <w:rPr>
          <w:rFonts w:ascii="Times New Roman" w:hAnsi="Times New Roman" w:cs="Times New Roman"/>
        </w:rPr>
        <w:t>建设还将恢复</w:t>
      </w:r>
      <w:r>
        <w:rPr>
          <w:rFonts w:hint="eastAsia" w:ascii="Times New Roman" w:hAnsi="Times New Roman" w:cs="Times New Roman"/>
        </w:rPr>
        <w:t>“</w:t>
      </w:r>
      <w:r>
        <w:rPr>
          <w:rFonts w:ascii="Times New Roman" w:hAnsi="Times New Roman" w:cs="Times New Roman"/>
        </w:rPr>
        <w:t>上古八景</w:t>
      </w:r>
      <w:r>
        <w:rPr>
          <w:rFonts w:hint="eastAsia" w:ascii="Times New Roman" w:hAnsi="Times New Roman" w:cs="Times New Roman"/>
        </w:rPr>
        <w:t>”</w:t>
      </w:r>
      <w:r>
        <w:rPr>
          <w:rFonts w:ascii="Times New Roman" w:hAnsi="Times New Roman" w:cs="Times New Roman"/>
        </w:rPr>
        <w:t>，并新添保定水系新八景。整个大水系工程的投资预计将超过4.2亿元，其中在2009年启动西大洋和王快水库两库连通工程，在两年内完成城区雨、污水分流工程。到2010年大水系已完成引水入市工作，府河焦庄断面水质达到《地表水环境质量标准》（GB3838-2002）</w:t>
      </w:r>
      <w:r>
        <w:rPr>
          <w:rFonts w:hint="eastAsia"/>
        </w:rPr>
        <w:t>Ⅳ</w:t>
      </w:r>
      <w:r>
        <w:rPr>
          <w:rFonts w:ascii="Times New Roman" w:hAnsi="Times New Roman" w:cs="Times New Roman"/>
        </w:rPr>
        <w:t>类标准。</w:t>
      </w:r>
    </w:p>
    <w:p>
      <w:pPr>
        <w:pStyle w:val="51"/>
        <w:spacing w:line="360" w:lineRule="auto"/>
        <w:ind w:firstLine="482"/>
        <w:rPr>
          <w:rFonts w:ascii="Times New Roman" w:hAnsi="Times New Roman" w:cs="Times New Roman"/>
        </w:rPr>
      </w:pPr>
      <w:r>
        <w:rPr>
          <w:rFonts w:ascii="Times New Roman" w:hAnsi="Times New Roman" w:cs="Times New Roman"/>
        </w:rPr>
        <w:t>本项目废水经医院污水处理站单独处理后，排入市政污水管网，最终进入保定市银定庄污水处理厂集中处理。</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4.1.5水文地质</w:t>
      </w:r>
    </w:p>
    <w:p>
      <w:pPr>
        <w:pStyle w:val="51"/>
        <w:spacing w:line="360" w:lineRule="auto"/>
        <w:ind w:firstLine="482"/>
        <w:rPr>
          <w:rFonts w:ascii="Times New Roman" w:hAnsi="Times New Roman" w:cs="Times New Roman"/>
        </w:rPr>
      </w:pPr>
      <w:r>
        <w:rPr>
          <w:rFonts w:ascii="Times New Roman" w:hAnsi="Times New Roman" w:cs="Times New Roman"/>
        </w:rPr>
        <w:t>保定市区位于太行山东麓，界河冲洪积扇前缘与蒲阳河、曲逆河、唐河等古河道边缘交接处，第四纪沉积的巨厚松散堆积物，厚度达180-350米，是该区地下水赋存的主要介质层。因地壳运动，气候变迁使该区第四纪沉积层横向、纵向复杂多变。</w:t>
      </w:r>
    </w:p>
    <w:p>
      <w:pPr>
        <w:pStyle w:val="51"/>
        <w:spacing w:line="360" w:lineRule="auto"/>
        <w:ind w:firstLine="482"/>
        <w:rPr>
          <w:rFonts w:ascii="Times New Roman" w:hAnsi="Times New Roman" w:cs="Times New Roman"/>
        </w:rPr>
      </w:pPr>
      <w:r>
        <w:rPr>
          <w:rFonts w:ascii="Times New Roman" w:hAnsi="Times New Roman" w:cs="Times New Roman"/>
        </w:rPr>
        <w:t>本区浅层地下水主要由大气降水垂直入渗及漕河、界河侧向径流补给以及西部山区侧向补给为主，其次为灌溉水，地面水入渗补给。排泄主要为人工开采和侧向径流及蒸发，动态主要受大气降水和开采控制。深层含水与上层无水力联系，动态稳定，属径流型。保定市地下水水质较好，水化学类型以重碳酸钙镁型水为主。含水层分为浅、中、深三个含水组：0-50米为第</w:t>
      </w:r>
      <w:r>
        <w:rPr>
          <w:rFonts w:hint="eastAsia"/>
        </w:rPr>
        <w:t>Ⅰ</w:t>
      </w:r>
      <w:r>
        <w:rPr>
          <w:rFonts w:ascii="Times New Roman" w:hAnsi="Times New Roman" w:cs="Times New Roman"/>
        </w:rPr>
        <w:t>含水组属潜水类型；50-150米为第</w:t>
      </w:r>
      <w:r>
        <w:rPr>
          <w:rFonts w:hint="eastAsia"/>
        </w:rPr>
        <w:t>Ⅱ</w:t>
      </w:r>
      <w:r>
        <w:rPr>
          <w:rFonts w:ascii="Times New Roman" w:hAnsi="Times New Roman" w:cs="Times New Roman"/>
        </w:rPr>
        <w:t>含水组属承压水，与上层潜水有水力联系；第</w:t>
      </w:r>
      <w:r>
        <w:rPr>
          <w:rFonts w:hint="eastAsia"/>
        </w:rPr>
        <w:t>Ⅲ</w:t>
      </w:r>
      <w:r>
        <w:rPr>
          <w:rFonts w:ascii="Times New Roman" w:hAnsi="Times New Roman" w:cs="Times New Roman"/>
        </w:rPr>
        <w:t>含水组埋深150-500米，属承压水类型。</w:t>
      </w:r>
    </w:p>
    <w:p>
      <w:pPr>
        <w:pStyle w:val="51"/>
        <w:numPr>
          <w:ilvl w:val="0"/>
          <w:numId w:val="11"/>
        </w:numPr>
        <w:spacing w:line="360" w:lineRule="auto"/>
        <w:rPr>
          <w:rFonts w:ascii="Times New Roman" w:hAnsi="Times New Roman" w:cs="Times New Roman"/>
        </w:rPr>
      </w:pPr>
      <w:r>
        <w:rPr>
          <w:rFonts w:ascii="Times New Roman" w:hAnsi="Times New Roman" w:cs="Times New Roman"/>
        </w:rPr>
        <w:t>浅层地下水</w:t>
      </w:r>
    </w:p>
    <w:p>
      <w:pPr>
        <w:pStyle w:val="51"/>
        <w:spacing w:line="360" w:lineRule="auto"/>
        <w:ind w:firstLine="482"/>
        <w:rPr>
          <w:rFonts w:ascii="Times New Roman" w:hAnsi="Times New Roman" w:cs="Times New Roman"/>
        </w:rPr>
      </w:pPr>
      <w:r>
        <w:rPr>
          <w:rFonts w:ascii="Times New Roman" w:hAnsi="Times New Roman" w:cs="Times New Roman"/>
        </w:rPr>
        <w:t>由第</w:t>
      </w:r>
      <w:r>
        <w:rPr>
          <w:rFonts w:hint="eastAsia"/>
        </w:rPr>
        <w:t>Ⅰ</w:t>
      </w:r>
      <w:r>
        <w:rPr>
          <w:rFonts w:ascii="Times New Roman" w:hAnsi="Times New Roman" w:cs="Times New Roman"/>
        </w:rPr>
        <w:t>含水岩组和第</w:t>
      </w:r>
      <w:r>
        <w:rPr>
          <w:rFonts w:hint="eastAsia"/>
        </w:rPr>
        <w:t>Ⅱ</w:t>
      </w:r>
      <w:r>
        <w:rPr>
          <w:rFonts w:ascii="Times New Roman" w:hAnsi="Times New Roman" w:cs="Times New Roman"/>
        </w:rPr>
        <w:t>含水岩组组成。埋藏深度一般150m以内。</w:t>
      </w:r>
    </w:p>
    <w:p>
      <w:pPr>
        <w:pStyle w:val="51"/>
        <w:spacing w:line="360" w:lineRule="auto"/>
        <w:ind w:firstLine="482"/>
        <w:rPr>
          <w:rFonts w:ascii="Times New Roman" w:hAnsi="Times New Roman" w:cs="Times New Roman"/>
        </w:rPr>
      </w:pPr>
      <w:r>
        <w:rPr>
          <w:rFonts w:ascii="Times New Roman" w:hAnsi="Times New Roman" w:cs="Times New Roman"/>
        </w:rPr>
        <w:t>第</w:t>
      </w:r>
      <w:r>
        <w:rPr>
          <w:rFonts w:hint="eastAsia"/>
        </w:rPr>
        <w:t>Ⅰ</w:t>
      </w:r>
      <w:r>
        <w:rPr>
          <w:rFonts w:ascii="Times New Roman" w:hAnsi="Times New Roman" w:cs="Times New Roman"/>
        </w:rPr>
        <w:t>含水岩组，相当于全新统。市区从西到东，底界埋深20-60m，单层含水层厚度一般小于5m，含水层岩性一般以中粗砂、中细砂为主，单位出水量一般小于5m</w:t>
      </w:r>
      <w:r>
        <w:rPr>
          <w:rFonts w:ascii="Times New Roman" w:hAnsi="Times New Roman" w:cs="Times New Roman"/>
          <w:vertAlign w:val="superscript"/>
        </w:rPr>
        <w:t>3</w:t>
      </w:r>
      <w:r>
        <w:rPr>
          <w:rFonts w:ascii="Times New Roman" w:hAnsi="Times New Roman" w:cs="Times New Roman"/>
        </w:rPr>
        <w:t>/h·m，隔水底板厚5-15m，岩性为粉土、粉质粘土。</w:t>
      </w:r>
    </w:p>
    <w:p>
      <w:pPr>
        <w:pStyle w:val="51"/>
        <w:spacing w:line="360" w:lineRule="auto"/>
        <w:ind w:firstLine="482"/>
        <w:rPr>
          <w:rFonts w:ascii="Times New Roman" w:hAnsi="Times New Roman" w:cs="Times New Roman"/>
        </w:rPr>
      </w:pPr>
      <w:r>
        <w:rPr>
          <w:rFonts w:ascii="Times New Roman" w:hAnsi="Times New Roman" w:cs="Times New Roman"/>
        </w:rPr>
        <w:t>第</w:t>
      </w:r>
      <w:r>
        <w:rPr>
          <w:rFonts w:hint="eastAsia"/>
        </w:rPr>
        <w:t>Ⅱ</w:t>
      </w:r>
      <w:r>
        <w:rPr>
          <w:rFonts w:ascii="Times New Roman" w:hAnsi="Times New Roman" w:cs="Times New Roman"/>
        </w:rPr>
        <w:t>含水岩组，相当于上更新统。市区从西到东，底界埋深由90到150m逐渐加深，含水层层数由2-3层到7-10层逐渐增多，含水层总厚度由40m到20m，逐渐变薄；含水层岩性由砂砾石、含砾粗砂到中砂、中细砂，逐渐变为细砂；单位出水量由50-100 m</w:t>
      </w:r>
      <w:r>
        <w:rPr>
          <w:rFonts w:ascii="Times New Roman" w:hAnsi="Times New Roman" w:cs="Times New Roman"/>
          <w:vertAlign w:val="superscript"/>
        </w:rPr>
        <w:t>3</w:t>
      </w:r>
      <w:r>
        <w:rPr>
          <w:rFonts w:ascii="Times New Roman" w:hAnsi="Times New Roman" w:cs="Times New Roman"/>
        </w:rPr>
        <w:t>/h·m到10-30 m</w:t>
      </w:r>
      <w:r>
        <w:rPr>
          <w:rFonts w:ascii="Times New Roman" w:hAnsi="Times New Roman" w:cs="Times New Roman"/>
          <w:vertAlign w:val="superscript"/>
        </w:rPr>
        <w:t>3</w:t>
      </w:r>
      <w:r>
        <w:rPr>
          <w:rFonts w:ascii="Times New Roman" w:hAnsi="Times New Roman" w:cs="Times New Roman"/>
        </w:rPr>
        <w:t>/h·m，逐渐变小；下伏隔水底板为5-15m到20-30m逐渐加厚，岩性为粉质粘土。</w:t>
      </w:r>
    </w:p>
    <w:p>
      <w:pPr>
        <w:pStyle w:val="51"/>
        <w:numPr>
          <w:ilvl w:val="0"/>
          <w:numId w:val="11"/>
        </w:numPr>
        <w:spacing w:line="360" w:lineRule="auto"/>
        <w:rPr>
          <w:rFonts w:ascii="Times New Roman" w:hAnsi="Times New Roman" w:cs="Times New Roman"/>
        </w:rPr>
      </w:pPr>
      <w:r>
        <w:rPr>
          <w:rFonts w:ascii="Times New Roman" w:hAnsi="Times New Roman" w:cs="Times New Roman"/>
        </w:rPr>
        <w:t>深层地下水</w:t>
      </w:r>
    </w:p>
    <w:p>
      <w:pPr>
        <w:pStyle w:val="51"/>
        <w:spacing w:line="360" w:lineRule="auto"/>
        <w:ind w:firstLine="482"/>
        <w:rPr>
          <w:rFonts w:ascii="Times New Roman" w:hAnsi="Times New Roman" w:cs="Times New Roman"/>
        </w:rPr>
      </w:pPr>
      <w:r>
        <w:rPr>
          <w:rFonts w:ascii="Times New Roman" w:hAnsi="Times New Roman" w:cs="Times New Roman"/>
        </w:rPr>
        <w:t>由第</w:t>
      </w:r>
      <w:r>
        <w:rPr>
          <w:rFonts w:hint="eastAsia"/>
        </w:rPr>
        <w:t>Ⅲ</w:t>
      </w:r>
      <w:r>
        <w:rPr>
          <w:rFonts w:ascii="Times New Roman" w:hAnsi="Times New Roman" w:cs="Times New Roman"/>
        </w:rPr>
        <w:t>含水岩组和第</w:t>
      </w:r>
      <w:r>
        <w:rPr>
          <w:rFonts w:hint="eastAsia"/>
        </w:rPr>
        <w:t>Ⅳ</w:t>
      </w:r>
      <w:r>
        <w:rPr>
          <w:rFonts w:ascii="Times New Roman" w:hAnsi="Times New Roman" w:cs="Times New Roman"/>
        </w:rPr>
        <w:t>含水岩组组成，埋藏深度150-500m。</w:t>
      </w:r>
    </w:p>
    <w:p>
      <w:pPr>
        <w:pStyle w:val="51"/>
        <w:spacing w:line="360" w:lineRule="auto"/>
        <w:ind w:firstLine="482"/>
        <w:rPr>
          <w:rFonts w:ascii="Times New Roman" w:hAnsi="Times New Roman" w:cs="Times New Roman"/>
        </w:rPr>
      </w:pPr>
      <w:r>
        <w:rPr>
          <w:rFonts w:ascii="Times New Roman" w:hAnsi="Times New Roman" w:cs="Times New Roman"/>
        </w:rPr>
        <w:t>第</w:t>
      </w:r>
      <w:r>
        <w:rPr>
          <w:rFonts w:hint="eastAsia"/>
        </w:rPr>
        <w:t>Ⅲ</w:t>
      </w:r>
      <w:r>
        <w:rPr>
          <w:rFonts w:ascii="Times New Roman" w:hAnsi="Times New Roman" w:cs="Times New Roman"/>
        </w:rPr>
        <w:t>含水岩组，相当于中更新统。底界埋深由山前至东部平原，由150m逐渐加深到340m。有5-7个含水层，含水层厚度一般10-30m。含水层岩性，在冲洪积扇区以砂砾石、粗砂为主，冲洪积平原区以中粗粒、含砾粗砂为主。含水层结构上部疏松，下部压实，单位出水量3-15 m</w:t>
      </w:r>
      <w:r>
        <w:rPr>
          <w:rFonts w:ascii="Times New Roman" w:hAnsi="Times New Roman" w:cs="Times New Roman"/>
          <w:vertAlign w:val="superscript"/>
        </w:rPr>
        <w:t>3</w:t>
      </w:r>
      <w:r>
        <w:rPr>
          <w:rFonts w:ascii="Times New Roman" w:hAnsi="Times New Roman" w:cs="Times New Roman"/>
        </w:rPr>
        <w:t>/h·m，下伏隔水底板厚度20-30m，岩性为亚粘土。该含水层补给条件差，开采程度低。</w:t>
      </w:r>
    </w:p>
    <w:p>
      <w:pPr>
        <w:pStyle w:val="51"/>
        <w:spacing w:line="360" w:lineRule="auto"/>
        <w:ind w:firstLine="482"/>
        <w:rPr>
          <w:rFonts w:ascii="Times New Roman" w:hAnsi="Times New Roman" w:cs="Times New Roman"/>
        </w:rPr>
      </w:pPr>
      <w:r>
        <w:rPr>
          <w:rFonts w:ascii="Times New Roman" w:hAnsi="Times New Roman" w:cs="Times New Roman"/>
        </w:rPr>
        <w:t>第</w:t>
      </w:r>
      <w:r>
        <w:rPr>
          <w:rFonts w:hint="eastAsia"/>
        </w:rPr>
        <w:t>Ⅳ</w:t>
      </w:r>
      <w:r>
        <w:rPr>
          <w:rFonts w:ascii="Times New Roman" w:hAnsi="Times New Roman" w:cs="Times New Roman"/>
        </w:rPr>
        <w:t>含水岩组，相当于下更新统。底界埋深340-500m，含水层总厚度30-50m，岩性以中粗砂、含砾粗砂为主，结构紧密，固结程度高，富水性差，单位出水量小于3.0 m</w:t>
      </w:r>
      <w:r>
        <w:rPr>
          <w:rFonts w:ascii="Times New Roman" w:hAnsi="Times New Roman" w:cs="Times New Roman"/>
          <w:vertAlign w:val="superscript"/>
        </w:rPr>
        <w:t>3</w:t>
      </w:r>
      <w:r>
        <w:rPr>
          <w:rFonts w:ascii="Times New Roman" w:hAnsi="Times New Roman" w:cs="Times New Roman"/>
        </w:rPr>
        <w:t>/h·m，下伏隔水底板一般大于20m，岩性为亚砂土，该含水岩组地下水补给条件较差，尚未进行开采。</w:t>
      </w:r>
    </w:p>
    <w:p>
      <w:pPr>
        <w:pStyle w:val="51"/>
        <w:numPr>
          <w:ilvl w:val="0"/>
          <w:numId w:val="11"/>
        </w:numPr>
        <w:spacing w:line="360" w:lineRule="auto"/>
        <w:rPr>
          <w:rFonts w:ascii="Times New Roman" w:hAnsi="Times New Roman" w:cs="Times New Roman"/>
        </w:rPr>
      </w:pPr>
      <w:r>
        <w:rPr>
          <w:rFonts w:ascii="Times New Roman" w:hAnsi="Times New Roman" w:cs="Times New Roman"/>
        </w:rPr>
        <w:t>地下水富水性</w:t>
      </w:r>
    </w:p>
    <w:p>
      <w:pPr>
        <w:pStyle w:val="51"/>
        <w:spacing w:line="360" w:lineRule="auto"/>
        <w:ind w:firstLine="482"/>
        <w:rPr>
          <w:rFonts w:ascii="Times New Roman" w:hAnsi="Times New Roman" w:cs="Times New Roman"/>
        </w:rPr>
      </w:pPr>
      <w:r>
        <w:rPr>
          <w:rFonts w:ascii="Times New Roman" w:hAnsi="Times New Roman" w:cs="Times New Roman"/>
        </w:rPr>
        <w:t>保定市市区地下水富水程度总体上由西向东减弱，在市区西线孙家塘-郄庄-石家庄一线以西，单位出水量达50-100 m</w:t>
      </w:r>
      <w:r>
        <w:rPr>
          <w:rFonts w:ascii="Times New Roman" w:hAnsi="Times New Roman" w:cs="Times New Roman"/>
          <w:vertAlign w:val="superscript"/>
        </w:rPr>
        <w:t>3</w:t>
      </w:r>
      <w:r>
        <w:rPr>
          <w:rFonts w:ascii="Times New Roman" w:hAnsi="Times New Roman" w:cs="Times New Roman"/>
        </w:rPr>
        <w:t>/h·m，单井出水量可达150-200 m</w:t>
      </w:r>
      <w:r>
        <w:rPr>
          <w:rFonts w:ascii="Times New Roman" w:hAnsi="Times New Roman" w:cs="Times New Roman"/>
          <w:vertAlign w:val="superscript"/>
        </w:rPr>
        <w:t>3</w:t>
      </w:r>
      <w:r>
        <w:rPr>
          <w:rFonts w:ascii="Times New Roman" w:hAnsi="Times New Roman" w:cs="Times New Roman"/>
        </w:rPr>
        <w:t>/h，在市区西线至规划的西环路之间，单位出水量达30-50 m</w:t>
      </w:r>
      <w:r>
        <w:rPr>
          <w:rFonts w:ascii="Times New Roman" w:hAnsi="Times New Roman" w:cs="Times New Roman"/>
          <w:vertAlign w:val="superscript"/>
        </w:rPr>
        <w:t>3</w:t>
      </w:r>
      <w:r>
        <w:rPr>
          <w:rFonts w:ascii="Times New Roman" w:hAnsi="Times New Roman" w:cs="Times New Roman"/>
        </w:rPr>
        <w:t>/h·m，单井出水量可达100-150 m</w:t>
      </w:r>
      <w:r>
        <w:rPr>
          <w:rFonts w:ascii="Times New Roman" w:hAnsi="Times New Roman" w:cs="Times New Roman"/>
          <w:vertAlign w:val="superscript"/>
        </w:rPr>
        <w:t>3</w:t>
      </w:r>
      <w:r>
        <w:rPr>
          <w:rFonts w:ascii="Times New Roman" w:hAnsi="Times New Roman" w:cs="Times New Roman"/>
        </w:rPr>
        <w:t>/h；市区二环内单位出水量达20-30 m</w:t>
      </w:r>
      <w:r>
        <w:rPr>
          <w:rFonts w:ascii="Times New Roman" w:hAnsi="Times New Roman" w:cs="Times New Roman"/>
          <w:vertAlign w:val="superscript"/>
        </w:rPr>
        <w:t>3</w:t>
      </w:r>
      <w:r>
        <w:rPr>
          <w:rFonts w:ascii="Times New Roman" w:hAnsi="Times New Roman" w:cs="Times New Roman"/>
        </w:rPr>
        <w:t>/h·m，10-20 m</w:t>
      </w:r>
      <w:r>
        <w:rPr>
          <w:rFonts w:ascii="Times New Roman" w:hAnsi="Times New Roman" w:cs="Times New Roman"/>
          <w:vertAlign w:val="superscript"/>
        </w:rPr>
        <w:t>3</w:t>
      </w:r>
      <w:r>
        <w:rPr>
          <w:rFonts w:ascii="Times New Roman" w:hAnsi="Times New Roman" w:cs="Times New Roman"/>
        </w:rPr>
        <w:t>/h·m，局部小于10 m</w:t>
      </w:r>
      <w:r>
        <w:rPr>
          <w:rFonts w:ascii="Times New Roman" w:hAnsi="Times New Roman" w:cs="Times New Roman"/>
          <w:vertAlign w:val="superscript"/>
        </w:rPr>
        <w:t>3</w:t>
      </w:r>
      <w:r>
        <w:rPr>
          <w:rFonts w:ascii="Times New Roman" w:hAnsi="Times New Roman" w:cs="Times New Roman"/>
        </w:rPr>
        <w:t>/h·m，单井出水量可分别到达100 m</w:t>
      </w:r>
      <w:r>
        <w:rPr>
          <w:rFonts w:ascii="Times New Roman" w:hAnsi="Times New Roman" w:cs="Times New Roman"/>
          <w:vertAlign w:val="superscript"/>
        </w:rPr>
        <w:t>3</w:t>
      </w:r>
      <w:r>
        <w:rPr>
          <w:rFonts w:ascii="Times New Roman" w:hAnsi="Times New Roman" w:cs="Times New Roman"/>
        </w:rPr>
        <w:t>/h、80 m</w:t>
      </w:r>
      <w:r>
        <w:rPr>
          <w:rFonts w:ascii="Times New Roman" w:hAnsi="Times New Roman" w:cs="Times New Roman"/>
          <w:vertAlign w:val="superscript"/>
        </w:rPr>
        <w:t>3</w:t>
      </w:r>
      <w:r>
        <w:rPr>
          <w:rFonts w:ascii="Times New Roman" w:hAnsi="Times New Roman" w:cs="Times New Roman"/>
        </w:rPr>
        <w:t>/h、60 m</w:t>
      </w:r>
      <w:r>
        <w:rPr>
          <w:rFonts w:ascii="Times New Roman" w:hAnsi="Times New Roman" w:cs="Times New Roman"/>
          <w:vertAlign w:val="superscript"/>
        </w:rPr>
        <w:t>3</w:t>
      </w:r>
      <w:r>
        <w:rPr>
          <w:rFonts w:ascii="Times New Roman" w:hAnsi="Times New Roman" w:cs="Times New Roman"/>
        </w:rPr>
        <w:t>/h；市区南部（南二环路以南）地下水富水程度明显好于北部（北二环路以北），市区东部（东二环以东）地下水富水程度相对较弱，单位出水量小于10 m</w:t>
      </w:r>
      <w:r>
        <w:rPr>
          <w:rFonts w:ascii="Times New Roman" w:hAnsi="Times New Roman" w:cs="Times New Roman"/>
          <w:vertAlign w:val="superscript"/>
        </w:rPr>
        <w:t>3</w:t>
      </w:r>
      <w:r>
        <w:rPr>
          <w:rFonts w:ascii="Times New Roman" w:hAnsi="Times New Roman" w:cs="Times New Roman"/>
        </w:rPr>
        <w:t>/h·m，单井出水量60 m</w:t>
      </w:r>
      <w:r>
        <w:rPr>
          <w:rFonts w:ascii="Times New Roman" w:hAnsi="Times New Roman" w:cs="Times New Roman"/>
          <w:vertAlign w:val="superscript"/>
        </w:rPr>
        <w:t>3</w:t>
      </w:r>
      <w:r>
        <w:rPr>
          <w:rFonts w:ascii="Times New Roman" w:hAnsi="Times New Roman" w:cs="Times New Roman"/>
        </w:rPr>
        <w:t>/h左右。</w:t>
      </w:r>
    </w:p>
    <w:p>
      <w:pPr>
        <w:pStyle w:val="51"/>
        <w:spacing w:line="360" w:lineRule="auto"/>
        <w:ind w:firstLine="482"/>
        <w:rPr>
          <w:rFonts w:ascii="Times New Roman" w:hAnsi="Times New Roman" w:cs="Times New Roman"/>
        </w:rPr>
      </w:pPr>
      <w:r>
        <w:rPr>
          <w:rFonts w:ascii="Times New Roman" w:hAnsi="Times New Roman" w:cs="Times New Roman"/>
        </w:rPr>
        <w:t>由于保定市地面水资源缺乏，地下水开采量大于补给量，导致地下水位逐年下降，现已形成一亩泉和旧城区为中心的两大地下水水位下降漏斗。一亩泉水源地的水位由自涌下降到地面以下数米，呈逐年下降趋势，其漏斗面积已达80平方公里，旧城区水位下降漏斗面积已达90平方公里，并继续扩大。自2000年起，保定市引用西大洋水库的地表水作为市区供水水源，封闭市区</w:t>
      </w:r>
      <w:r>
        <w:rPr>
          <w:rFonts w:hint="eastAsia" w:ascii="Times New Roman" w:hAnsi="Times New Roman" w:cs="Times New Roman"/>
        </w:rPr>
        <w:t>地下</w:t>
      </w:r>
      <w:r>
        <w:rPr>
          <w:rFonts w:ascii="Times New Roman" w:hAnsi="Times New Roman" w:cs="Times New Roman"/>
        </w:rPr>
        <w:t>水井，市区地下水水位有所回升。</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4.1.6土壤和植被</w:t>
      </w:r>
    </w:p>
    <w:p>
      <w:pPr>
        <w:pStyle w:val="51"/>
        <w:spacing w:line="360" w:lineRule="auto"/>
        <w:rPr>
          <w:rFonts w:ascii="Times New Roman" w:cs="Times New Roman"/>
        </w:rPr>
      </w:pPr>
      <w:r>
        <w:rPr>
          <w:rFonts w:ascii="Times New Roman" w:cs="Times New Roman"/>
        </w:rPr>
        <w:t>区域大部分土壤为发育在洪冲积母质上的潮褐土，少数受古河道和近代河流的影响，为冲积母质上的潮土，绝大部分为通体轻壤质，沙粘适中，适合各种农作物生长。</w:t>
      </w:r>
    </w:p>
    <w:p>
      <w:pPr>
        <w:pStyle w:val="51"/>
        <w:spacing w:line="360" w:lineRule="auto"/>
        <w:rPr>
          <w:rFonts w:ascii="Times New Roman" w:cs="Times New Roman"/>
        </w:rPr>
      </w:pPr>
      <w:r>
        <w:rPr>
          <w:rFonts w:ascii="Times New Roman" w:cs="Times New Roman"/>
        </w:rPr>
        <w:t>区内基本无天然植被分布，人工植被杨树、柳树为主。</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4.1.7基础设施建设情况</w:t>
      </w:r>
    </w:p>
    <w:p>
      <w:pPr>
        <w:pStyle w:val="51"/>
        <w:spacing w:line="360" w:lineRule="auto"/>
        <w:rPr>
          <w:rFonts w:ascii="Times New Roman" w:cs="Times New Roman"/>
        </w:rPr>
      </w:pPr>
      <w:r>
        <w:rPr>
          <w:rFonts w:hint="eastAsia" w:ascii="Times New Roman" w:cs="Times New Roman"/>
        </w:rPr>
        <w:t>（1）保定市银定庄污水处理厂概况</w:t>
      </w:r>
    </w:p>
    <w:p>
      <w:pPr>
        <w:pStyle w:val="51"/>
        <w:spacing w:line="360" w:lineRule="auto"/>
        <w:ind w:firstLine="482"/>
        <w:rPr>
          <w:rFonts w:ascii="Times New Roman" w:hAnsi="Times New Roman" w:cs="Times New Roman" w:eastAsiaTheme="majorEastAsia"/>
          <w:color w:val="000000" w:themeColor="text1"/>
        </w:rPr>
      </w:pPr>
      <w:r>
        <w:rPr>
          <w:rFonts w:ascii="Times New Roman" w:hAnsi="Times New Roman" w:cs="Times New Roman" w:eastAsiaTheme="majorEastAsia"/>
        </w:rPr>
        <w:t>银定庄污水处理厂位于保定市市区东部银定庄以南，东二环以东，主要负责处理保定市铁路以东污水。银定庄污水处理厂于1993年开工建设，1996年投入运行，用带有前置厌氧段的普通活性污泥法，设计规模为8万m</w:t>
      </w:r>
      <w:r>
        <w:rPr>
          <w:rFonts w:ascii="Times New Roman" w:hAnsi="Times New Roman" w:cs="Times New Roman" w:eastAsiaTheme="majorEastAsia"/>
          <w:vertAlign w:val="superscript"/>
        </w:rPr>
        <w:t>3</w:t>
      </w:r>
      <w:r>
        <w:rPr>
          <w:rFonts w:ascii="Times New Roman" w:hAnsi="Times New Roman" w:cs="Times New Roman" w:eastAsiaTheme="majorEastAsia"/>
        </w:rPr>
        <w:t>/d，出水水质执行国家《污水综合排放标准》(GB8978-1996)二级标准。</w:t>
      </w:r>
      <w:r>
        <w:rPr>
          <w:rFonts w:ascii="Times New Roman" w:hAnsi="Times New Roman" w:cs="Times New Roman" w:eastAsiaTheme="majorEastAsia"/>
          <w:color w:val="000000" w:themeColor="text1"/>
        </w:rPr>
        <w:t>2010年，银定庄污水处理厂完成一级</w:t>
      </w:r>
      <w:r>
        <w:rPr>
          <w:rFonts w:hint="eastAsia" w:ascii="Times New Roman" w:hAnsi="Times New Roman" w:cs="Times New Roman" w:eastAsiaTheme="majorEastAsia"/>
          <w:color w:val="000000" w:themeColor="text1"/>
        </w:rPr>
        <w:t>A</w:t>
      </w:r>
      <w:r>
        <w:rPr>
          <w:rFonts w:ascii="Times New Roman" w:hAnsi="Times New Roman" w:cs="Times New Roman" w:eastAsiaTheme="majorEastAsia"/>
          <w:color w:val="000000" w:themeColor="text1"/>
        </w:rPr>
        <w:t>改造，升级改造后工艺为A</w:t>
      </w:r>
      <w:r>
        <w:rPr>
          <w:rFonts w:ascii="Times New Roman" w:hAnsi="Times New Roman" w:cs="Times New Roman" w:eastAsiaTheme="majorEastAsia"/>
          <w:color w:val="000000" w:themeColor="text1"/>
          <w:vertAlign w:val="superscript"/>
        </w:rPr>
        <w:t>2</w:t>
      </w:r>
      <w:r>
        <w:rPr>
          <w:rFonts w:ascii="Times New Roman" w:hAnsi="Times New Roman" w:cs="Times New Roman" w:eastAsiaTheme="majorEastAsia"/>
          <w:color w:val="000000" w:themeColor="text1"/>
        </w:rPr>
        <w:t>/O+MBBR(移动床生物膜反应器)，处理水量为</w:t>
      </w:r>
      <w:r>
        <w:rPr>
          <w:rFonts w:hint="eastAsia" w:ascii="Times New Roman" w:hAnsi="Times New Roman" w:cs="Times New Roman" w:eastAsiaTheme="majorEastAsia"/>
          <w:color w:val="000000" w:themeColor="text1"/>
        </w:rPr>
        <w:t>8</w:t>
      </w:r>
      <w:r>
        <w:rPr>
          <w:rFonts w:ascii="Times New Roman" w:hAnsi="Times New Roman" w:cs="Times New Roman" w:eastAsiaTheme="majorEastAsia"/>
          <w:color w:val="000000" w:themeColor="text1"/>
        </w:rPr>
        <w:t>万m</w:t>
      </w:r>
      <w:r>
        <w:rPr>
          <w:rFonts w:ascii="Times New Roman" w:hAnsi="Times New Roman" w:cs="Times New Roman" w:eastAsiaTheme="majorEastAsia"/>
          <w:color w:val="000000" w:themeColor="text1"/>
          <w:vertAlign w:val="superscript"/>
        </w:rPr>
        <w:t>3</w:t>
      </w:r>
      <w:r>
        <w:rPr>
          <w:rFonts w:ascii="Times New Roman" w:hAnsi="Times New Roman" w:cs="Times New Roman" w:eastAsiaTheme="majorEastAsia"/>
          <w:color w:val="000000" w:themeColor="text1"/>
        </w:rPr>
        <w:t>/d，目前出水水质执行《城镇污水处理厂污染物排放标准》(GB18978-2002)中一级标准中的</w:t>
      </w:r>
      <w:r>
        <w:rPr>
          <w:rFonts w:hint="eastAsia" w:ascii="Times New Roman" w:hAnsi="Times New Roman" w:cs="Times New Roman" w:eastAsiaTheme="majorEastAsia"/>
          <w:color w:val="000000" w:themeColor="text1"/>
        </w:rPr>
        <w:t>A</w:t>
      </w:r>
      <w:r>
        <w:rPr>
          <w:rFonts w:ascii="Times New Roman" w:hAnsi="Times New Roman" w:cs="Times New Roman" w:eastAsiaTheme="majorEastAsia"/>
          <w:color w:val="000000" w:themeColor="text1"/>
        </w:rPr>
        <w:t>级标准。出水排往黄花沟，汇入府河排入白洋淀，沿途用于农灌。</w:t>
      </w:r>
    </w:p>
    <w:p>
      <w:pPr>
        <w:pStyle w:val="51"/>
        <w:spacing w:line="360" w:lineRule="auto"/>
        <w:rPr>
          <w:rFonts w:ascii="Times New Roman" w:cs="Times New Roman"/>
        </w:rPr>
      </w:pPr>
      <w:r>
        <w:rPr>
          <w:rFonts w:hint="eastAsia" w:ascii="Times New Roman" w:cs="Times New Roman"/>
        </w:rPr>
        <w:t>银定庄</w:t>
      </w:r>
      <w:r>
        <w:rPr>
          <w:rFonts w:ascii="Times New Roman" w:cs="Times New Roman"/>
        </w:rPr>
        <w:t>污水处理厂进水和设计出水指标详见表</w:t>
      </w:r>
      <w:r>
        <w:rPr>
          <w:rFonts w:hint="eastAsia" w:ascii="Times New Roman" w:cs="Times New Roman"/>
        </w:rPr>
        <w:t>4-1</w:t>
      </w:r>
      <w:r>
        <w:rPr>
          <w:rFonts w:ascii="Times New Roman" w:cs="Times New Roman"/>
        </w:rPr>
        <w:t>：</w:t>
      </w:r>
    </w:p>
    <w:p>
      <w:pPr>
        <w:pStyle w:val="51"/>
        <w:spacing w:line="360" w:lineRule="auto"/>
        <w:jc w:val="center"/>
        <w:rPr>
          <w:rFonts w:ascii="Times New Roman" w:cs="Times New Roman"/>
          <w:b/>
        </w:rPr>
      </w:pPr>
      <w:r>
        <w:rPr>
          <w:rFonts w:ascii="Times New Roman" w:cs="Times New Roman"/>
          <w:b/>
        </w:rPr>
        <w:t>表</w:t>
      </w:r>
      <w:r>
        <w:rPr>
          <w:rFonts w:hint="eastAsia" w:ascii="Times New Roman" w:cs="Times New Roman"/>
          <w:b/>
        </w:rPr>
        <w:t>4-1    银定庄</w:t>
      </w:r>
      <w:r>
        <w:rPr>
          <w:rFonts w:ascii="Times New Roman" w:cs="Times New Roman"/>
          <w:b/>
        </w:rPr>
        <w:t>污水处理厂进水指标和设计出水指标</w:t>
      </w:r>
      <w:r>
        <w:rPr>
          <w:rFonts w:hint="eastAsia" w:ascii="Times New Roman" w:cs="Times New Roman"/>
          <w:b/>
        </w:rPr>
        <w:t>一览表</w:t>
      </w:r>
    </w:p>
    <w:tbl>
      <w:tblPr>
        <w:tblStyle w:val="27"/>
        <w:tblW w:w="88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1354"/>
        <w:gridCol w:w="1354"/>
        <w:gridCol w:w="1354"/>
        <w:gridCol w:w="1354"/>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100" w:type="dxa"/>
            <w:vMerge w:val="restart"/>
            <w:tcBorders>
              <w:tl2br w:val="single" w:color="auto" w:sz="4" w:space="0"/>
            </w:tcBorders>
            <w:vAlign w:val="center"/>
          </w:tcPr>
          <w:p>
            <w:pPr>
              <w:spacing w:beforeLines="20" w:afterLines="20"/>
              <w:ind w:firstLine="420" w:firstLineChars="200"/>
              <w:jc w:val="center"/>
              <w:rPr>
                <w:rFonts w:ascii="Times New Roman" w:hAnsi="Times New Roman" w:eastAsia="宋体" w:cs="Times New Roman"/>
                <w:szCs w:val="20"/>
              </w:rPr>
            </w:pPr>
            <w:r>
              <w:rPr>
                <w:rFonts w:ascii="Times New Roman" w:hAnsi="Times New Roman" w:eastAsia="宋体" w:cs="Times New Roman"/>
                <w:szCs w:val="20"/>
              </w:rPr>
              <w:t>控制污染因子</w:t>
            </w:r>
          </w:p>
          <w:p>
            <w:pPr>
              <w:spacing w:beforeLines="20" w:afterLines="20"/>
              <w:ind w:firstLine="420" w:firstLineChars="200"/>
              <w:rPr>
                <w:rFonts w:ascii="Times New Roman" w:hAnsi="Times New Roman" w:eastAsia="宋体" w:cs="Times New Roman"/>
                <w:szCs w:val="20"/>
              </w:rPr>
            </w:pPr>
            <w:r>
              <w:rPr>
                <w:rFonts w:ascii="Times New Roman" w:hAnsi="Times New Roman" w:eastAsia="宋体" w:cs="Times New Roman"/>
                <w:szCs w:val="20"/>
              </w:rPr>
              <w:t>控制点</w:t>
            </w:r>
          </w:p>
        </w:tc>
        <w:tc>
          <w:tcPr>
            <w:tcW w:w="6771" w:type="dxa"/>
            <w:gridSpan w:val="5"/>
            <w:vAlign w:val="center"/>
          </w:tcPr>
          <w:p>
            <w:pPr>
              <w:spacing w:beforeLines="20" w:afterLines="20"/>
              <w:jc w:val="center"/>
              <w:rPr>
                <w:rFonts w:ascii="Times New Roman" w:hAnsi="Times New Roman" w:eastAsia="宋体" w:cs="Times New Roman"/>
                <w:szCs w:val="20"/>
              </w:rPr>
            </w:pPr>
            <w:r>
              <w:rPr>
                <w:rFonts w:ascii="Times New Roman" w:hAnsi="Times New Roman" w:eastAsia="宋体" w:cs="Times New Roman"/>
                <w:szCs w:val="20"/>
              </w:rPr>
              <w:t>控制因子（mg/L）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100" w:type="dxa"/>
            <w:vMerge w:val="continue"/>
            <w:vAlign w:val="center"/>
          </w:tcPr>
          <w:p>
            <w:pPr>
              <w:spacing w:beforeLines="20" w:afterLines="20"/>
              <w:ind w:firstLine="420" w:firstLineChars="200"/>
              <w:jc w:val="center"/>
              <w:rPr>
                <w:rFonts w:ascii="Times New Roman" w:hAnsi="Times New Roman" w:eastAsia="宋体" w:cs="Times New Roman"/>
                <w:szCs w:val="20"/>
              </w:rPr>
            </w:pPr>
          </w:p>
        </w:tc>
        <w:tc>
          <w:tcPr>
            <w:tcW w:w="1354" w:type="dxa"/>
            <w:vAlign w:val="center"/>
          </w:tcPr>
          <w:p>
            <w:pPr>
              <w:spacing w:beforeLines="20" w:afterLines="20"/>
              <w:jc w:val="center"/>
              <w:rPr>
                <w:rFonts w:ascii="Times New Roman" w:hAnsi="Times New Roman" w:eastAsia="宋体" w:cs="Times New Roman"/>
                <w:szCs w:val="20"/>
              </w:rPr>
            </w:pPr>
            <w:r>
              <w:rPr>
                <w:rFonts w:ascii="Times New Roman" w:hAnsi="Times New Roman" w:eastAsia="宋体" w:cs="Times New Roman"/>
                <w:szCs w:val="20"/>
              </w:rPr>
              <w:t>COD</w:t>
            </w:r>
          </w:p>
        </w:tc>
        <w:tc>
          <w:tcPr>
            <w:tcW w:w="1354" w:type="dxa"/>
            <w:vAlign w:val="center"/>
          </w:tcPr>
          <w:p>
            <w:pPr>
              <w:spacing w:beforeLines="20" w:afterLines="20"/>
              <w:jc w:val="center"/>
              <w:rPr>
                <w:rFonts w:ascii="Times New Roman" w:hAnsi="Times New Roman" w:eastAsia="宋体" w:cs="Times New Roman"/>
                <w:szCs w:val="20"/>
              </w:rPr>
            </w:pPr>
            <w:r>
              <w:rPr>
                <w:rFonts w:ascii="Times New Roman" w:hAnsi="Times New Roman" w:eastAsia="宋体" w:cs="Times New Roman"/>
                <w:szCs w:val="20"/>
              </w:rPr>
              <w:t>BOD</w:t>
            </w:r>
          </w:p>
        </w:tc>
        <w:tc>
          <w:tcPr>
            <w:tcW w:w="1354" w:type="dxa"/>
            <w:vAlign w:val="center"/>
          </w:tcPr>
          <w:p>
            <w:pPr>
              <w:spacing w:beforeLines="20" w:afterLines="20"/>
              <w:jc w:val="center"/>
              <w:rPr>
                <w:rFonts w:ascii="Times New Roman" w:hAnsi="Times New Roman" w:eastAsia="宋体" w:cs="Times New Roman"/>
                <w:szCs w:val="20"/>
              </w:rPr>
            </w:pPr>
            <w:r>
              <w:rPr>
                <w:rFonts w:ascii="Times New Roman" w:hAnsi="Times New Roman" w:eastAsia="宋体" w:cs="Times New Roman"/>
                <w:szCs w:val="20"/>
              </w:rPr>
              <w:t>SS</w:t>
            </w:r>
          </w:p>
        </w:tc>
        <w:tc>
          <w:tcPr>
            <w:tcW w:w="1354" w:type="dxa"/>
            <w:vAlign w:val="center"/>
          </w:tcPr>
          <w:p>
            <w:pPr>
              <w:spacing w:beforeLines="20" w:afterLines="20"/>
              <w:jc w:val="center"/>
              <w:rPr>
                <w:rFonts w:ascii="Times New Roman" w:hAnsi="Times New Roman" w:eastAsia="宋体" w:cs="Times New Roman"/>
                <w:szCs w:val="20"/>
              </w:rPr>
            </w:pPr>
            <w:r>
              <w:rPr>
                <w:rFonts w:hint="eastAsia" w:ascii="Times New Roman" w:hAnsi="Times New Roman" w:eastAsia="宋体" w:cs="Times New Roman"/>
                <w:szCs w:val="20"/>
              </w:rPr>
              <w:t>总</w:t>
            </w:r>
            <w:r>
              <w:rPr>
                <w:rFonts w:ascii="Times New Roman" w:hAnsi="Times New Roman" w:eastAsia="宋体" w:cs="Times New Roman"/>
                <w:szCs w:val="20"/>
              </w:rPr>
              <w:t>氮</w:t>
            </w:r>
          </w:p>
        </w:tc>
        <w:tc>
          <w:tcPr>
            <w:tcW w:w="1355" w:type="dxa"/>
            <w:vAlign w:val="center"/>
          </w:tcPr>
          <w:p>
            <w:pPr>
              <w:spacing w:beforeLines="20" w:afterLines="20"/>
              <w:jc w:val="center"/>
              <w:rPr>
                <w:rFonts w:ascii="Times New Roman" w:hAnsi="Times New Roman" w:eastAsia="宋体" w:cs="Times New Roman"/>
                <w:szCs w:val="20"/>
              </w:rPr>
            </w:pPr>
            <w:r>
              <w:rPr>
                <w:rFonts w:ascii="Times New Roman" w:hAnsi="Times New Roman" w:eastAsia="宋体" w:cs="Times New Roman"/>
                <w:szCs w:val="20"/>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7" w:hRule="atLeast"/>
          <w:jc w:val="center"/>
        </w:trPr>
        <w:tc>
          <w:tcPr>
            <w:tcW w:w="2100" w:type="dxa"/>
            <w:vAlign w:val="center"/>
          </w:tcPr>
          <w:p>
            <w:pPr>
              <w:spacing w:beforeLines="20" w:afterLines="20"/>
              <w:jc w:val="center"/>
              <w:rPr>
                <w:rFonts w:ascii="Times New Roman" w:hAnsi="Times New Roman" w:eastAsia="宋体" w:cs="Times New Roman"/>
                <w:szCs w:val="20"/>
              </w:rPr>
            </w:pPr>
            <w:r>
              <w:rPr>
                <w:rFonts w:ascii="Times New Roman" w:hAnsi="Times New Roman" w:eastAsia="宋体" w:cs="Times New Roman"/>
                <w:szCs w:val="20"/>
              </w:rPr>
              <w:t>进水</w:t>
            </w:r>
          </w:p>
        </w:tc>
        <w:tc>
          <w:tcPr>
            <w:tcW w:w="1354" w:type="dxa"/>
            <w:vAlign w:val="center"/>
          </w:tcPr>
          <w:p>
            <w:pPr>
              <w:spacing w:beforeLines="20" w:afterLines="20"/>
              <w:jc w:val="center"/>
              <w:rPr>
                <w:rFonts w:ascii="Times New Roman" w:hAnsi="Times New Roman" w:eastAsia="宋体" w:cs="Times New Roman"/>
                <w:szCs w:val="20"/>
              </w:rPr>
            </w:pPr>
            <w:r>
              <w:rPr>
                <w:rFonts w:ascii="Times New Roman" w:hAnsi="Times New Roman" w:eastAsia="宋体" w:cs="Times New Roman"/>
                <w:szCs w:val="20"/>
              </w:rPr>
              <w:t>500</w:t>
            </w:r>
          </w:p>
        </w:tc>
        <w:tc>
          <w:tcPr>
            <w:tcW w:w="1354" w:type="dxa"/>
            <w:vAlign w:val="center"/>
          </w:tcPr>
          <w:p>
            <w:pPr>
              <w:spacing w:beforeLines="20" w:afterLines="20"/>
              <w:jc w:val="center"/>
              <w:rPr>
                <w:rFonts w:ascii="Times New Roman" w:hAnsi="Times New Roman" w:eastAsia="宋体" w:cs="Times New Roman"/>
                <w:szCs w:val="20"/>
              </w:rPr>
            </w:pPr>
            <w:r>
              <w:rPr>
                <w:rFonts w:hint="eastAsia" w:ascii="Times New Roman" w:hAnsi="Times New Roman" w:eastAsia="宋体" w:cs="Times New Roman"/>
                <w:szCs w:val="20"/>
              </w:rPr>
              <w:t>170</w:t>
            </w:r>
          </w:p>
        </w:tc>
        <w:tc>
          <w:tcPr>
            <w:tcW w:w="1354" w:type="dxa"/>
            <w:vAlign w:val="center"/>
          </w:tcPr>
          <w:p>
            <w:pPr>
              <w:spacing w:beforeLines="20" w:afterLines="20"/>
              <w:jc w:val="center"/>
              <w:rPr>
                <w:rFonts w:ascii="Times New Roman" w:hAnsi="Times New Roman" w:eastAsia="宋体" w:cs="Times New Roman"/>
                <w:szCs w:val="20"/>
              </w:rPr>
            </w:pPr>
            <w:r>
              <w:rPr>
                <w:rFonts w:hint="eastAsia" w:ascii="Times New Roman" w:hAnsi="Times New Roman" w:eastAsia="宋体" w:cs="Times New Roman"/>
                <w:szCs w:val="20"/>
              </w:rPr>
              <w:t>190</w:t>
            </w:r>
          </w:p>
        </w:tc>
        <w:tc>
          <w:tcPr>
            <w:tcW w:w="1354" w:type="dxa"/>
            <w:vAlign w:val="center"/>
          </w:tcPr>
          <w:p>
            <w:pPr>
              <w:spacing w:beforeLines="20" w:afterLines="20"/>
              <w:jc w:val="center"/>
              <w:rPr>
                <w:rFonts w:ascii="Times New Roman" w:hAnsi="Times New Roman" w:eastAsia="宋体" w:cs="Times New Roman"/>
                <w:szCs w:val="20"/>
              </w:rPr>
            </w:pPr>
            <w:r>
              <w:rPr>
                <w:rFonts w:ascii="Times New Roman" w:hAnsi="Times New Roman" w:eastAsia="宋体" w:cs="Times New Roman"/>
                <w:szCs w:val="20"/>
              </w:rPr>
              <w:t>70</w:t>
            </w:r>
          </w:p>
        </w:tc>
        <w:tc>
          <w:tcPr>
            <w:tcW w:w="1355" w:type="dxa"/>
            <w:vAlign w:val="center"/>
          </w:tcPr>
          <w:p>
            <w:pPr>
              <w:spacing w:beforeLines="20" w:afterLines="20"/>
              <w:jc w:val="center"/>
              <w:rPr>
                <w:rFonts w:ascii="Times New Roman" w:hAnsi="Times New Roman" w:eastAsia="宋体" w:cs="Times New Roman"/>
                <w:szCs w:val="20"/>
              </w:rPr>
            </w:pPr>
            <w:r>
              <w:rPr>
                <w:rFonts w:ascii="Times New Roman" w:hAnsi="Times New Roman" w:eastAsia="宋体" w:cs="Times New Roman"/>
                <w:szCs w:val="20"/>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4" w:hRule="atLeast"/>
          <w:jc w:val="center"/>
        </w:trPr>
        <w:tc>
          <w:tcPr>
            <w:tcW w:w="2100" w:type="dxa"/>
            <w:vAlign w:val="center"/>
          </w:tcPr>
          <w:p>
            <w:pPr>
              <w:spacing w:beforeLines="20" w:afterLines="20"/>
              <w:jc w:val="center"/>
              <w:rPr>
                <w:rFonts w:ascii="Times New Roman" w:hAnsi="Times New Roman" w:eastAsia="宋体" w:cs="Times New Roman"/>
                <w:szCs w:val="20"/>
              </w:rPr>
            </w:pPr>
            <w:r>
              <w:rPr>
                <w:rFonts w:ascii="Times New Roman" w:hAnsi="Times New Roman" w:eastAsia="宋体" w:cs="Times New Roman"/>
                <w:szCs w:val="20"/>
              </w:rPr>
              <w:t>出水</w:t>
            </w:r>
          </w:p>
        </w:tc>
        <w:tc>
          <w:tcPr>
            <w:tcW w:w="1354" w:type="dxa"/>
            <w:vAlign w:val="center"/>
          </w:tcPr>
          <w:p>
            <w:pPr>
              <w:spacing w:beforeLines="20" w:afterLines="20"/>
              <w:jc w:val="center"/>
              <w:rPr>
                <w:rFonts w:ascii="Times New Roman" w:hAnsi="Times New Roman" w:eastAsia="宋体" w:cs="Times New Roman"/>
                <w:szCs w:val="20"/>
              </w:rPr>
            </w:pPr>
            <w:r>
              <w:rPr>
                <w:rFonts w:ascii="Times New Roman" w:hAnsi="Times New Roman" w:eastAsia="宋体" w:cs="Times New Roman"/>
                <w:szCs w:val="20"/>
              </w:rPr>
              <w:t>60</w:t>
            </w:r>
          </w:p>
        </w:tc>
        <w:tc>
          <w:tcPr>
            <w:tcW w:w="1354" w:type="dxa"/>
            <w:vAlign w:val="center"/>
          </w:tcPr>
          <w:p>
            <w:pPr>
              <w:spacing w:beforeLines="20" w:afterLines="20"/>
              <w:jc w:val="center"/>
              <w:rPr>
                <w:rFonts w:ascii="Times New Roman" w:hAnsi="Times New Roman" w:eastAsia="宋体" w:cs="Times New Roman"/>
                <w:szCs w:val="20"/>
              </w:rPr>
            </w:pPr>
            <w:r>
              <w:rPr>
                <w:rFonts w:ascii="Times New Roman" w:hAnsi="Times New Roman" w:eastAsia="宋体" w:cs="Times New Roman"/>
                <w:szCs w:val="20"/>
              </w:rPr>
              <w:t>20</w:t>
            </w:r>
          </w:p>
        </w:tc>
        <w:tc>
          <w:tcPr>
            <w:tcW w:w="1354" w:type="dxa"/>
            <w:vAlign w:val="center"/>
          </w:tcPr>
          <w:p>
            <w:pPr>
              <w:spacing w:beforeLines="20" w:afterLines="20"/>
              <w:jc w:val="center"/>
              <w:rPr>
                <w:rFonts w:ascii="Times New Roman" w:hAnsi="Times New Roman" w:eastAsia="宋体" w:cs="Times New Roman"/>
                <w:szCs w:val="20"/>
              </w:rPr>
            </w:pPr>
            <w:r>
              <w:rPr>
                <w:rFonts w:ascii="Times New Roman" w:hAnsi="Times New Roman" w:eastAsia="宋体" w:cs="Times New Roman"/>
                <w:szCs w:val="20"/>
              </w:rPr>
              <w:t>20</w:t>
            </w:r>
          </w:p>
        </w:tc>
        <w:tc>
          <w:tcPr>
            <w:tcW w:w="1354" w:type="dxa"/>
            <w:vAlign w:val="center"/>
          </w:tcPr>
          <w:p>
            <w:pPr>
              <w:spacing w:beforeLines="20" w:afterLines="20"/>
              <w:jc w:val="center"/>
              <w:rPr>
                <w:rFonts w:ascii="Times New Roman" w:hAnsi="Times New Roman" w:eastAsia="宋体" w:cs="Times New Roman"/>
                <w:szCs w:val="20"/>
              </w:rPr>
            </w:pPr>
            <w:r>
              <w:rPr>
                <w:rFonts w:ascii="Times New Roman" w:hAnsi="Times New Roman" w:eastAsia="宋体" w:cs="Times New Roman"/>
                <w:szCs w:val="20"/>
              </w:rPr>
              <w:t xml:space="preserve">   8（15）</w:t>
            </w:r>
          </w:p>
        </w:tc>
        <w:tc>
          <w:tcPr>
            <w:tcW w:w="1355" w:type="dxa"/>
            <w:vAlign w:val="center"/>
          </w:tcPr>
          <w:p>
            <w:pPr>
              <w:spacing w:beforeLines="20" w:afterLines="20"/>
              <w:jc w:val="center"/>
              <w:rPr>
                <w:rFonts w:ascii="Times New Roman" w:hAnsi="Times New Roman" w:eastAsia="宋体" w:cs="Times New Roman"/>
                <w:szCs w:val="20"/>
              </w:rPr>
            </w:pPr>
            <w:r>
              <w:rPr>
                <w:rFonts w:ascii="Times New Roman" w:hAnsi="Times New Roman" w:eastAsia="宋体" w:cs="Times New Roman"/>
                <w:szCs w:val="20"/>
              </w:rPr>
              <w:t>1.0</w:t>
            </w:r>
          </w:p>
        </w:tc>
      </w:tr>
    </w:tbl>
    <w:p>
      <w:pPr>
        <w:pStyle w:val="51"/>
        <w:spacing w:line="360" w:lineRule="auto"/>
        <w:rPr>
          <w:rFonts w:ascii="Times New Roman" w:cs="Times New Roman"/>
          <w:bCs/>
        </w:rPr>
      </w:pPr>
      <w:r>
        <w:rPr>
          <w:rFonts w:ascii="Times New Roman" w:cs="Times New Roman"/>
          <w:bCs/>
        </w:rPr>
        <w:t>本项目位于保定市银定庄污水处理厂收水管网范围之内，满足银定庄污水处理厂进水水质要求，因此本项目产生的废水排入城市污水管网，经保定市银定庄污水处理厂集中处理后排入白洋淀。</w:t>
      </w:r>
    </w:p>
    <w:p>
      <w:pPr>
        <w:pStyle w:val="51"/>
        <w:spacing w:line="360" w:lineRule="auto"/>
        <w:ind w:firstLineChars="200"/>
        <w:rPr>
          <w:rFonts w:ascii="Times New Roman" w:cs="Times New Roman"/>
        </w:rPr>
      </w:pPr>
      <w:r>
        <w:rPr>
          <w:rFonts w:hint="eastAsia" w:ascii="Times New Roman" w:cs="Times New Roman"/>
        </w:rPr>
        <w:t>（2）保定市垃圾处理厂概况</w:t>
      </w:r>
    </w:p>
    <w:p>
      <w:pPr>
        <w:pStyle w:val="51"/>
        <w:spacing w:line="360" w:lineRule="auto"/>
        <w:rPr>
          <w:rFonts w:ascii="Times New Roman" w:cs="Times New Roman"/>
        </w:rPr>
      </w:pPr>
      <w:r>
        <w:rPr>
          <w:rFonts w:hint="eastAsia" w:ascii="Times New Roman" w:cs="Times New Roman"/>
        </w:rPr>
        <w:t>保定市西康庄生活垃圾综合处理厂</w:t>
      </w:r>
      <w:r>
        <w:rPr>
          <w:rFonts w:ascii="Times New Roman" w:cs="Times New Roman"/>
        </w:rPr>
        <w:t>位于保定市市区东部，场区占地总面积530亩，其中卫生填埋区占地22.65万m</w:t>
      </w:r>
      <w:r>
        <w:rPr>
          <w:rFonts w:ascii="Times New Roman" w:cs="Times New Roman"/>
          <w:vertAlign w:val="superscript"/>
        </w:rPr>
        <w:t>2</w:t>
      </w:r>
      <w:r>
        <w:rPr>
          <w:rFonts w:ascii="Times New Roman" w:cs="Times New Roman"/>
        </w:rPr>
        <w:t>。设计处理能力1000t/d，2001年11月开始投入使用，设计使用年限14年。按照设计年限该垃圾</w:t>
      </w:r>
      <w:r>
        <w:rPr>
          <w:rFonts w:hint="eastAsia" w:ascii="Times New Roman" w:cs="Times New Roman"/>
        </w:rPr>
        <w:t>综合处理厂</w:t>
      </w:r>
      <w:r>
        <w:rPr>
          <w:rFonts w:ascii="Times New Roman" w:cs="Times New Roman"/>
        </w:rPr>
        <w:t>将于2015年封场关闭，为解决封场后保定市生活垃圾的处置问题，按照保定市总体规划，在2009年4月就已经开始在清苑县孙村建设垃圾焚烧发电厂。该工程垃圾焚烧炉采用具有国际先进水平的德国马丁公司的逆推式机械炉排焚烧炉。工程总投资4.88亿元，厂址占地面积为135亩，一期工程建设规模为2×600t/d的垃圾焚烧炉排炉，配2×12MW凝汽式汽轮发电机组。并预留二期工程扩建端口。投产后，将实现日处理生活垃圾1200吨，年处理量约40万吨，年发电量约1.44亿千瓦时。目前其一期工程已经建成投产。</w:t>
      </w:r>
    </w:p>
    <w:p>
      <w:pPr>
        <w:pStyle w:val="51"/>
        <w:spacing w:line="360" w:lineRule="auto"/>
        <w:rPr>
          <w:rFonts w:ascii="Times New Roman" w:cs="Times New Roman"/>
        </w:rPr>
      </w:pPr>
      <w:r>
        <w:rPr>
          <w:rFonts w:hint="eastAsia" w:ascii="Times New Roman" w:cs="Times New Roman"/>
        </w:rPr>
        <w:t>本项目产生的生活垃圾送由环卫部门统一送至</w:t>
      </w:r>
      <w:r>
        <w:rPr>
          <w:rFonts w:ascii="Times New Roman" w:cs="Times New Roman"/>
        </w:rPr>
        <w:t>圾焚烧发电厂</w:t>
      </w:r>
      <w:r>
        <w:rPr>
          <w:rFonts w:hint="eastAsia" w:ascii="Times New Roman" w:cs="Times New Roman"/>
        </w:rPr>
        <w:t>处理。</w:t>
      </w:r>
    </w:p>
    <w:p>
      <w:pPr>
        <w:pStyle w:val="3"/>
        <w:spacing w:before="0" w:after="0" w:line="360" w:lineRule="auto"/>
        <w:rPr>
          <w:rFonts w:ascii="Times New Roman" w:hAnsi="Times New Roman" w:cs="Times New Roman"/>
          <w:sz w:val="28"/>
          <w:szCs w:val="28"/>
        </w:rPr>
      </w:pPr>
      <w:bookmarkStart w:id="29" w:name="_Toc13725355"/>
      <w:r>
        <w:rPr>
          <w:rFonts w:hint="eastAsia" w:ascii="Times New Roman" w:hAnsi="Times New Roman" w:cs="Times New Roman"/>
          <w:sz w:val="28"/>
          <w:szCs w:val="28"/>
        </w:rPr>
        <w:t>4.2相关规划符合性分析</w:t>
      </w:r>
      <w:bookmarkEnd w:id="29"/>
    </w:p>
    <w:p>
      <w:pPr>
        <w:spacing w:line="360" w:lineRule="auto"/>
        <w:outlineLvl w:val="2"/>
        <w:rPr>
          <w:rFonts w:ascii="Times New Roman" w:hAnsi="宋体" w:eastAsia="宋体"/>
          <w:b/>
          <w:sz w:val="24"/>
          <w:szCs w:val="24"/>
        </w:rPr>
      </w:pPr>
      <w:r>
        <w:rPr>
          <w:rFonts w:hint="eastAsia" w:ascii="Times New Roman" w:hAnsi="宋体" w:eastAsia="宋体"/>
          <w:b/>
          <w:sz w:val="24"/>
          <w:szCs w:val="24"/>
        </w:rPr>
        <w:t>4.2.1规划总则及城市发展目标</w:t>
      </w:r>
    </w:p>
    <w:p>
      <w:pPr>
        <w:spacing w:line="360" w:lineRule="auto"/>
        <w:ind w:firstLine="480" w:firstLineChars="200"/>
        <w:rPr>
          <w:rFonts w:ascii="Times New Roman" w:hAnsi="宋体" w:eastAsia="宋体"/>
          <w:sz w:val="24"/>
          <w:szCs w:val="24"/>
        </w:rPr>
      </w:pPr>
      <w:r>
        <w:rPr>
          <w:rFonts w:ascii="Times New Roman" w:hAnsi="宋体" w:eastAsia="宋体"/>
          <w:sz w:val="24"/>
          <w:szCs w:val="24"/>
        </w:rPr>
        <w:t>总体规划期限为2001年至2020年。其中近期建设规划期限为 2005年</w:t>
      </w:r>
      <w:r>
        <w:rPr>
          <w:rFonts w:hint="eastAsia" w:ascii="Times New Roman" w:hAnsi="宋体" w:eastAsia="宋体"/>
          <w:sz w:val="24"/>
          <w:szCs w:val="24"/>
        </w:rPr>
        <w:t>，</w:t>
      </w:r>
      <w:r>
        <w:rPr>
          <w:rFonts w:ascii="Times New Roman" w:hAnsi="宋体" w:eastAsia="宋体"/>
          <w:sz w:val="24"/>
          <w:szCs w:val="24"/>
        </w:rPr>
        <w:t xml:space="preserve">城市远景规划展望到本世纪中叶。 </w:t>
      </w:r>
    </w:p>
    <w:p>
      <w:pPr>
        <w:spacing w:line="360" w:lineRule="auto"/>
        <w:ind w:firstLine="480" w:firstLineChars="200"/>
        <w:rPr>
          <w:rFonts w:ascii="Times New Roman" w:hAnsi="宋体" w:eastAsia="宋体"/>
          <w:sz w:val="24"/>
          <w:szCs w:val="24"/>
        </w:rPr>
      </w:pPr>
      <w:r>
        <w:rPr>
          <w:rFonts w:ascii="Times New Roman" w:hAnsi="宋体" w:eastAsia="宋体"/>
          <w:sz w:val="24"/>
          <w:szCs w:val="24"/>
        </w:rPr>
        <w:t>总体规划范围分为三个层次:一是市域</w:t>
      </w:r>
      <w:r>
        <w:rPr>
          <w:rFonts w:hint="eastAsia" w:ascii="Times New Roman" w:hAnsi="宋体" w:eastAsia="宋体"/>
          <w:sz w:val="24"/>
          <w:szCs w:val="24"/>
        </w:rPr>
        <w:t>，</w:t>
      </w:r>
      <w:r>
        <w:rPr>
          <w:rFonts w:ascii="Times New Roman" w:hAnsi="宋体" w:eastAsia="宋体"/>
          <w:sz w:val="24"/>
          <w:szCs w:val="24"/>
        </w:rPr>
        <w:t>即保定市行政区域</w:t>
      </w:r>
      <w:r>
        <w:rPr>
          <w:rFonts w:hint="eastAsia" w:ascii="Times New Roman" w:hAnsi="宋体" w:eastAsia="宋体"/>
          <w:sz w:val="24"/>
          <w:szCs w:val="24"/>
        </w:rPr>
        <w:t>，</w:t>
      </w:r>
      <w:r>
        <w:rPr>
          <w:rFonts w:ascii="Times New Roman" w:hAnsi="宋体" w:eastAsia="宋体"/>
          <w:sz w:val="24"/>
          <w:szCs w:val="24"/>
        </w:rPr>
        <w:t>总面积 22113平方公里</w:t>
      </w:r>
      <w:r>
        <w:rPr>
          <w:rFonts w:hint="eastAsia" w:ascii="Times New Roman" w:hAnsi="宋体" w:eastAsia="宋体"/>
          <w:sz w:val="24"/>
          <w:szCs w:val="24"/>
        </w:rPr>
        <w:t>；</w:t>
      </w:r>
      <w:r>
        <w:rPr>
          <w:rFonts w:ascii="Times New Roman" w:hAnsi="宋体" w:eastAsia="宋体"/>
          <w:sz w:val="24"/>
          <w:szCs w:val="24"/>
        </w:rPr>
        <w:t>二是市区</w:t>
      </w:r>
      <w:r>
        <w:rPr>
          <w:rFonts w:hint="eastAsia" w:ascii="Times New Roman" w:hAnsi="宋体" w:eastAsia="宋体"/>
          <w:sz w:val="24"/>
          <w:szCs w:val="24"/>
        </w:rPr>
        <w:t>，</w:t>
      </w:r>
      <w:r>
        <w:rPr>
          <w:rFonts w:ascii="Times New Roman" w:hAnsi="宋体" w:eastAsia="宋体"/>
          <w:sz w:val="24"/>
          <w:szCs w:val="24"/>
        </w:rPr>
        <w:t>即市区行政区范围</w:t>
      </w:r>
      <w:r>
        <w:rPr>
          <w:rFonts w:hint="eastAsia" w:ascii="Times New Roman" w:hAnsi="宋体" w:eastAsia="宋体"/>
          <w:sz w:val="24"/>
          <w:szCs w:val="24"/>
        </w:rPr>
        <w:t>，</w:t>
      </w:r>
      <w:r>
        <w:rPr>
          <w:rFonts w:ascii="Times New Roman" w:hAnsi="宋体" w:eastAsia="宋体"/>
          <w:sz w:val="24"/>
          <w:szCs w:val="24"/>
        </w:rPr>
        <w:t>面积 312.3平方公里</w:t>
      </w:r>
      <w:r>
        <w:rPr>
          <w:rFonts w:hint="eastAsia" w:ascii="Times New Roman" w:hAnsi="宋体" w:eastAsia="宋体"/>
          <w:sz w:val="24"/>
          <w:szCs w:val="24"/>
        </w:rPr>
        <w:t>；</w:t>
      </w:r>
      <w:r>
        <w:rPr>
          <w:rFonts w:ascii="Times New Roman" w:hAnsi="宋体" w:eastAsia="宋体"/>
          <w:sz w:val="24"/>
          <w:szCs w:val="24"/>
        </w:rPr>
        <w:t>三是主城区</w:t>
      </w:r>
      <w:r>
        <w:rPr>
          <w:rFonts w:hint="eastAsia" w:ascii="Times New Roman" w:hAnsi="宋体" w:eastAsia="宋体"/>
          <w:sz w:val="24"/>
          <w:szCs w:val="24"/>
        </w:rPr>
        <w:t>，</w:t>
      </w:r>
      <w:r>
        <w:rPr>
          <w:rFonts w:ascii="Times New Roman" w:hAnsi="宋体" w:eastAsia="宋体"/>
          <w:sz w:val="24"/>
          <w:szCs w:val="24"/>
        </w:rPr>
        <w:t xml:space="preserve">即规划城市建设用地范围。 </w:t>
      </w:r>
    </w:p>
    <w:p>
      <w:pPr>
        <w:spacing w:line="360" w:lineRule="auto"/>
        <w:ind w:firstLine="480" w:firstLineChars="200"/>
        <w:rPr>
          <w:rFonts w:ascii="Times New Roman" w:hAnsi="宋体" w:eastAsia="宋体"/>
          <w:sz w:val="24"/>
          <w:szCs w:val="24"/>
        </w:rPr>
      </w:pPr>
      <w:r>
        <w:rPr>
          <w:rFonts w:ascii="Times New Roman" w:hAnsi="宋体" w:eastAsia="宋体"/>
          <w:sz w:val="24"/>
          <w:szCs w:val="24"/>
        </w:rPr>
        <w:t>本期城市总体规划确定城市规划区范围包括</w:t>
      </w:r>
      <w:r>
        <w:rPr>
          <w:rFonts w:hint="eastAsia" w:ascii="Times New Roman" w:hAnsi="宋体" w:eastAsia="宋体"/>
          <w:sz w:val="24"/>
          <w:szCs w:val="24"/>
        </w:rPr>
        <w:t>：</w:t>
      </w:r>
      <w:r>
        <w:rPr>
          <w:rFonts w:ascii="Times New Roman" w:hAnsi="宋体" w:eastAsia="宋体"/>
          <w:sz w:val="24"/>
          <w:szCs w:val="24"/>
        </w:rPr>
        <w:t>市区 (312.3平方公里)</w:t>
      </w:r>
      <w:r>
        <w:rPr>
          <w:rFonts w:hint="eastAsia" w:ascii="Times New Roman" w:hAnsi="宋体" w:eastAsia="宋体"/>
          <w:sz w:val="24"/>
          <w:szCs w:val="24"/>
        </w:rPr>
        <w:t>，</w:t>
      </w:r>
      <w:r>
        <w:rPr>
          <w:rFonts w:ascii="Times New Roman" w:hAnsi="宋体" w:eastAsia="宋体"/>
          <w:sz w:val="24"/>
          <w:szCs w:val="24"/>
        </w:rPr>
        <w:t>白洋淀区(366平方公里)</w:t>
      </w:r>
      <w:r>
        <w:rPr>
          <w:rFonts w:hint="eastAsia" w:ascii="Times New Roman" w:hAnsi="宋体" w:eastAsia="宋体"/>
          <w:sz w:val="24"/>
          <w:szCs w:val="24"/>
        </w:rPr>
        <w:t>，</w:t>
      </w:r>
      <w:r>
        <w:rPr>
          <w:rFonts w:ascii="Times New Roman" w:hAnsi="宋体" w:eastAsia="宋体"/>
          <w:sz w:val="24"/>
          <w:szCs w:val="24"/>
        </w:rPr>
        <w:t>西大洋水库水源地保护区 (210平方公里)</w:t>
      </w:r>
      <w:r>
        <w:rPr>
          <w:rFonts w:hint="eastAsia" w:ascii="Times New Roman" w:hAnsi="宋体" w:eastAsia="宋体"/>
          <w:sz w:val="24"/>
          <w:szCs w:val="24"/>
        </w:rPr>
        <w:t>，</w:t>
      </w:r>
      <w:r>
        <w:rPr>
          <w:rFonts w:ascii="Times New Roman" w:hAnsi="宋体" w:eastAsia="宋体"/>
          <w:sz w:val="24"/>
          <w:szCs w:val="24"/>
        </w:rPr>
        <w:t>一亩泉水源地保护区 (28平方公里)</w:t>
      </w:r>
      <w:r>
        <w:rPr>
          <w:rFonts w:hint="eastAsia" w:ascii="Times New Roman" w:hAnsi="宋体" w:eastAsia="宋体"/>
          <w:sz w:val="24"/>
          <w:szCs w:val="24"/>
        </w:rPr>
        <w:t>，</w:t>
      </w:r>
      <w:r>
        <w:rPr>
          <w:rFonts w:ascii="Times New Roman" w:hAnsi="宋体" w:eastAsia="宋体"/>
          <w:sz w:val="24"/>
          <w:szCs w:val="24"/>
        </w:rPr>
        <w:t xml:space="preserve">总面积为916.3平方公里。城市规划区内一切建设活动必须符合城市 总体规划的要求。 </w:t>
      </w:r>
    </w:p>
    <w:p>
      <w:pPr>
        <w:spacing w:line="360" w:lineRule="auto"/>
        <w:ind w:firstLine="480" w:firstLineChars="200"/>
        <w:rPr>
          <w:rFonts w:ascii="Times New Roman" w:hAnsi="宋体" w:eastAsia="宋体"/>
          <w:b/>
          <w:sz w:val="24"/>
          <w:szCs w:val="24"/>
        </w:rPr>
      </w:pPr>
      <w:r>
        <w:rPr>
          <w:rFonts w:ascii="Times New Roman" w:hAnsi="宋体" w:eastAsia="宋体"/>
          <w:sz w:val="24"/>
          <w:szCs w:val="24"/>
        </w:rPr>
        <w:t>2020年</w:t>
      </w:r>
      <w:r>
        <w:rPr>
          <w:rFonts w:hint="eastAsia" w:ascii="Times New Roman" w:hAnsi="宋体" w:eastAsia="宋体"/>
          <w:sz w:val="24"/>
          <w:szCs w:val="24"/>
        </w:rPr>
        <w:t>，</w:t>
      </w:r>
      <w:r>
        <w:rPr>
          <w:rFonts w:ascii="Times New Roman" w:hAnsi="宋体" w:eastAsia="宋体"/>
          <w:sz w:val="24"/>
          <w:szCs w:val="24"/>
        </w:rPr>
        <w:t>全市城镇化水平达到50%</w:t>
      </w:r>
      <w:r>
        <w:rPr>
          <w:rFonts w:hint="eastAsia" w:ascii="Times New Roman" w:hAnsi="宋体" w:eastAsia="宋体"/>
          <w:sz w:val="24"/>
          <w:szCs w:val="24"/>
        </w:rPr>
        <w:t>，</w:t>
      </w:r>
      <w:r>
        <w:rPr>
          <w:rFonts w:ascii="Times New Roman" w:hAnsi="宋体" w:eastAsia="宋体"/>
          <w:sz w:val="24"/>
          <w:szCs w:val="24"/>
        </w:rPr>
        <w:t>全市总人口控制在1200万人左右</w:t>
      </w:r>
      <w:r>
        <w:rPr>
          <w:rFonts w:hint="eastAsia" w:ascii="Times New Roman" w:hAnsi="宋体" w:eastAsia="宋体"/>
          <w:sz w:val="24"/>
          <w:szCs w:val="24"/>
        </w:rPr>
        <w:t>，</w:t>
      </w:r>
      <w:r>
        <w:rPr>
          <w:rFonts w:ascii="Times New Roman" w:hAnsi="宋体" w:eastAsia="宋体"/>
          <w:sz w:val="24"/>
          <w:szCs w:val="24"/>
        </w:rPr>
        <w:t xml:space="preserve">主城区人口控制在115万。市域形成 1个中心城市、11个县级市、11个县城、150个建制镇的城镇体系。建成产业结构优化、布局合理、功能齐全、基础设施完善、 交通便捷、生活舒适、环境优美、具有古城特色的现代化园林城市。 </w:t>
      </w:r>
      <w:r>
        <w:rPr>
          <w:rFonts w:hint="eastAsia" w:ascii="Times New Roman" w:hAnsi="宋体" w:eastAsia="宋体"/>
          <w:sz w:val="24"/>
          <w:szCs w:val="24"/>
        </w:rPr>
        <w:br w:type="textWrapping"/>
      </w:r>
      <w:r>
        <w:rPr>
          <w:rFonts w:hint="eastAsia" w:ascii="Times New Roman" w:hAnsi="宋体" w:eastAsia="宋体"/>
          <w:b/>
          <w:sz w:val="24"/>
          <w:szCs w:val="24"/>
        </w:rPr>
        <w:t>4.2.2</w:t>
      </w:r>
      <w:r>
        <w:rPr>
          <w:rFonts w:ascii="Times New Roman" w:hAnsi="宋体" w:eastAsia="宋体"/>
          <w:b/>
          <w:sz w:val="24"/>
          <w:szCs w:val="24"/>
        </w:rPr>
        <w:t>主城区总体规划</w:t>
      </w:r>
    </w:p>
    <w:p>
      <w:pPr>
        <w:spacing w:line="360" w:lineRule="auto"/>
        <w:ind w:firstLine="480" w:firstLineChars="200"/>
        <w:rPr>
          <w:rFonts w:ascii="Times New Roman" w:hAnsi="宋体" w:eastAsia="宋体"/>
          <w:sz w:val="24"/>
          <w:szCs w:val="24"/>
        </w:rPr>
      </w:pPr>
      <w:r>
        <w:rPr>
          <w:rFonts w:ascii="Times New Roman" w:hAnsi="宋体" w:eastAsia="宋体"/>
          <w:sz w:val="24"/>
          <w:szCs w:val="24"/>
        </w:rPr>
        <w:t>保定市城市性质为</w:t>
      </w:r>
      <w:r>
        <w:rPr>
          <w:rFonts w:hint="eastAsia" w:ascii="Times New Roman" w:hAnsi="宋体" w:eastAsia="宋体"/>
          <w:sz w:val="24"/>
          <w:szCs w:val="24"/>
        </w:rPr>
        <w:t>：</w:t>
      </w:r>
      <w:r>
        <w:rPr>
          <w:rFonts w:ascii="Times New Roman" w:hAnsi="宋体" w:eastAsia="宋体"/>
          <w:sz w:val="24"/>
          <w:szCs w:val="24"/>
        </w:rPr>
        <w:t>国家级历史文化名城</w:t>
      </w:r>
      <w:r>
        <w:rPr>
          <w:rFonts w:hint="eastAsia" w:ascii="Times New Roman" w:hAnsi="宋体" w:eastAsia="宋体"/>
          <w:sz w:val="24"/>
          <w:szCs w:val="24"/>
        </w:rPr>
        <w:t>，</w:t>
      </w:r>
      <w:r>
        <w:rPr>
          <w:rFonts w:ascii="Times New Roman" w:hAnsi="宋体" w:eastAsia="宋体"/>
          <w:sz w:val="24"/>
          <w:szCs w:val="24"/>
        </w:rPr>
        <w:t xml:space="preserve">冀中地区中心城市。 </w:t>
      </w:r>
    </w:p>
    <w:p>
      <w:pPr>
        <w:spacing w:line="360" w:lineRule="auto"/>
        <w:ind w:firstLine="480" w:firstLineChars="200"/>
        <w:rPr>
          <w:rFonts w:ascii="Times New Roman" w:hAnsi="宋体" w:eastAsia="宋体"/>
          <w:sz w:val="24"/>
          <w:szCs w:val="24"/>
        </w:rPr>
      </w:pPr>
      <w:r>
        <w:rPr>
          <w:rFonts w:ascii="Times New Roman" w:hAnsi="宋体" w:eastAsia="宋体"/>
          <w:sz w:val="24"/>
          <w:szCs w:val="24"/>
        </w:rPr>
        <w:t>城市建设用地发展方向为</w:t>
      </w:r>
      <w:r>
        <w:rPr>
          <w:rFonts w:hint="eastAsia" w:ascii="Times New Roman" w:hAnsi="宋体" w:eastAsia="宋体"/>
          <w:sz w:val="24"/>
          <w:szCs w:val="24"/>
        </w:rPr>
        <w:t>：</w:t>
      </w:r>
      <w:r>
        <w:rPr>
          <w:rFonts w:ascii="Times New Roman" w:hAnsi="宋体" w:eastAsia="宋体"/>
          <w:sz w:val="24"/>
          <w:szCs w:val="24"/>
        </w:rPr>
        <w:t>近期主要向北发展</w:t>
      </w:r>
      <w:r>
        <w:rPr>
          <w:rFonts w:hint="eastAsia" w:ascii="Times New Roman" w:hAnsi="宋体" w:eastAsia="宋体"/>
          <w:sz w:val="24"/>
          <w:szCs w:val="24"/>
        </w:rPr>
        <w:t>，</w:t>
      </w:r>
      <w:r>
        <w:rPr>
          <w:rFonts w:ascii="Times New Roman" w:hAnsi="宋体" w:eastAsia="宋体"/>
          <w:sz w:val="24"/>
          <w:szCs w:val="24"/>
        </w:rPr>
        <w:t>适当向东发展</w:t>
      </w:r>
      <w:r>
        <w:rPr>
          <w:rFonts w:hint="eastAsia" w:ascii="Times New Roman" w:hAnsi="宋体" w:eastAsia="宋体"/>
          <w:sz w:val="24"/>
          <w:szCs w:val="24"/>
        </w:rPr>
        <w:t>，</w:t>
      </w:r>
      <w:r>
        <w:rPr>
          <w:rFonts w:ascii="Times New Roman" w:hAnsi="宋体" w:eastAsia="宋体"/>
          <w:sz w:val="24"/>
          <w:szCs w:val="24"/>
        </w:rPr>
        <w:t>控制向西发展</w:t>
      </w:r>
      <w:r>
        <w:rPr>
          <w:rFonts w:hint="eastAsia" w:ascii="Times New Roman" w:hAnsi="宋体" w:eastAsia="宋体"/>
          <w:sz w:val="24"/>
          <w:szCs w:val="24"/>
        </w:rPr>
        <w:t>；</w:t>
      </w:r>
      <w:r>
        <w:rPr>
          <w:rFonts w:ascii="Times New Roman" w:hAnsi="宋体" w:eastAsia="宋体"/>
          <w:sz w:val="24"/>
          <w:szCs w:val="24"/>
        </w:rPr>
        <w:t>远期主要向北、东北方向发展</w:t>
      </w:r>
      <w:r>
        <w:rPr>
          <w:rFonts w:hint="eastAsia" w:ascii="Times New Roman" w:hAnsi="宋体" w:eastAsia="宋体"/>
          <w:sz w:val="24"/>
          <w:szCs w:val="24"/>
        </w:rPr>
        <w:t>，</w:t>
      </w:r>
      <w:r>
        <w:rPr>
          <w:rFonts w:ascii="Times New Roman" w:hAnsi="宋体" w:eastAsia="宋体"/>
          <w:sz w:val="24"/>
          <w:szCs w:val="24"/>
        </w:rPr>
        <w:t xml:space="preserve">适当向东、向南发展。 </w:t>
      </w:r>
    </w:p>
    <w:p>
      <w:pPr>
        <w:spacing w:line="360" w:lineRule="auto"/>
        <w:ind w:firstLine="480" w:firstLineChars="200"/>
        <w:rPr>
          <w:rFonts w:ascii="Times New Roman" w:hAnsi="宋体" w:eastAsia="宋体"/>
          <w:sz w:val="24"/>
          <w:szCs w:val="24"/>
        </w:rPr>
      </w:pPr>
      <w:r>
        <w:rPr>
          <w:rFonts w:ascii="Times New Roman" w:hAnsi="宋体" w:eastAsia="宋体"/>
          <w:sz w:val="24"/>
          <w:szCs w:val="24"/>
        </w:rPr>
        <w:t xml:space="preserve">依托铁路、河流、防洪堤、城市环路,形成"四环、五线、多片"点、线、面相结合的绿化系统。"四环"是沿护城河、防洪堤、二环、三环两侧形成的绿环。"五线 " 是沿京广铁路、一亩泉河、府河、侯河、清水河、金线河形成的绿带。 "多片"是市区内大型公共绿地。 </w:t>
      </w:r>
    </w:p>
    <w:p>
      <w:pPr>
        <w:spacing w:line="360" w:lineRule="auto"/>
        <w:ind w:firstLine="480" w:firstLineChars="200"/>
        <w:rPr>
          <w:rFonts w:ascii="Times New Roman" w:hAnsi="宋体" w:eastAsia="宋体"/>
          <w:sz w:val="24"/>
          <w:szCs w:val="24"/>
        </w:rPr>
      </w:pPr>
      <w:r>
        <w:rPr>
          <w:rFonts w:ascii="Times New Roman" w:hAnsi="宋体" w:eastAsia="宋体"/>
          <w:sz w:val="24"/>
          <w:szCs w:val="24"/>
        </w:rPr>
        <w:t>住宅建设以开发北片居住区、旧城改造及城中村改造为主</w:t>
      </w:r>
      <w:r>
        <w:rPr>
          <w:rFonts w:hint="eastAsia" w:ascii="Times New Roman" w:hAnsi="宋体" w:eastAsia="宋体"/>
          <w:sz w:val="24"/>
          <w:szCs w:val="24"/>
        </w:rPr>
        <w:t>，</w:t>
      </w:r>
      <w:r>
        <w:rPr>
          <w:rFonts w:ascii="Times New Roman" w:hAnsi="宋体" w:eastAsia="宋体"/>
          <w:sz w:val="24"/>
          <w:szCs w:val="24"/>
        </w:rPr>
        <w:t>兼顾朝阳南大街居住区的建设</w:t>
      </w:r>
      <w:r>
        <w:rPr>
          <w:rFonts w:hint="eastAsia" w:ascii="Times New Roman" w:hAnsi="宋体" w:eastAsia="宋体"/>
          <w:sz w:val="24"/>
          <w:szCs w:val="24"/>
        </w:rPr>
        <w:t>；</w:t>
      </w:r>
      <w:r>
        <w:rPr>
          <w:rFonts w:ascii="Times New Roman" w:hAnsi="宋体" w:eastAsia="宋体"/>
          <w:sz w:val="24"/>
          <w:szCs w:val="24"/>
        </w:rPr>
        <w:t>调整城市工业布局</w:t>
      </w:r>
      <w:r>
        <w:rPr>
          <w:rFonts w:hint="eastAsia" w:ascii="Times New Roman" w:hAnsi="宋体" w:eastAsia="宋体"/>
          <w:sz w:val="24"/>
          <w:szCs w:val="24"/>
        </w:rPr>
        <w:t>；</w:t>
      </w:r>
      <w:r>
        <w:rPr>
          <w:rFonts w:ascii="Times New Roman" w:hAnsi="宋体" w:eastAsia="宋体"/>
          <w:sz w:val="24"/>
          <w:szCs w:val="24"/>
        </w:rPr>
        <w:t>重点发展民营科技园区、东南片工业区和高新技术产业开发区</w:t>
      </w:r>
      <w:r>
        <w:rPr>
          <w:rFonts w:hint="eastAsia" w:ascii="Times New Roman" w:hAnsi="宋体" w:eastAsia="宋体"/>
          <w:sz w:val="24"/>
          <w:szCs w:val="24"/>
        </w:rPr>
        <w:t>；</w:t>
      </w:r>
      <w:r>
        <w:rPr>
          <w:rFonts w:ascii="Times New Roman" w:hAnsi="宋体" w:eastAsia="宋体"/>
          <w:sz w:val="24"/>
          <w:szCs w:val="24"/>
        </w:rPr>
        <w:t>整合西部工业区。启动市区河道还清工程</w:t>
      </w:r>
      <w:r>
        <w:rPr>
          <w:rFonts w:hint="eastAsia" w:ascii="Times New Roman" w:hAnsi="宋体" w:eastAsia="宋体"/>
          <w:sz w:val="24"/>
          <w:szCs w:val="24"/>
        </w:rPr>
        <w:t>，</w:t>
      </w:r>
      <w:r>
        <w:rPr>
          <w:rFonts w:ascii="Times New Roman" w:hAnsi="宋体" w:eastAsia="宋体"/>
          <w:sz w:val="24"/>
          <w:szCs w:val="24"/>
        </w:rPr>
        <w:t>逐步整治河道及周围环境。续建环古城滨河公园</w:t>
      </w:r>
      <w:r>
        <w:rPr>
          <w:rFonts w:hint="eastAsia" w:ascii="Times New Roman" w:hAnsi="宋体" w:eastAsia="宋体"/>
          <w:sz w:val="24"/>
          <w:szCs w:val="24"/>
        </w:rPr>
        <w:t>；</w:t>
      </w:r>
      <w:r>
        <w:rPr>
          <w:rFonts w:ascii="Times New Roman" w:hAnsi="宋体" w:eastAsia="宋体"/>
          <w:sz w:val="24"/>
          <w:szCs w:val="24"/>
        </w:rPr>
        <w:t>续建植物园</w:t>
      </w:r>
      <w:r>
        <w:rPr>
          <w:rFonts w:hint="eastAsia" w:ascii="Times New Roman" w:hAnsi="宋体" w:eastAsia="宋体"/>
          <w:sz w:val="24"/>
          <w:szCs w:val="24"/>
        </w:rPr>
        <w:t>；</w:t>
      </w:r>
      <w:r>
        <w:rPr>
          <w:rFonts w:ascii="Times New Roman" w:hAnsi="宋体" w:eastAsia="宋体"/>
          <w:sz w:val="24"/>
          <w:szCs w:val="24"/>
        </w:rPr>
        <w:t>启动水上公园的建设</w:t>
      </w:r>
      <w:r>
        <w:rPr>
          <w:rFonts w:hint="eastAsia" w:ascii="Times New Roman" w:hAnsi="宋体" w:eastAsia="宋体"/>
          <w:sz w:val="24"/>
          <w:szCs w:val="24"/>
        </w:rPr>
        <w:t>；</w:t>
      </w:r>
      <w:r>
        <w:rPr>
          <w:rFonts w:ascii="Times New Roman" w:hAnsi="宋体" w:eastAsia="宋体"/>
          <w:sz w:val="24"/>
          <w:szCs w:val="24"/>
        </w:rPr>
        <w:t>加强街头游园绿地建设</w:t>
      </w:r>
      <w:r>
        <w:rPr>
          <w:rFonts w:hint="eastAsia" w:ascii="Times New Roman" w:hAnsi="宋体" w:eastAsia="宋体"/>
          <w:sz w:val="24"/>
          <w:szCs w:val="24"/>
        </w:rPr>
        <w:t>；</w:t>
      </w:r>
      <w:r>
        <w:rPr>
          <w:rFonts w:ascii="Times New Roman" w:hAnsi="宋体" w:eastAsia="宋体"/>
          <w:sz w:val="24"/>
          <w:szCs w:val="24"/>
        </w:rPr>
        <w:t>强化防洪堤绿化及城市干道两侧绿化工程。推进 " 一城三星 " 都市区建设 , 促进区域协调发展。</w:t>
      </w:r>
    </w:p>
    <w:p>
      <w:pPr>
        <w:spacing w:line="360" w:lineRule="auto"/>
        <w:rPr>
          <w:rFonts w:ascii="Times New Roman" w:hAnsi="宋体" w:eastAsia="宋体"/>
          <w:sz w:val="24"/>
          <w:szCs w:val="24"/>
        </w:rPr>
      </w:pPr>
      <w:r>
        <w:rPr>
          <w:rFonts w:hint="eastAsia" w:ascii="Times New Roman" w:hAnsi="宋体" w:eastAsia="宋体"/>
          <w:b/>
          <w:sz w:val="24"/>
          <w:szCs w:val="24"/>
        </w:rPr>
        <w:t>4.2.3</w:t>
      </w:r>
      <w:r>
        <w:rPr>
          <w:rFonts w:ascii="Times New Roman" w:hAnsi="宋体" w:eastAsia="宋体"/>
          <w:b/>
          <w:sz w:val="24"/>
          <w:szCs w:val="24"/>
        </w:rPr>
        <w:t>主城区总体规划</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建设以现代化大型综合医院为核心，专科医院为补充的医疗卫生设施，形成市级、社区级两级医疗卫生体系。中心城区建设大型综合医疗中心和专科医院，各地区中心应配备相应规模的综合性医院，提高现有区级医疗卫生设施的标准，建立完善的医疗保健网络。保留现有的三级和部分二级（包括达到二级标准的）大中型医疗机构，其余向社区医院转型。新建二级以上的综合医院服务间距应大于1500米。构建以大中型医疗预防保健机构为中心、社区卫生服务中心为基础、社区卫生服务站为前哨的三级社区卫生服务网络。</w:t>
      </w:r>
    </w:p>
    <w:p>
      <w:pPr>
        <w:rPr>
          <w:rFonts w:ascii="Times New Roman" w:hAnsi="宋体" w:eastAsia="宋体"/>
          <w:b/>
          <w:sz w:val="24"/>
          <w:szCs w:val="24"/>
        </w:rPr>
      </w:pPr>
      <w:r>
        <w:rPr>
          <w:rFonts w:hint="eastAsia" w:ascii="Times New Roman" w:hAnsi="宋体" w:eastAsia="宋体"/>
          <w:b/>
          <w:sz w:val="24"/>
          <w:szCs w:val="24"/>
        </w:rPr>
        <w:t>4.2.4燃气工程规划</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1）规划天然气和液化气两种气源。天然气气源为陕西靖边天然气，通过陕—京线，京—邯线进入保定市，在保定市西部设天然气门站；液化气气源为北京炼油厂、华北石油炼油厂。根据国家能源规划考虑引进天然气第二气源。2020年实现气化率100%，天然气覆盖率达到用气人口的90%，其余使用瓶装液化气。</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（2）燃气高中压调压站及储配站围墙外控制宽度不小于10 米的隔离保护用地，应距离建筑物30~60 米；燃气接收门站外控制不小于35 米的隔离保护用地，应距离建筑物30~60米；京石天然气干线以及第二气源线等长输管线两侧各需50米以上的控制区；天然气及成品油管道在城市建设区内两侧各控制30米以上，在城市建设区外两侧各控制100米以上。</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（3）2010 年，实现气化率100%，管道天然气覆盖率达到用气人口的75%，25%使用瓶装液化气。液化气站维持现有规模，实施陕甘天然气二期建设，达到2.7亿立方米/年的规模，同时寻求第二气源，完善管网以及压缩天然气（CNG）加气站建设。</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4）2020年各市、县城区气化率达到100%，其中管道天然气气化率达到90%。依据国家天然气发展规划，适时引入管道天然气，各县（市）预留天然气门站以及储配站位置。除中心城区外，各县采用中压B——小区调压器——低压的供气模式。形成以天然气为主，液化石油气为辅的供气格局。</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目前，燃气管网已覆盖建设项目所在区域。</w:t>
      </w:r>
    </w:p>
    <w:p>
      <w:pPr>
        <w:spacing w:line="360" w:lineRule="auto"/>
        <w:outlineLvl w:val="2"/>
        <w:rPr>
          <w:rFonts w:ascii="Times New Roman" w:hAnsi="宋体" w:eastAsia="宋体"/>
          <w:b/>
          <w:sz w:val="24"/>
          <w:szCs w:val="24"/>
        </w:rPr>
      </w:pPr>
      <w:r>
        <w:rPr>
          <w:rFonts w:hint="eastAsia" w:ascii="Times New Roman" w:hAnsi="宋体" w:eastAsia="宋体"/>
          <w:b/>
          <w:sz w:val="24"/>
          <w:szCs w:val="24"/>
        </w:rPr>
        <w:t>4.2.5河北省生态保护红线</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中共中央办公室、国务院办公厅于</w:t>
      </w:r>
      <w:r>
        <w:rPr>
          <w:rFonts w:ascii="Times New Roman" w:hAnsi="宋体" w:eastAsia="宋体"/>
          <w:sz w:val="24"/>
          <w:szCs w:val="24"/>
        </w:rPr>
        <w:t xml:space="preserve">2017 </w:t>
      </w:r>
      <w:r>
        <w:rPr>
          <w:rFonts w:hint="eastAsia" w:ascii="Times New Roman" w:hAnsi="宋体" w:eastAsia="宋体"/>
          <w:sz w:val="24"/>
          <w:szCs w:val="24"/>
        </w:rPr>
        <w:t>年</w:t>
      </w:r>
      <w:r>
        <w:rPr>
          <w:rFonts w:ascii="Times New Roman" w:hAnsi="宋体" w:eastAsia="宋体"/>
          <w:sz w:val="24"/>
          <w:szCs w:val="24"/>
        </w:rPr>
        <w:t xml:space="preserve">2 </w:t>
      </w:r>
      <w:r>
        <w:rPr>
          <w:rFonts w:hint="eastAsia" w:ascii="Times New Roman" w:hAnsi="宋体" w:eastAsia="宋体"/>
          <w:sz w:val="24"/>
          <w:szCs w:val="24"/>
        </w:rPr>
        <w:t>月</w:t>
      </w:r>
      <w:r>
        <w:rPr>
          <w:rFonts w:ascii="Times New Roman" w:hAnsi="宋体" w:eastAsia="宋体"/>
          <w:sz w:val="24"/>
          <w:szCs w:val="24"/>
        </w:rPr>
        <w:t xml:space="preserve">7 </w:t>
      </w:r>
      <w:r>
        <w:rPr>
          <w:rFonts w:hint="eastAsia" w:ascii="Times New Roman" w:hAnsi="宋体" w:eastAsia="宋体"/>
          <w:sz w:val="24"/>
          <w:szCs w:val="24"/>
        </w:rPr>
        <w:t>日印发了《关于划定并严守生态保护红线的若干意见》，</w:t>
      </w:r>
      <w:r>
        <w:rPr>
          <w:rFonts w:ascii="Times New Roman" w:hAnsi="宋体" w:eastAsia="宋体"/>
          <w:sz w:val="24"/>
          <w:szCs w:val="24"/>
        </w:rPr>
        <w:t xml:space="preserve">2017 </w:t>
      </w:r>
      <w:r>
        <w:rPr>
          <w:rFonts w:hint="eastAsia" w:ascii="Times New Roman" w:hAnsi="宋体" w:eastAsia="宋体"/>
          <w:sz w:val="24"/>
          <w:szCs w:val="24"/>
        </w:rPr>
        <w:t>年年底前，京津冀区域、长江经济带沿线各省（直辖市）划定生态保护红线；</w:t>
      </w:r>
      <w:r>
        <w:rPr>
          <w:rFonts w:ascii="Times New Roman" w:hAnsi="宋体" w:eastAsia="宋体"/>
          <w:sz w:val="24"/>
          <w:szCs w:val="24"/>
        </w:rPr>
        <w:t xml:space="preserve">2018 </w:t>
      </w:r>
      <w:r>
        <w:rPr>
          <w:rFonts w:hint="eastAsia" w:ascii="Times New Roman" w:hAnsi="宋体" w:eastAsia="宋体"/>
          <w:sz w:val="24"/>
          <w:szCs w:val="24"/>
        </w:rPr>
        <w:t>年年底前，其他省（自治区、直辖市）划定生态保护红线；</w:t>
      </w:r>
      <w:r>
        <w:rPr>
          <w:rFonts w:ascii="Times New Roman" w:hAnsi="宋体" w:eastAsia="宋体"/>
          <w:sz w:val="24"/>
          <w:szCs w:val="24"/>
        </w:rPr>
        <w:t>2020</w:t>
      </w:r>
      <w:r>
        <w:rPr>
          <w:rFonts w:hint="eastAsia" w:ascii="Times New Roman" w:hAnsi="宋体" w:eastAsia="宋体"/>
          <w:sz w:val="24"/>
          <w:szCs w:val="24"/>
        </w:rPr>
        <w:t>年年底前，全面完成全国生态保护红线划定，勘界定标，基本建立生态保护红线制度，国土生态空间得到优化和有效保护，生态功能保持稳定，国家生态安全格局更加完善。到</w:t>
      </w:r>
      <w:r>
        <w:rPr>
          <w:rFonts w:ascii="Times New Roman" w:hAnsi="宋体" w:eastAsia="宋体"/>
          <w:sz w:val="24"/>
          <w:szCs w:val="24"/>
        </w:rPr>
        <w:t xml:space="preserve">2030 </w:t>
      </w:r>
      <w:r>
        <w:rPr>
          <w:rFonts w:hint="eastAsia" w:ascii="Times New Roman" w:hAnsi="宋体" w:eastAsia="宋体"/>
          <w:sz w:val="24"/>
          <w:szCs w:val="24"/>
        </w:rPr>
        <w:t>年，生态保护红线布局进一步优化，生态保护红线制度有效实施，生态功能显著提升，国家生态安全得到全面保障。</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根据《全国生态保护“十三五”规划纲要》，京津冀区域</w:t>
      </w:r>
      <w:r>
        <w:rPr>
          <w:rFonts w:ascii="Times New Roman" w:hAnsi="宋体" w:eastAsia="宋体"/>
          <w:sz w:val="24"/>
          <w:szCs w:val="24"/>
        </w:rPr>
        <w:t xml:space="preserve">2017 </w:t>
      </w:r>
      <w:r>
        <w:rPr>
          <w:rFonts w:hint="eastAsia" w:ascii="Times New Roman" w:hAnsi="宋体" w:eastAsia="宋体"/>
          <w:sz w:val="24"/>
          <w:szCs w:val="24"/>
        </w:rPr>
        <w:t>年底将划定生态保护红线。按照自上而下和自下而上相结合的原则，各省（区、市）在科学评估的基础上划定生态保护红线，并落地到水流、森林、山岭、草原、湿地、滩涂、海洋、荒漠、冰川等生态空间。项目位于</w:t>
      </w:r>
      <w:r>
        <w:rPr>
          <w:rFonts w:ascii="Times New Roman" w:hAnsi="宋体" w:eastAsia="宋体"/>
          <w:sz w:val="24"/>
          <w:szCs w:val="24"/>
        </w:rPr>
        <w:t>保定市莲池区华电路南侧，秀兰﹒文景苑小区东侧</w:t>
      </w:r>
      <w:r>
        <w:rPr>
          <w:rFonts w:hint="eastAsia" w:ascii="Times New Roman" w:hAnsi="宋体" w:eastAsia="宋体"/>
          <w:sz w:val="24"/>
          <w:szCs w:val="24"/>
        </w:rPr>
        <w:t>，项目附近无水流、森林、山岭、草原、湿地、滩涂、海洋、荒漠、冰川等生态空间。未涉及《河北省生态环境保护“十三五”规划》中生态功能区。因此项目的建设与《河北省生态保护红线》划定的生态保护区不冲突。</w:t>
      </w:r>
    </w:p>
    <w:p>
      <w:pPr>
        <w:spacing w:line="360" w:lineRule="auto"/>
        <w:outlineLvl w:val="2"/>
        <w:rPr>
          <w:rFonts w:ascii="Times New Roman" w:hAnsi="宋体" w:eastAsia="宋体"/>
          <w:b/>
          <w:sz w:val="24"/>
          <w:szCs w:val="24"/>
        </w:rPr>
      </w:pPr>
      <w:r>
        <w:rPr>
          <w:rFonts w:hint="eastAsia" w:ascii="Times New Roman" w:hAnsi="宋体" w:eastAsia="宋体"/>
          <w:b/>
          <w:sz w:val="24"/>
          <w:szCs w:val="24"/>
        </w:rPr>
        <w:t>4.2.6环境功能区划</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根据</w:t>
      </w:r>
      <w:r>
        <w:rPr>
          <w:rFonts w:ascii="Times New Roman" w:hAnsi="宋体" w:eastAsia="宋体"/>
          <w:sz w:val="24"/>
          <w:szCs w:val="24"/>
        </w:rPr>
        <w:t>保定市</w:t>
      </w:r>
      <w:r>
        <w:rPr>
          <w:rFonts w:hint="eastAsia" w:ascii="Times New Roman" w:hAnsi="宋体" w:eastAsia="宋体"/>
          <w:sz w:val="24"/>
          <w:szCs w:val="24"/>
        </w:rPr>
        <w:t>环境功能区划，建设地区各环境要素的规划功能为：</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（1）环境空气</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拟建项目位于环境空气质量功能区分类中的二类区，环境空气质量应符合《环境空气质量标准》</w:t>
      </w:r>
      <w:r>
        <w:rPr>
          <w:rFonts w:ascii="Times New Roman" w:hAnsi="宋体" w:eastAsia="宋体"/>
          <w:sz w:val="24"/>
          <w:szCs w:val="24"/>
        </w:rPr>
        <w:t>(GB3095-2012)</w:t>
      </w:r>
      <w:r>
        <w:rPr>
          <w:rFonts w:hint="eastAsia" w:ascii="Times New Roman" w:hAnsi="宋体" w:eastAsia="宋体"/>
          <w:sz w:val="24"/>
          <w:szCs w:val="24"/>
        </w:rPr>
        <w:t>二级标准。</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（2）地下水环境</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拟建项目附近地下水主要功能是生活饮用水，地下水环境应符合《地下水质量标准》</w:t>
      </w:r>
      <w:r>
        <w:rPr>
          <w:rFonts w:ascii="Times New Roman" w:hAnsi="宋体" w:eastAsia="宋体"/>
          <w:sz w:val="24"/>
          <w:szCs w:val="24"/>
        </w:rPr>
        <w:t>(GB/T14848-</w:t>
      </w:r>
      <w:r>
        <w:rPr>
          <w:rFonts w:hint="eastAsia" w:ascii="Times New Roman" w:hAnsi="宋体" w:eastAsia="宋体"/>
          <w:sz w:val="24"/>
          <w:szCs w:val="24"/>
        </w:rPr>
        <w:t>2017</w:t>
      </w:r>
      <w:r>
        <w:rPr>
          <w:rFonts w:ascii="Times New Roman" w:hAnsi="宋体" w:eastAsia="宋体"/>
          <w:sz w:val="24"/>
          <w:szCs w:val="24"/>
        </w:rPr>
        <w:t>)</w:t>
      </w:r>
      <w:r>
        <w:rPr>
          <w:rFonts w:hint="eastAsia" w:ascii="Times New Roman" w:hAnsi="宋体" w:eastAsia="宋体"/>
          <w:sz w:val="24"/>
          <w:szCs w:val="24"/>
        </w:rPr>
        <w:t>Ⅲ类标准。</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（3）声环境</w:t>
      </w:r>
    </w:p>
    <w:p>
      <w:pPr>
        <w:spacing w:line="360" w:lineRule="auto"/>
        <w:ind w:firstLine="480" w:firstLineChars="200"/>
        <w:rPr>
          <w:rFonts w:ascii="Times New Roman" w:hAnsi="宋体" w:eastAsia="宋体"/>
          <w:sz w:val="24"/>
          <w:szCs w:val="24"/>
        </w:rPr>
      </w:pPr>
      <w:r>
        <w:rPr>
          <w:rFonts w:hint="eastAsia" w:ascii="Times New Roman" w:hAnsi="宋体" w:eastAsia="宋体"/>
          <w:sz w:val="24"/>
          <w:szCs w:val="24"/>
        </w:rPr>
        <w:t>拟建项目声环境适用《声环境质量标准》</w:t>
      </w:r>
      <w:r>
        <w:rPr>
          <w:rFonts w:ascii="Times New Roman" w:hAnsi="宋体" w:eastAsia="宋体"/>
          <w:sz w:val="24"/>
          <w:szCs w:val="24"/>
        </w:rPr>
        <w:t>(GB3096-2008)</w:t>
      </w:r>
      <w:r>
        <w:rPr>
          <w:rFonts w:hint="eastAsia" w:ascii="Times New Roman" w:hAnsi="宋体" w:eastAsia="宋体"/>
          <w:sz w:val="24"/>
          <w:szCs w:val="24"/>
        </w:rPr>
        <w:t>1类、4a类标准。</w:t>
      </w:r>
    </w:p>
    <w:p>
      <w:pPr>
        <w:spacing w:line="360" w:lineRule="auto"/>
        <w:rPr>
          <w:rFonts w:ascii="Times New Roman" w:hAnsi="宋体" w:eastAsia="宋体"/>
          <w:b/>
          <w:sz w:val="24"/>
          <w:szCs w:val="24"/>
        </w:rPr>
      </w:pPr>
      <w:r>
        <w:rPr>
          <w:rFonts w:hint="eastAsia" w:ascii="Times New Roman" w:hAnsi="Times New Roman" w:cs="Times New Roman"/>
          <w:b/>
          <w:sz w:val="28"/>
          <w:szCs w:val="28"/>
        </w:rPr>
        <w:t>4.3</w:t>
      </w:r>
      <w:r>
        <w:rPr>
          <w:rFonts w:ascii="Times New Roman" w:hAnsi="Times New Roman" w:cs="Times New Roman"/>
          <w:b/>
          <w:sz w:val="28"/>
          <w:szCs w:val="28"/>
        </w:rPr>
        <w:t>环境质量现状</w:t>
      </w:r>
      <w:r>
        <w:rPr>
          <w:rFonts w:hint="eastAsia" w:ascii="Times New Roman" w:hAnsi="Times New Roman" w:cs="Times New Roman"/>
          <w:b/>
          <w:sz w:val="28"/>
          <w:szCs w:val="28"/>
        </w:rPr>
        <w:t>调查</w:t>
      </w:r>
      <w:r>
        <w:rPr>
          <w:rFonts w:ascii="Times New Roman" w:hAnsi="Times New Roman" w:cs="Times New Roman"/>
          <w:b/>
          <w:sz w:val="28"/>
          <w:szCs w:val="28"/>
        </w:rPr>
        <w:t>与评价</w:t>
      </w:r>
    </w:p>
    <w:p>
      <w:pPr>
        <w:spacing w:line="360" w:lineRule="auto"/>
        <w:ind w:firstLine="480" w:firstLineChars="200"/>
        <w:rPr>
          <w:rFonts w:ascii="Times New Roman" w:cs="Times New Roman" w:hAnsiTheme="minorEastAsia"/>
          <w:color w:val="000000" w:themeColor="text1"/>
          <w:sz w:val="24"/>
          <w:szCs w:val="24"/>
        </w:rPr>
      </w:pPr>
      <w:r>
        <w:rPr>
          <w:rFonts w:ascii="Times New Roman" w:cs="Times New Roman" w:hAnsiTheme="minorEastAsia"/>
          <w:color w:val="000000" w:themeColor="text1"/>
          <w:sz w:val="24"/>
        </w:rPr>
        <w:t>本次环评的大气环境基本污染物环境质量现状数据采用</w:t>
      </w:r>
      <w:r>
        <w:rPr>
          <w:rFonts w:ascii="Times New Roman" w:hAnsi="Times New Roman" w:cs="Times New Roman"/>
          <w:color w:val="000000" w:themeColor="text1"/>
          <w:sz w:val="24"/>
        </w:rPr>
        <w:t>2017</w:t>
      </w:r>
      <w:r>
        <w:rPr>
          <w:rFonts w:ascii="Times New Roman" w:cs="Times New Roman" w:hAnsiTheme="minorEastAsia"/>
          <w:color w:val="000000" w:themeColor="text1"/>
          <w:sz w:val="24"/>
        </w:rPr>
        <w:t>年保定市环境质量公报结论，大气环境其它污染物现状评价数据</w:t>
      </w:r>
      <w:r>
        <w:rPr>
          <w:rFonts w:ascii="Times New Roman" w:cs="Times New Roman" w:hAnsiTheme="minorEastAsia"/>
          <w:color w:val="000000" w:themeColor="text1"/>
          <w:sz w:val="24"/>
          <w:szCs w:val="24"/>
        </w:rPr>
        <w:t>、地下水环境质量监测数据</w:t>
      </w:r>
      <w:r>
        <w:rPr>
          <w:rFonts w:hint="eastAsia" w:ascii="Times New Roman" w:cs="Times New Roman" w:hAnsiTheme="minorEastAsia"/>
          <w:color w:val="000000" w:themeColor="text1"/>
          <w:sz w:val="24"/>
          <w:szCs w:val="24"/>
        </w:rPr>
        <w:t>、声环境现状数据由河北谱尼测试科技有限公司监测，</w:t>
      </w:r>
      <w:r>
        <w:rPr>
          <w:rFonts w:hint="eastAsia" w:ascii="Times New Roman" w:hAnsi="Times New Roman" w:cs="Times New Roman"/>
          <w:sz w:val="24"/>
          <w:szCs w:val="24"/>
        </w:rPr>
        <w:t>河北谱尼测试科技有限公司已通过监测资格认证，监测数据有效。</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4.3.1 环境空气质量现状监测与评价</w:t>
      </w:r>
    </w:p>
    <w:p>
      <w:pPr>
        <w:pStyle w:val="45"/>
        <w:ind w:firstLine="0" w:firstLineChars="0"/>
        <w:jc w:val="left"/>
        <w:rPr>
          <w:rFonts w:ascii="Times New Roman" w:hAnsiTheme="minorEastAsia" w:eastAsiaTheme="minorEastAsia"/>
          <w:b/>
          <w:color w:val="000000" w:themeColor="text1"/>
        </w:rPr>
      </w:pPr>
      <w:r>
        <w:rPr>
          <w:rFonts w:hint="eastAsia" w:ascii="Times New Roman"/>
          <w:b/>
          <w:szCs w:val="24"/>
        </w:rPr>
        <w:t>4.3.1.1</w:t>
      </w:r>
      <w:r>
        <w:rPr>
          <w:rFonts w:hint="eastAsia" w:ascii="Times New Roman" w:hAnsiTheme="minorEastAsia" w:eastAsiaTheme="minorEastAsia"/>
          <w:b/>
          <w:color w:val="000000" w:themeColor="text1"/>
        </w:rPr>
        <w:t>环境空气质量现状调查内容和目的</w:t>
      </w:r>
    </w:p>
    <w:p>
      <w:pPr>
        <w:pStyle w:val="45"/>
        <w:ind w:firstLine="480"/>
        <w:jc w:val="left"/>
        <w:rPr>
          <w:color w:val="000000" w:themeColor="text1"/>
        </w:rPr>
      </w:pPr>
      <w:r>
        <w:rPr>
          <w:rFonts w:hint="eastAsia" w:ascii="Times New Roman" w:hAnsi="宋体"/>
          <w:color w:val="000000" w:themeColor="text1"/>
        </w:rPr>
        <w:t>根据</w:t>
      </w:r>
      <w:r>
        <w:rPr>
          <w:rFonts w:hint="eastAsia" w:ascii="Times New Roman"/>
          <w:color w:val="000000" w:themeColor="text1"/>
        </w:rPr>
        <w:t>《环境影响评价技术导则</w:t>
      </w:r>
      <w:r>
        <w:rPr>
          <w:rFonts w:ascii="Times New Roman"/>
          <w:color w:val="000000" w:themeColor="text1"/>
        </w:rPr>
        <w:t xml:space="preserve">  </w:t>
      </w:r>
      <w:r>
        <w:rPr>
          <w:rFonts w:hint="eastAsia" w:ascii="Times New Roman"/>
          <w:color w:val="000000" w:themeColor="text1"/>
        </w:rPr>
        <w:t>大气环境》</w:t>
      </w:r>
      <w:r>
        <w:rPr>
          <w:rFonts w:ascii="Times New Roman"/>
          <w:color w:val="000000" w:themeColor="text1"/>
        </w:rPr>
        <w:t>(HJ 2.2-2018)</w:t>
      </w:r>
      <w:r>
        <w:rPr>
          <w:rFonts w:hint="eastAsia" w:ascii="Times New Roman"/>
          <w:color w:val="000000" w:themeColor="text1"/>
        </w:rPr>
        <w:t>，</w:t>
      </w:r>
      <w:r>
        <w:rPr>
          <w:rFonts w:hint="eastAsia"/>
          <w:color w:val="000000" w:themeColor="text1"/>
        </w:rPr>
        <w:t>本项目大气评价工作等级为为二级。</w:t>
      </w:r>
    </w:p>
    <w:p>
      <w:pPr>
        <w:pStyle w:val="45"/>
        <w:ind w:firstLine="480"/>
        <w:jc w:val="left"/>
        <w:rPr>
          <w:color w:val="000000" w:themeColor="text1"/>
        </w:rPr>
      </w:pPr>
      <w:r>
        <w:rPr>
          <w:rFonts w:hint="eastAsia"/>
          <w:color w:val="000000" w:themeColor="text1"/>
        </w:rPr>
        <w:t>调查内容与目的分别为：</w:t>
      </w:r>
    </w:p>
    <w:p>
      <w:pPr>
        <w:pStyle w:val="45"/>
        <w:ind w:firstLine="480"/>
        <w:jc w:val="left"/>
        <w:rPr>
          <w:color w:val="000000" w:themeColor="text1"/>
        </w:rPr>
      </w:pPr>
      <w:r>
        <w:rPr>
          <w:rFonts w:hint="eastAsia" w:hAnsi="宋体"/>
          <w:color w:val="000000" w:themeColor="text1"/>
        </w:rPr>
        <w:t>①</w:t>
      </w:r>
      <w:r>
        <w:rPr>
          <w:rFonts w:hint="eastAsia"/>
          <w:color w:val="000000" w:themeColor="text1"/>
        </w:rPr>
        <w:t>调查项目所在区域环境质量达标情况；</w:t>
      </w:r>
    </w:p>
    <w:p>
      <w:pPr>
        <w:pStyle w:val="45"/>
        <w:ind w:firstLine="480"/>
        <w:jc w:val="left"/>
        <w:rPr>
          <w:color w:val="000000" w:themeColor="text1"/>
        </w:rPr>
      </w:pPr>
      <w:r>
        <w:rPr>
          <w:rFonts w:hint="eastAsia" w:hAnsi="宋体"/>
          <w:color w:val="000000" w:themeColor="text1"/>
        </w:rPr>
        <w:t>②</w:t>
      </w:r>
      <w:r>
        <w:rPr>
          <w:rFonts w:hint="eastAsia"/>
          <w:color w:val="000000" w:themeColor="text1"/>
        </w:rPr>
        <w:t>调查评价范围内有环境质量标准的评价因子的环境质量监测数据，用于评价项目所在区域污染物环境质量现状。</w:t>
      </w:r>
    </w:p>
    <w:p>
      <w:pPr>
        <w:pStyle w:val="45"/>
        <w:ind w:firstLine="0" w:firstLineChars="0"/>
        <w:jc w:val="left"/>
        <w:rPr>
          <w:rFonts w:ascii="Times New Roman" w:eastAsiaTheme="minorEastAsia"/>
          <w:b/>
          <w:color w:val="000000" w:themeColor="text1"/>
        </w:rPr>
      </w:pPr>
      <w:r>
        <w:rPr>
          <w:rFonts w:ascii="Times New Roman" w:eastAsiaTheme="minorEastAsia"/>
          <w:b/>
          <w:color w:val="000000" w:themeColor="text1"/>
        </w:rPr>
        <w:t>4.3.1.2</w:t>
      </w:r>
      <w:r>
        <w:rPr>
          <w:rFonts w:hint="eastAsia" w:ascii="Times New Roman" w:hAnsiTheme="minorEastAsia" w:eastAsiaTheme="minorEastAsia"/>
          <w:b/>
          <w:color w:val="000000" w:themeColor="text1"/>
        </w:rPr>
        <w:t>数据来源</w:t>
      </w:r>
    </w:p>
    <w:p>
      <w:pPr>
        <w:pStyle w:val="45"/>
        <w:ind w:firstLine="480"/>
        <w:jc w:val="left"/>
        <w:rPr>
          <w:rFonts w:ascii="Times New Roman"/>
          <w:color w:val="000000" w:themeColor="text1"/>
        </w:rPr>
      </w:pPr>
      <w:r>
        <w:rPr>
          <w:rFonts w:ascii="Times New Roman"/>
          <w:color w:val="000000" w:themeColor="text1"/>
        </w:rPr>
        <w:t>1</w:t>
      </w:r>
      <w:r>
        <w:rPr>
          <w:rFonts w:hint="eastAsia" w:ascii="Times New Roman"/>
          <w:color w:val="000000" w:themeColor="text1"/>
        </w:rPr>
        <w:t>、基本污染物环境质量现状数据</w:t>
      </w:r>
    </w:p>
    <w:p>
      <w:pPr>
        <w:pStyle w:val="45"/>
        <w:ind w:firstLine="480"/>
        <w:jc w:val="left"/>
        <w:rPr>
          <w:rFonts w:ascii="Times New Roman"/>
          <w:color w:val="000000" w:themeColor="text1"/>
        </w:rPr>
      </w:pPr>
      <w:r>
        <w:rPr>
          <w:rFonts w:hint="eastAsia" w:ascii="Times New Roman"/>
          <w:color w:val="000000" w:themeColor="text1"/>
        </w:rPr>
        <w:t>本次环评的大气环境基本污染物环境质量现状数据采用</w:t>
      </w:r>
      <w:r>
        <w:rPr>
          <w:rFonts w:ascii="Times New Roman"/>
          <w:color w:val="000000" w:themeColor="text1"/>
          <w:szCs w:val="24"/>
        </w:rPr>
        <w:t>2017</w:t>
      </w:r>
      <w:r>
        <w:rPr>
          <w:rFonts w:hint="eastAsia" w:ascii="Times New Roman"/>
          <w:color w:val="000000" w:themeColor="text1"/>
          <w:szCs w:val="24"/>
        </w:rPr>
        <w:t>年保定市环境质量公报</w:t>
      </w:r>
      <w:r>
        <w:rPr>
          <w:rFonts w:hint="eastAsia" w:ascii="Times New Roman"/>
          <w:color w:val="000000" w:themeColor="text1"/>
        </w:rPr>
        <w:t>结论。</w:t>
      </w:r>
    </w:p>
    <w:p>
      <w:pPr>
        <w:pStyle w:val="45"/>
        <w:ind w:firstLine="480"/>
        <w:rPr>
          <w:rFonts w:ascii="Times New Roman"/>
          <w:color w:val="000000" w:themeColor="text1"/>
        </w:rPr>
      </w:pPr>
      <w:r>
        <w:rPr>
          <w:rFonts w:ascii="Times New Roman"/>
          <w:color w:val="000000" w:themeColor="text1"/>
        </w:rPr>
        <w:t>2017</w:t>
      </w:r>
      <w:r>
        <w:rPr>
          <w:rFonts w:hint="eastAsia" w:ascii="Times New Roman"/>
          <w:color w:val="000000" w:themeColor="text1"/>
        </w:rPr>
        <w:t>年，主城区全年环境空气质量达到或好于《环境空气质量标准》（</w:t>
      </w:r>
      <w:r>
        <w:rPr>
          <w:rFonts w:ascii="Times New Roman"/>
          <w:color w:val="000000" w:themeColor="text1"/>
        </w:rPr>
        <w:t>GB 3095—2012</w:t>
      </w:r>
      <w:r>
        <w:rPr>
          <w:rFonts w:hint="eastAsia" w:ascii="Times New Roman"/>
          <w:color w:val="000000" w:themeColor="text1"/>
        </w:rPr>
        <w:t>）二级标准的天数为</w:t>
      </w:r>
      <w:r>
        <w:rPr>
          <w:rFonts w:ascii="Times New Roman"/>
          <w:color w:val="000000" w:themeColor="text1"/>
        </w:rPr>
        <w:t>159</w:t>
      </w:r>
      <w:r>
        <w:rPr>
          <w:rFonts w:hint="eastAsia" w:ascii="Times New Roman"/>
          <w:color w:val="000000" w:themeColor="text1"/>
        </w:rPr>
        <w:t>天（其中一级</w:t>
      </w:r>
      <w:r>
        <w:rPr>
          <w:rFonts w:ascii="Times New Roman"/>
          <w:color w:val="000000" w:themeColor="text1"/>
        </w:rPr>
        <w:t>7</w:t>
      </w:r>
      <w:r>
        <w:rPr>
          <w:rFonts w:hint="eastAsia" w:ascii="Times New Roman"/>
          <w:color w:val="000000" w:themeColor="text1"/>
        </w:rPr>
        <w:t>天），达标率为</w:t>
      </w:r>
      <w:r>
        <w:rPr>
          <w:rFonts w:ascii="Times New Roman"/>
          <w:color w:val="000000" w:themeColor="text1"/>
        </w:rPr>
        <w:t>43.8</w:t>
      </w:r>
      <w:r>
        <w:rPr>
          <w:rFonts w:hint="eastAsia" w:ascii="Times New Roman"/>
          <w:color w:val="000000" w:themeColor="text1"/>
        </w:rPr>
        <w:t>％，比上年增加</w:t>
      </w:r>
      <w:r>
        <w:rPr>
          <w:rFonts w:ascii="Times New Roman"/>
          <w:color w:val="000000" w:themeColor="text1"/>
        </w:rPr>
        <w:t>4</w:t>
      </w:r>
      <w:r>
        <w:rPr>
          <w:rFonts w:hint="eastAsia" w:ascii="Times New Roman"/>
          <w:color w:val="000000" w:themeColor="text1"/>
        </w:rPr>
        <w:t>天；重度污染及以上天数为</w:t>
      </w:r>
      <w:r>
        <w:rPr>
          <w:rFonts w:ascii="Times New Roman"/>
          <w:color w:val="000000" w:themeColor="text1"/>
        </w:rPr>
        <w:t>54</w:t>
      </w:r>
      <w:r>
        <w:rPr>
          <w:rFonts w:hint="eastAsia" w:ascii="Times New Roman"/>
          <w:color w:val="000000" w:themeColor="text1"/>
        </w:rPr>
        <w:t>天，比上年减少</w:t>
      </w:r>
      <w:r>
        <w:rPr>
          <w:rFonts w:ascii="Times New Roman"/>
          <w:color w:val="000000" w:themeColor="text1"/>
        </w:rPr>
        <w:t>4</w:t>
      </w:r>
      <w:r>
        <w:rPr>
          <w:rFonts w:hint="eastAsia" w:ascii="Times New Roman"/>
          <w:color w:val="000000" w:themeColor="text1"/>
        </w:rPr>
        <w:t>天。</w:t>
      </w:r>
      <w:r>
        <w:rPr>
          <w:rFonts w:ascii="Times New Roman"/>
          <w:color w:val="000000" w:themeColor="text1"/>
        </w:rPr>
        <w:t>6</w:t>
      </w:r>
      <w:r>
        <w:rPr>
          <w:rFonts w:hint="eastAsia" w:ascii="Times New Roman"/>
          <w:color w:val="000000" w:themeColor="text1"/>
        </w:rPr>
        <w:t>项基本评价指标浓度为：细颗粒物（</w:t>
      </w:r>
      <w:r>
        <w:rPr>
          <w:rFonts w:ascii="Times New Roman"/>
          <w:color w:val="000000" w:themeColor="text1"/>
        </w:rPr>
        <w:t>PM</w:t>
      </w:r>
      <w:r>
        <w:rPr>
          <w:rFonts w:ascii="Times New Roman"/>
          <w:color w:val="000000" w:themeColor="text1"/>
          <w:vertAlign w:val="subscript"/>
        </w:rPr>
        <w:t>2.5</w:t>
      </w:r>
      <w:r>
        <w:rPr>
          <w:rFonts w:hint="eastAsia" w:ascii="Times New Roman"/>
          <w:color w:val="000000" w:themeColor="text1"/>
        </w:rPr>
        <w:t>）年均浓度为</w:t>
      </w:r>
      <w:r>
        <w:rPr>
          <w:rFonts w:ascii="Times New Roman"/>
          <w:color w:val="000000" w:themeColor="text1"/>
        </w:rPr>
        <w:t>84</w:t>
      </w:r>
      <w:r>
        <w:rPr>
          <w:rFonts w:hint="eastAsia" w:ascii="Times New Roman"/>
          <w:color w:val="000000" w:themeColor="text1"/>
        </w:rPr>
        <w:t>微克</w:t>
      </w:r>
      <w:r>
        <w:rPr>
          <w:rFonts w:ascii="Times New Roman"/>
          <w:color w:val="000000" w:themeColor="text1"/>
        </w:rPr>
        <w:t>/</w:t>
      </w:r>
      <w:r>
        <w:rPr>
          <w:rFonts w:hint="eastAsia" w:ascii="Times New Roman"/>
          <w:color w:val="000000" w:themeColor="text1"/>
        </w:rPr>
        <w:t>立方米，比上年削减</w:t>
      </w:r>
      <w:r>
        <w:rPr>
          <w:rFonts w:ascii="Times New Roman"/>
          <w:color w:val="000000" w:themeColor="text1"/>
        </w:rPr>
        <w:t>9.7%</w:t>
      </w:r>
      <w:r>
        <w:rPr>
          <w:rFonts w:hint="eastAsia" w:ascii="Times New Roman"/>
          <w:color w:val="000000" w:themeColor="text1"/>
        </w:rPr>
        <w:t>。可吸入颗粒物（</w:t>
      </w:r>
      <w:r>
        <w:rPr>
          <w:rFonts w:ascii="Times New Roman"/>
          <w:color w:val="000000" w:themeColor="text1"/>
        </w:rPr>
        <w:t>PM</w:t>
      </w:r>
      <w:r>
        <w:rPr>
          <w:rFonts w:ascii="Times New Roman"/>
          <w:color w:val="000000" w:themeColor="text1"/>
          <w:vertAlign w:val="subscript"/>
        </w:rPr>
        <w:t>10</w:t>
      </w:r>
      <w:r>
        <w:rPr>
          <w:rFonts w:hint="eastAsia" w:ascii="Times New Roman"/>
          <w:color w:val="000000" w:themeColor="text1"/>
        </w:rPr>
        <w:t>）年均浓度为</w:t>
      </w:r>
      <w:r>
        <w:rPr>
          <w:rFonts w:ascii="Times New Roman"/>
          <w:color w:val="000000" w:themeColor="text1"/>
        </w:rPr>
        <w:t>135</w:t>
      </w:r>
      <w:r>
        <w:rPr>
          <w:rFonts w:hint="eastAsia" w:ascii="Times New Roman"/>
          <w:color w:val="000000" w:themeColor="text1"/>
        </w:rPr>
        <w:t>微克</w:t>
      </w:r>
      <w:r>
        <w:rPr>
          <w:rFonts w:ascii="Times New Roman"/>
          <w:color w:val="000000" w:themeColor="text1"/>
        </w:rPr>
        <w:t>/</w:t>
      </w:r>
      <w:r>
        <w:rPr>
          <w:rFonts w:hint="eastAsia" w:ascii="Times New Roman"/>
          <w:color w:val="000000" w:themeColor="text1"/>
        </w:rPr>
        <w:t>立方米，比上年削减</w:t>
      </w:r>
      <w:r>
        <w:rPr>
          <w:rFonts w:ascii="Times New Roman"/>
          <w:color w:val="000000" w:themeColor="text1"/>
        </w:rPr>
        <w:t>8.2%</w:t>
      </w:r>
      <w:r>
        <w:rPr>
          <w:rFonts w:hint="eastAsia" w:ascii="Times New Roman"/>
          <w:color w:val="000000" w:themeColor="text1"/>
        </w:rPr>
        <w:t>。二氧化硫（</w:t>
      </w:r>
      <w:r>
        <w:rPr>
          <w:rFonts w:ascii="Times New Roman"/>
          <w:color w:val="000000" w:themeColor="text1"/>
        </w:rPr>
        <w:t>SO</w:t>
      </w:r>
      <w:r>
        <w:rPr>
          <w:rFonts w:ascii="Times New Roman"/>
          <w:color w:val="000000" w:themeColor="text1"/>
          <w:vertAlign w:val="subscript"/>
        </w:rPr>
        <w:t>2</w:t>
      </w:r>
      <w:r>
        <w:rPr>
          <w:rFonts w:hint="eastAsia" w:ascii="Times New Roman"/>
          <w:color w:val="000000" w:themeColor="text1"/>
        </w:rPr>
        <w:t>）年均浓度为</w:t>
      </w:r>
      <w:r>
        <w:rPr>
          <w:rFonts w:ascii="Times New Roman"/>
          <w:color w:val="000000" w:themeColor="text1"/>
        </w:rPr>
        <w:t>29</w:t>
      </w:r>
      <w:r>
        <w:rPr>
          <w:rFonts w:hint="eastAsia" w:ascii="Times New Roman"/>
          <w:color w:val="000000" w:themeColor="text1"/>
        </w:rPr>
        <w:t>微克</w:t>
      </w:r>
      <w:r>
        <w:rPr>
          <w:rFonts w:ascii="Times New Roman"/>
          <w:color w:val="000000" w:themeColor="text1"/>
        </w:rPr>
        <w:t>/</w:t>
      </w:r>
      <w:r>
        <w:rPr>
          <w:rFonts w:hint="eastAsia" w:ascii="Times New Roman"/>
          <w:color w:val="000000" w:themeColor="text1"/>
        </w:rPr>
        <w:t>立方米，较上年降低了</w:t>
      </w:r>
      <w:r>
        <w:rPr>
          <w:rFonts w:ascii="Times New Roman"/>
          <w:color w:val="000000" w:themeColor="text1"/>
        </w:rPr>
        <w:t>25.6%</w:t>
      </w:r>
      <w:r>
        <w:rPr>
          <w:rFonts w:hint="eastAsia" w:ascii="Times New Roman"/>
          <w:color w:val="000000" w:themeColor="text1"/>
        </w:rPr>
        <w:t>。二氧化氮（</w:t>
      </w:r>
      <w:r>
        <w:rPr>
          <w:rFonts w:ascii="Times New Roman"/>
          <w:color w:val="000000" w:themeColor="text1"/>
        </w:rPr>
        <w:t>NO</w:t>
      </w:r>
      <w:r>
        <w:rPr>
          <w:rFonts w:ascii="Times New Roman"/>
          <w:color w:val="000000" w:themeColor="text1"/>
          <w:vertAlign w:val="subscript"/>
        </w:rPr>
        <w:t>2</w:t>
      </w:r>
      <w:r>
        <w:rPr>
          <w:rFonts w:hint="eastAsia" w:ascii="Times New Roman"/>
          <w:color w:val="000000" w:themeColor="text1"/>
        </w:rPr>
        <w:t>）年均浓度为</w:t>
      </w:r>
      <w:r>
        <w:rPr>
          <w:rFonts w:ascii="Times New Roman"/>
          <w:color w:val="000000" w:themeColor="text1"/>
        </w:rPr>
        <w:t>50</w:t>
      </w:r>
      <w:r>
        <w:rPr>
          <w:rFonts w:hint="eastAsia" w:ascii="Times New Roman"/>
          <w:color w:val="000000" w:themeColor="text1"/>
        </w:rPr>
        <w:t>微克</w:t>
      </w:r>
      <w:r>
        <w:rPr>
          <w:rFonts w:ascii="Times New Roman"/>
          <w:color w:val="000000" w:themeColor="text1"/>
        </w:rPr>
        <w:t>/</w:t>
      </w:r>
      <w:r>
        <w:rPr>
          <w:rFonts w:hint="eastAsia" w:ascii="Times New Roman"/>
          <w:color w:val="000000" w:themeColor="text1"/>
        </w:rPr>
        <w:t>立方米，比上年降低了</w:t>
      </w:r>
      <w:r>
        <w:rPr>
          <w:rFonts w:ascii="Times New Roman"/>
          <w:color w:val="000000" w:themeColor="text1"/>
        </w:rPr>
        <w:t>13.8%</w:t>
      </w:r>
      <w:r>
        <w:rPr>
          <w:rFonts w:hint="eastAsia" w:ascii="Times New Roman"/>
          <w:color w:val="000000" w:themeColor="text1"/>
        </w:rPr>
        <w:t>。一氧化碳（</w:t>
      </w:r>
      <w:r>
        <w:rPr>
          <w:rFonts w:ascii="Times New Roman"/>
          <w:color w:val="000000" w:themeColor="text1"/>
        </w:rPr>
        <w:t>CO</w:t>
      </w:r>
      <w:r>
        <w:rPr>
          <w:rFonts w:hint="eastAsia" w:ascii="Times New Roman"/>
          <w:color w:val="000000" w:themeColor="text1"/>
        </w:rPr>
        <w:t>）</w:t>
      </w:r>
      <w:r>
        <w:rPr>
          <w:rFonts w:ascii="Times New Roman"/>
          <w:color w:val="000000" w:themeColor="text1"/>
        </w:rPr>
        <w:t>24</w:t>
      </w:r>
      <w:r>
        <w:rPr>
          <w:rFonts w:hint="eastAsia" w:ascii="Times New Roman"/>
          <w:color w:val="000000" w:themeColor="text1"/>
        </w:rPr>
        <w:t>小时平均第</w:t>
      </w:r>
      <w:r>
        <w:rPr>
          <w:rFonts w:ascii="Times New Roman"/>
          <w:color w:val="000000" w:themeColor="text1"/>
        </w:rPr>
        <w:t>95</w:t>
      </w:r>
      <w:r>
        <w:rPr>
          <w:rFonts w:hint="eastAsia" w:ascii="Times New Roman"/>
          <w:color w:val="000000" w:themeColor="text1"/>
        </w:rPr>
        <w:t>百分位数为</w:t>
      </w:r>
      <w:r>
        <w:rPr>
          <w:rFonts w:ascii="Times New Roman"/>
          <w:color w:val="000000" w:themeColor="text1"/>
        </w:rPr>
        <w:t>3.6</w:t>
      </w:r>
      <w:r>
        <w:rPr>
          <w:rFonts w:hint="eastAsia" w:ascii="Times New Roman"/>
          <w:color w:val="000000" w:themeColor="text1"/>
        </w:rPr>
        <w:t>毫克</w:t>
      </w:r>
      <w:r>
        <w:rPr>
          <w:rFonts w:ascii="Times New Roman"/>
          <w:color w:val="000000" w:themeColor="text1"/>
        </w:rPr>
        <w:t>/</w:t>
      </w:r>
      <w:r>
        <w:rPr>
          <w:rFonts w:hint="eastAsia" w:ascii="Times New Roman"/>
          <w:color w:val="000000" w:themeColor="text1"/>
        </w:rPr>
        <w:t>立方米，较上年降低了</w:t>
      </w:r>
      <w:r>
        <w:rPr>
          <w:rFonts w:ascii="Times New Roman"/>
          <w:color w:val="000000" w:themeColor="text1"/>
        </w:rPr>
        <w:t>18.2%</w:t>
      </w:r>
      <w:r>
        <w:rPr>
          <w:rFonts w:hint="eastAsia" w:ascii="Times New Roman"/>
          <w:color w:val="000000" w:themeColor="text1"/>
        </w:rPr>
        <w:t>。臭氧（</w:t>
      </w:r>
      <w:r>
        <w:rPr>
          <w:rFonts w:ascii="Times New Roman"/>
          <w:color w:val="000000" w:themeColor="text1"/>
        </w:rPr>
        <w:t>O</w:t>
      </w:r>
      <w:r>
        <w:rPr>
          <w:rFonts w:ascii="Times New Roman"/>
          <w:color w:val="000000" w:themeColor="text1"/>
          <w:vertAlign w:val="subscript"/>
        </w:rPr>
        <w:t>3</w:t>
      </w:r>
      <w:r>
        <w:rPr>
          <w:rFonts w:hint="eastAsia" w:ascii="Times New Roman"/>
          <w:color w:val="000000" w:themeColor="text1"/>
        </w:rPr>
        <w:t>）日最大</w:t>
      </w:r>
      <w:r>
        <w:rPr>
          <w:rFonts w:ascii="Times New Roman"/>
          <w:color w:val="000000" w:themeColor="text1"/>
        </w:rPr>
        <w:t>8</w:t>
      </w:r>
      <w:r>
        <w:rPr>
          <w:rFonts w:hint="eastAsia" w:ascii="Times New Roman"/>
          <w:color w:val="000000" w:themeColor="text1"/>
        </w:rPr>
        <w:t>小时滑动平均值的第</w:t>
      </w:r>
      <w:r>
        <w:rPr>
          <w:rFonts w:ascii="Times New Roman"/>
          <w:color w:val="000000" w:themeColor="text1"/>
        </w:rPr>
        <w:t>90</w:t>
      </w:r>
      <w:r>
        <w:rPr>
          <w:rFonts w:hint="eastAsia" w:ascii="Times New Roman"/>
          <w:color w:val="000000" w:themeColor="text1"/>
        </w:rPr>
        <w:t>百分位数为</w:t>
      </w:r>
      <w:r>
        <w:rPr>
          <w:rFonts w:ascii="Times New Roman"/>
          <w:color w:val="000000" w:themeColor="text1"/>
        </w:rPr>
        <w:t>218</w:t>
      </w:r>
      <w:r>
        <w:rPr>
          <w:rFonts w:hint="eastAsia" w:ascii="Times New Roman"/>
          <w:color w:val="000000" w:themeColor="text1"/>
        </w:rPr>
        <w:t>微克</w:t>
      </w:r>
      <w:r>
        <w:rPr>
          <w:rFonts w:ascii="Times New Roman"/>
          <w:color w:val="000000" w:themeColor="text1"/>
        </w:rPr>
        <w:t>/</w:t>
      </w:r>
      <w:r>
        <w:rPr>
          <w:rFonts w:hint="eastAsia" w:ascii="Times New Roman"/>
          <w:color w:val="000000" w:themeColor="text1"/>
        </w:rPr>
        <w:t>立方米，比上年升高了</w:t>
      </w:r>
      <w:r>
        <w:rPr>
          <w:rFonts w:ascii="Times New Roman"/>
          <w:color w:val="000000" w:themeColor="text1"/>
        </w:rPr>
        <w:t>25.3%</w:t>
      </w:r>
      <w:r>
        <w:rPr>
          <w:rFonts w:hint="eastAsia" w:ascii="Times New Roman"/>
          <w:color w:val="000000" w:themeColor="text1"/>
        </w:rPr>
        <w:t>。</w:t>
      </w:r>
      <w:r>
        <w:rPr>
          <w:rFonts w:ascii="Times New Roman"/>
          <w:color w:val="000000" w:themeColor="text1"/>
        </w:rPr>
        <w:t>2017</w:t>
      </w:r>
      <w:r>
        <w:rPr>
          <w:rFonts w:hint="eastAsia" w:ascii="Times New Roman"/>
          <w:color w:val="000000" w:themeColor="text1"/>
        </w:rPr>
        <w:t>年市区降水</w:t>
      </w:r>
      <w:r>
        <w:rPr>
          <w:rFonts w:ascii="Times New Roman"/>
          <w:color w:val="000000" w:themeColor="text1"/>
        </w:rPr>
        <w:t>pH</w:t>
      </w:r>
      <w:r>
        <w:rPr>
          <w:rFonts w:hint="eastAsia" w:ascii="Times New Roman"/>
          <w:color w:val="000000" w:themeColor="text1"/>
        </w:rPr>
        <w:t>范围在</w:t>
      </w:r>
      <w:r>
        <w:rPr>
          <w:rFonts w:ascii="Times New Roman"/>
          <w:color w:val="000000" w:themeColor="text1"/>
        </w:rPr>
        <w:t>6.07</w:t>
      </w:r>
      <w:r>
        <w:rPr>
          <w:rFonts w:hint="eastAsia" w:ascii="Times New Roman"/>
          <w:color w:val="000000" w:themeColor="text1"/>
        </w:rPr>
        <w:t>～</w:t>
      </w:r>
      <w:r>
        <w:rPr>
          <w:rFonts w:ascii="Times New Roman"/>
          <w:color w:val="000000" w:themeColor="text1"/>
        </w:rPr>
        <w:t>8.33</w:t>
      </w:r>
      <w:r>
        <w:rPr>
          <w:rFonts w:hint="eastAsia" w:ascii="Times New Roman"/>
          <w:color w:val="000000" w:themeColor="text1"/>
        </w:rPr>
        <w:t>之间。全年无酸雨样品出现。</w:t>
      </w:r>
    </w:p>
    <w:p>
      <w:pPr>
        <w:pStyle w:val="45"/>
        <w:ind w:firstLine="480"/>
        <w:jc w:val="left"/>
        <w:rPr>
          <w:rFonts w:ascii="Times New Roman"/>
          <w:color w:val="000000" w:themeColor="text1"/>
        </w:rPr>
      </w:pPr>
      <w:r>
        <w:rPr>
          <w:rFonts w:ascii="Times New Roman"/>
          <w:color w:val="000000" w:themeColor="text1"/>
        </w:rPr>
        <w:t>2</w:t>
      </w:r>
      <w:r>
        <w:rPr>
          <w:rFonts w:hint="eastAsia" w:ascii="Times New Roman"/>
          <w:color w:val="000000" w:themeColor="text1"/>
        </w:rPr>
        <w:t>、其他污染物环境质量现状数据</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cs="Times New Roman" w:hAnsiTheme="minorEastAsia"/>
          <w:color w:val="000000" w:themeColor="text1"/>
          <w:sz w:val="24"/>
          <w:szCs w:val="24"/>
        </w:rPr>
        <w:t>由河北谱尼测试科技有限公司进行监测。</w:t>
      </w:r>
    </w:p>
    <w:p>
      <w:pPr>
        <w:pStyle w:val="45"/>
        <w:ind w:firstLine="360" w:firstLineChars="150"/>
        <w:jc w:val="left"/>
        <w:rPr>
          <w:rFonts w:ascii="Times New Roman" w:eastAsiaTheme="minorEastAsia"/>
          <w:b/>
          <w:color w:val="000000" w:themeColor="text1"/>
        </w:rPr>
      </w:pPr>
      <w:r>
        <w:rPr>
          <w:rFonts w:hint="eastAsia" w:ascii="Times New Roman"/>
          <w:color w:val="000000" w:themeColor="text1"/>
          <w:szCs w:val="24"/>
        </w:rPr>
        <w:t>（1）监测点布置</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根据本项目所处地理位置，结合当地气象特征及工程周围环境敏感点的分布情况，设置监测点2 个，分别为保定市第一中医院院内和医院南侧的红星花园小区。</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（2）监测因子</w:t>
      </w:r>
    </w:p>
    <w:p>
      <w:pPr>
        <w:spacing w:line="360" w:lineRule="auto"/>
        <w:ind w:firstLine="480" w:firstLineChars="200"/>
        <w:rPr>
          <w:rFonts w:ascii="Times New Roman" w:hAnsi="Times New Roman" w:cs="Times New Roman"/>
          <w:color w:val="000000" w:themeColor="text1"/>
          <w:sz w:val="24"/>
          <w:szCs w:val="24"/>
        </w:rPr>
      </w:pPr>
      <w:bookmarkStart w:id="30" w:name="_Toc378346999"/>
      <w:r>
        <w:rPr>
          <w:rFonts w:hint="eastAsia"/>
          <w:color w:val="000000" w:themeColor="text1"/>
          <w:sz w:val="24"/>
          <w:szCs w:val="24"/>
        </w:rPr>
        <w:t>监测项目为</w:t>
      </w:r>
      <w:bookmarkEnd w:id="30"/>
      <w:r>
        <w:rPr>
          <w:rFonts w:hint="eastAsia" w:ascii="Times New Roman" w:hAnsi="Times New Roman" w:cs="Times New Roman"/>
          <w:color w:val="000000" w:themeColor="text1"/>
          <w:sz w:val="24"/>
          <w:szCs w:val="24"/>
        </w:rPr>
        <w:t>硫化氢</w:t>
      </w:r>
      <w:r>
        <w:rPr>
          <w:rFonts w:ascii="Times New Roman" w:hAnsi="Times New Roman" w:cs="Times New Roman"/>
          <w:color w:val="000000" w:themeColor="text1"/>
          <w:sz w:val="24"/>
          <w:szCs w:val="24"/>
        </w:rPr>
        <w:t>、</w:t>
      </w:r>
      <w:r>
        <w:rPr>
          <w:rFonts w:hint="eastAsia" w:ascii="Times New Roman" w:hAnsi="Times New Roman" w:cs="Times New Roman"/>
          <w:color w:val="000000" w:themeColor="text1"/>
          <w:sz w:val="24"/>
          <w:szCs w:val="24"/>
        </w:rPr>
        <w:t>氨。</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（3）监测时段及频率</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连续监测</w:t>
      </w:r>
      <w:r>
        <w:rPr>
          <w:rFonts w:ascii="Times New Roman" w:hAnsi="Times New Roman" w:cs="Times New Roman"/>
          <w:color w:val="000000" w:themeColor="text1"/>
          <w:sz w:val="24"/>
          <w:szCs w:val="24"/>
        </w:rPr>
        <w:t xml:space="preserve">7 </w:t>
      </w:r>
      <w:r>
        <w:rPr>
          <w:rFonts w:hint="eastAsia" w:ascii="Times New Roman" w:hAnsi="Times New Roman" w:cs="Times New Roman"/>
          <w:color w:val="000000" w:themeColor="text1"/>
          <w:sz w:val="24"/>
          <w:szCs w:val="24"/>
        </w:rPr>
        <w:t>天，硫化氢、氨监测一次最高容许浓度，每天</w:t>
      </w:r>
      <w:r>
        <w:rPr>
          <w:rFonts w:ascii="Times New Roman" w:hAnsi="Times New Roman" w:cs="Times New Roman"/>
          <w:color w:val="000000" w:themeColor="text1"/>
          <w:sz w:val="24"/>
          <w:szCs w:val="24"/>
        </w:rPr>
        <w:t xml:space="preserve">4 </w:t>
      </w:r>
      <w:r>
        <w:rPr>
          <w:rFonts w:hint="eastAsia" w:ascii="Times New Roman" w:hAnsi="Times New Roman" w:cs="Times New Roman"/>
          <w:color w:val="000000" w:themeColor="text1"/>
          <w:sz w:val="24"/>
          <w:szCs w:val="24"/>
        </w:rPr>
        <w:t>次（</w:t>
      </w:r>
      <w:r>
        <w:rPr>
          <w:rFonts w:ascii="Times New Roman" w:hAnsi="Times New Roman" w:cs="Times New Roman"/>
          <w:color w:val="000000" w:themeColor="text1"/>
          <w:sz w:val="24"/>
          <w:szCs w:val="24"/>
        </w:rPr>
        <w:t xml:space="preserve">02 </w:t>
      </w:r>
      <w:r>
        <w:rPr>
          <w:rFonts w:hint="eastAsia" w:ascii="Times New Roman" w:hAnsi="Times New Roman" w:cs="Times New Roman"/>
          <w:color w:val="000000" w:themeColor="text1"/>
          <w:sz w:val="24"/>
          <w:szCs w:val="24"/>
        </w:rPr>
        <w:t>时、</w:t>
      </w:r>
      <w:r>
        <w:rPr>
          <w:rFonts w:ascii="Times New Roman" w:hAnsi="Times New Roman" w:cs="Times New Roman"/>
          <w:color w:val="000000" w:themeColor="text1"/>
          <w:sz w:val="24"/>
          <w:szCs w:val="24"/>
        </w:rPr>
        <w:t xml:space="preserve">08 </w:t>
      </w:r>
      <w:r>
        <w:rPr>
          <w:rFonts w:hint="eastAsia" w:ascii="Times New Roman" w:hAnsi="Times New Roman" w:cs="Times New Roman"/>
          <w:color w:val="000000" w:themeColor="text1"/>
          <w:sz w:val="24"/>
          <w:szCs w:val="24"/>
        </w:rPr>
        <w:t>时、</w:t>
      </w:r>
      <w:r>
        <w:rPr>
          <w:rFonts w:ascii="Times New Roman" w:hAnsi="Times New Roman" w:cs="Times New Roman"/>
          <w:color w:val="000000" w:themeColor="text1"/>
          <w:sz w:val="24"/>
          <w:szCs w:val="24"/>
        </w:rPr>
        <w:t xml:space="preserve">14 </w:t>
      </w:r>
      <w:r>
        <w:rPr>
          <w:rFonts w:hint="eastAsia" w:ascii="Times New Roman" w:hAnsi="Times New Roman" w:cs="Times New Roman"/>
          <w:color w:val="000000" w:themeColor="text1"/>
          <w:sz w:val="24"/>
          <w:szCs w:val="24"/>
        </w:rPr>
        <w:t>时、</w:t>
      </w:r>
      <w:r>
        <w:rPr>
          <w:rFonts w:ascii="Times New Roman" w:hAnsi="Times New Roman" w:cs="Times New Roman"/>
          <w:color w:val="000000" w:themeColor="text1"/>
          <w:sz w:val="24"/>
          <w:szCs w:val="24"/>
        </w:rPr>
        <w:t xml:space="preserve">20 </w:t>
      </w:r>
      <w:r>
        <w:rPr>
          <w:rFonts w:hint="eastAsia" w:ascii="Times New Roman" w:hAnsi="Times New Roman" w:cs="Times New Roman"/>
          <w:color w:val="000000" w:themeColor="text1"/>
          <w:sz w:val="24"/>
          <w:szCs w:val="24"/>
        </w:rPr>
        <w:t>时）；同步监测气温、气压、风向、风速等气象参数。</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4</w:t>
      </w:r>
      <w:r>
        <w:rPr>
          <w:rFonts w:hint="eastAsia" w:ascii="Times New Roman" w:hAnsi="Times New Roman" w:cs="Times New Roman"/>
          <w:color w:val="000000" w:themeColor="text1"/>
          <w:sz w:val="24"/>
          <w:szCs w:val="24"/>
        </w:rPr>
        <w:t>）监测分析方法及监测仪器</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采样方法按《环境空气质量手工监测技术规范》（</w:t>
      </w:r>
      <w:r>
        <w:rPr>
          <w:rFonts w:ascii="Times New Roman" w:hAnsi="Times New Roman" w:cs="Times New Roman"/>
          <w:color w:val="000000" w:themeColor="text1"/>
          <w:sz w:val="24"/>
          <w:szCs w:val="24"/>
        </w:rPr>
        <w:t>HJ/T194-2005</w:t>
      </w:r>
      <w:r>
        <w:rPr>
          <w:rFonts w:hint="eastAsia" w:ascii="Times New Roman" w:hAnsi="Times New Roman" w:cs="Times New Roman"/>
          <w:color w:val="000000" w:themeColor="text1"/>
          <w:sz w:val="24"/>
          <w:szCs w:val="24"/>
        </w:rPr>
        <w:t>）执行，分析方法按《环境空气质量标准》（</w:t>
      </w:r>
      <w:r>
        <w:rPr>
          <w:rFonts w:ascii="Times New Roman" w:hAnsi="Times New Roman" w:cs="Times New Roman"/>
          <w:color w:val="000000" w:themeColor="text1"/>
          <w:sz w:val="24"/>
          <w:szCs w:val="24"/>
        </w:rPr>
        <w:t>GB3095-2012</w:t>
      </w:r>
      <w:r>
        <w:rPr>
          <w:rFonts w:hint="eastAsia" w:ascii="Times New Roman" w:hAnsi="Times New Roman" w:cs="Times New Roman"/>
          <w:color w:val="000000" w:themeColor="text1"/>
          <w:sz w:val="24"/>
          <w:szCs w:val="24"/>
        </w:rPr>
        <w:t>）中表3的规定进行，同时给出各监测因子的分析方法及其检出限。监测分析方法及检出限见表</w:t>
      </w:r>
      <w:r>
        <w:rPr>
          <w:rFonts w:ascii="Times New Roman" w:hAnsi="Times New Roman" w:cs="Times New Roman"/>
          <w:color w:val="000000" w:themeColor="text1"/>
          <w:sz w:val="24"/>
          <w:szCs w:val="24"/>
        </w:rPr>
        <w:t>4</w:t>
      </w:r>
      <w:r>
        <w:rPr>
          <w:rFonts w:hint="eastAsia" w:ascii="Times New Roman" w:hAnsi="Times New Roman" w:cs="Times New Roman"/>
          <w:color w:val="000000" w:themeColor="text1"/>
          <w:sz w:val="24"/>
          <w:szCs w:val="24"/>
        </w:rPr>
        <w:t>-1。</w:t>
      </w:r>
    </w:p>
    <w:p>
      <w:pPr>
        <w:spacing w:line="360" w:lineRule="auto"/>
        <w:ind w:firstLine="482" w:firstLineChars="200"/>
        <w:jc w:val="center"/>
        <w:rPr>
          <w:rFonts w:ascii="Times New Roman" w:hAnsi="Times New Roman" w:eastAsia="宋体"/>
          <w:b/>
          <w:color w:val="000000" w:themeColor="text1"/>
          <w:sz w:val="24"/>
          <w:szCs w:val="20"/>
        </w:rPr>
      </w:pPr>
      <w:r>
        <w:rPr>
          <w:rFonts w:hint="eastAsia" w:ascii="Times New Roman" w:hAnsi="Times New Roman" w:eastAsia="宋体"/>
          <w:b/>
          <w:color w:val="000000" w:themeColor="text1"/>
          <w:sz w:val="24"/>
          <w:szCs w:val="20"/>
        </w:rPr>
        <w:t xml:space="preserve">  </w:t>
      </w:r>
      <w:r>
        <w:rPr>
          <w:rFonts w:ascii="Times New Roman" w:hAnsi="Times New Roman" w:eastAsia="宋体"/>
          <w:b/>
          <w:color w:val="000000" w:themeColor="text1"/>
          <w:sz w:val="24"/>
          <w:szCs w:val="20"/>
        </w:rPr>
        <w:t>表</w:t>
      </w:r>
      <w:r>
        <w:rPr>
          <w:rFonts w:hint="eastAsia" w:ascii="Times New Roman" w:hAnsi="Times New Roman" w:eastAsia="宋体"/>
          <w:b/>
          <w:color w:val="000000" w:themeColor="text1"/>
          <w:sz w:val="24"/>
          <w:szCs w:val="20"/>
        </w:rPr>
        <w:t>4-1   环境空气质量现状检测分析方法一览表</w:t>
      </w:r>
    </w:p>
    <w:tbl>
      <w:tblPr>
        <w:tblStyle w:val="27"/>
        <w:tblW w:w="841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0"/>
        <w:gridCol w:w="1985"/>
        <w:gridCol w:w="1941"/>
        <w:gridCol w:w="1941"/>
        <w:gridCol w:w="16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920" w:type="dxa"/>
            <w:tcMar>
              <w:top w:w="0" w:type="dxa"/>
              <w:left w:w="0" w:type="dxa"/>
              <w:bottom w:w="0" w:type="dxa"/>
              <w:right w:w="0" w:type="dxa"/>
            </w:tcMar>
            <w:vAlign w:val="center"/>
          </w:tcPr>
          <w:p>
            <w:pPr>
              <w:tabs>
                <w:tab w:val="left" w:pos="0"/>
              </w:tabs>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监测项目</w:t>
            </w:r>
          </w:p>
        </w:tc>
        <w:tc>
          <w:tcPr>
            <w:tcW w:w="1985" w:type="dxa"/>
            <w:tcBorders>
              <w:right w:val="single" w:color="auto" w:sz="4" w:space="0"/>
            </w:tcBorders>
            <w:tcMar>
              <w:top w:w="0" w:type="dxa"/>
              <w:left w:w="0" w:type="dxa"/>
              <w:bottom w:w="0" w:type="dxa"/>
              <w:right w:w="0" w:type="dxa"/>
            </w:tcMar>
            <w:vAlign w:val="center"/>
          </w:tcPr>
          <w:p>
            <w:pPr>
              <w:tabs>
                <w:tab w:val="left" w:pos="0"/>
              </w:tabs>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分析方法</w:t>
            </w:r>
          </w:p>
        </w:tc>
        <w:tc>
          <w:tcPr>
            <w:tcW w:w="1941" w:type="dxa"/>
            <w:tcBorders>
              <w:right w:val="single" w:color="auto" w:sz="4" w:space="0"/>
            </w:tcBorders>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方法来源</w:t>
            </w:r>
          </w:p>
        </w:tc>
        <w:tc>
          <w:tcPr>
            <w:tcW w:w="1941" w:type="dxa"/>
            <w:tcBorders>
              <w:left w:val="single" w:color="auto" w:sz="4" w:space="0"/>
              <w:right w:val="single" w:color="auto" w:sz="4" w:space="0"/>
            </w:tcBorders>
            <w:vAlign w:val="center"/>
          </w:tcPr>
          <w:p>
            <w:pPr>
              <w:tabs>
                <w:tab w:val="left" w:pos="0"/>
              </w:tabs>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仪器名称/编号</w:t>
            </w:r>
          </w:p>
        </w:tc>
        <w:tc>
          <w:tcPr>
            <w:tcW w:w="1632" w:type="dxa"/>
            <w:tcBorders>
              <w:left w:val="single" w:color="auto" w:sz="4" w:space="0"/>
            </w:tcBorders>
            <w:vAlign w:val="center"/>
          </w:tcPr>
          <w:p>
            <w:pPr>
              <w:tabs>
                <w:tab w:val="left" w:pos="0"/>
              </w:tabs>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检出浓度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920" w:type="dxa"/>
            <w:tcMar>
              <w:top w:w="0" w:type="dxa"/>
              <w:left w:w="0" w:type="dxa"/>
              <w:bottom w:w="0" w:type="dxa"/>
              <w:right w:w="0" w:type="dxa"/>
            </w:tcMar>
            <w:vAlign w:val="center"/>
          </w:tcPr>
          <w:p>
            <w:pPr>
              <w:tabs>
                <w:tab w:val="left" w:pos="0"/>
              </w:tabs>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氨</w:t>
            </w:r>
          </w:p>
        </w:tc>
        <w:tc>
          <w:tcPr>
            <w:tcW w:w="1985" w:type="dxa"/>
            <w:tcBorders>
              <w:right w:val="single" w:color="auto" w:sz="4" w:space="0"/>
            </w:tcBorders>
            <w:tcMar>
              <w:top w:w="0" w:type="dxa"/>
              <w:left w:w="0" w:type="dxa"/>
              <w:bottom w:w="0" w:type="dxa"/>
              <w:right w:w="0" w:type="dxa"/>
            </w:tcMar>
            <w:vAlign w:val="center"/>
          </w:tcPr>
          <w:p>
            <w:pPr>
              <w:snapToGrid w:val="0"/>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次氯酸钠-水杨酸分光光度法</w:t>
            </w:r>
          </w:p>
        </w:tc>
        <w:tc>
          <w:tcPr>
            <w:tcW w:w="1941" w:type="dxa"/>
            <w:tcBorders>
              <w:right w:val="single" w:color="auto" w:sz="4" w:space="0"/>
            </w:tcBorders>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HJ 534-2009</w:t>
            </w:r>
          </w:p>
        </w:tc>
        <w:tc>
          <w:tcPr>
            <w:tcW w:w="1941" w:type="dxa"/>
            <w:tcBorders>
              <w:left w:val="single" w:color="auto" w:sz="4" w:space="0"/>
              <w:right w:val="single" w:color="auto" w:sz="4" w:space="0"/>
            </w:tcBorders>
            <w:vAlign w:val="center"/>
          </w:tcPr>
          <w:p>
            <w:pPr>
              <w:snapToGrid w:val="0"/>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szCs w:val="21"/>
                <w:lang w:val="pt-BR"/>
              </w:rPr>
              <w:t>紫外可见分光光度计</w:t>
            </w:r>
            <w:r>
              <w:rPr>
                <w:rFonts w:ascii="Times New Roman" w:hAnsi="Times New Roman" w:cs="Times New Roman" w:eastAsiaTheme="majorEastAsia"/>
                <w:color w:val="000000" w:themeColor="text1"/>
                <w:kern w:val="0"/>
              </w:rPr>
              <w:t>（UV-1800、IE-0179）</w:t>
            </w:r>
          </w:p>
        </w:tc>
        <w:tc>
          <w:tcPr>
            <w:tcW w:w="1632" w:type="dxa"/>
            <w:tcBorders>
              <w:left w:val="single" w:color="auto" w:sz="4" w:space="0"/>
            </w:tcBorders>
            <w:vAlign w:val="center"/>
          </w:tcPr>
          <w:p>
            <w:pPr>
              <w:tabs>
                <w:tab w:val="left" w:pos="0"/>
              </w:tabs>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0.001 mg/m</w:t>
            </w:r>
            <w:r>
              <w:rPr>
                <w:rFonts w:ascii="Times New Roman" w:hAnsi="Times New Roman" w:cs="Times New Roman" w:eastAsiaTheme="majorEastAsia"/>
                <w:color w:val="000000" w:themeColor="text1"/>
                <w:szCs w:val="21"/>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920" w:type="dxa"/>
            <w:tcMar>
              <w:top w:w="0" w:type="dxa"/>
              <w:left w:w="0" w:type="dxa"/>
              <w:bottom w:w="0" w:type="dxa"/>
              <w:right w:w="0" w:type="dxa"/>
            </w:tcMar>
            <w:vAlign w:val="center"/>
          </w:tcPr>
          <w:p>
            <w:pPr>
              <w:tabs>
                <w:tab w:val="left" w:pos="0"/>
              </w:tabs>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H</w:t>
            </w:r>
            <w:r>
              <w:rPr>
                <w:rFonts w:ascii="Times New Roman" w:hAnsi="Times New Roman" w:cs="Times New Roman" w:eastAsiaTheme="majorEastAsia"/>
                <w:color w:val="000000" w:themeColor="text1"/>
                <w:szCs w:val="21"/>
                <w:vertAlign w:val="subscript"/>
              </w:rPr>
              <w:t>2</w:t>
            </w:r>
            <w:r>
              <w:rPr>
                <w:rFonts w:ascii="Times New Roman" w:hAnsi="Times New Roman" w:cs="Times New Roman" w:eastAsiaTheme="majorEastAsia"/>
                <w:color w:val="000000" w:themeColor="text1"/>
                <w:szCs w:val="21"/>
              </w:rPr>
              <w:t>S</w:t>
            </w:r>
          </w:p>
        </w:tc>
        <w:tc>
          <w:tcPr>
            <w:tcW w:w="1985" w:type="dxa"/>
            <w:tcBorders>
              <w:right w:val="single" w:color="auto" w:sz="4" w:space="0"/>
            </w:tcBorders>
            <w:tcMar>
              <w:top w:w="0" w:type="dxa"/>
              <w:left w:w="0" w:type="dxa"/>
              <w:bottom w:w="0" w:type="dxa"/>
              <w:right w:w="0" w:type="dxa"/>
            </w:tcMar>
            <w:vAlign w:val="center"/>
          </w:tcPr>
          <w:p>
            <w:pPr>
              <w:snapToGrid w:val="0"/>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亚甲基蓝分光光度法</w:t>
            </w:r>
          </w:p>
        </w:tc>
        <w:tc>
          <w:tcPr>
            <w:tcW w:w="1941" w:type="dxa"/>
            <w:tcBorders>
              <w:right w:val="single" w:color="auto" w:sz="4" w:space="0"/>
            </w:tcBorders>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《空气和废气监测分析方法》（第四版）（增补版）国家环境保护总局（2003年）3.1.11.2</w:t>
            </w:r>
          </w:p>
        </w:tc>
        <w:tc>
          <w:tcPr>
            <w:tcW w:w="1941" w:type="dxa"/>
            <w:tcBorders>
              <w:left w:val="single" w:color="auto" w:sz="4" w:space="0"/>
              <w:right w:val="single" w:color="auto" w:sz="4" w:space="0"/>
            </w:tcBorders>
            <w:vAlign w:val="center"/>
          </w:tcPr>
          <w:p>
            <w:pPr>
              <w:snapToGrid w:val="0"/>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szCs w:val="21"/>
                <w:lang w:val="pt-BR"/>
              </w:rPr>
              <w:t>紫外可见分光光度计</w:t>
            </w:r>
            <w:r>
              <w:rPr>
                <w:rFonts w:ascii="Times New Roman" w:hAnsi="Times New Roman" w:cs="Times New Roman" w:eastAsiaTheme="majorEastAsia"/>
                <w:color w:val="000000" w:themeColor="text1"/>
                <w:kern w:val="0"/>
              </w:rPr>
              <w:t>（UV-1800、IE-0179）</w:t>
            </w:r>
          </w:p>
        </w:tc>
        <w:tc>
          <w:tcPr>
            <w:tcW w:w="1632" w:type="dxa"/>
            <w:tcBorders>
              <w:left w:val="single" w:color="auto" w:sz="4" w:space="0"/>
            </w:tcBorders>
            <w:vAlign w:val="center"/>
          </w:tcPr>
          <w:p>
            <w:pPr>
              <w:tabs>
                <w:tab w:val="left" w:pos="0"/>
              </w:tabs>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0.004mg/m</w:t>
            </w:r>
            <w:r>
              <w:rPr>
                <w:rFonts w:ascii="Times New Roman" w:hAnsi="Times New Roman" w:cs="Times New Roman" w:eastAsiaTheme="majorEastAsia"/>
                <w:color w:val="000000" w:themeColor="text1"/>
                <w:szCs w:val="21"/>
                <w:vertAlign w:val="superscript"/>
              </w:rPr>
              <w:t>3</w:t>
            </w:r>
          </w:p>
        </w:tc>
      </w:tr>
    </w:tbl>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（5）监测结果</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区域环境空气质量现状监测数据统计结果见表4-2。</w:t>
      </w:r>
    </w:p>
    <w:p>
      <w:pPr>
        <w:spacing w:line="360" w:lineRule="auto"/>
        <w:ind w:firstLine="482" w:firstLineChars="200"/>
        <w:jc w:val="center"/>
        <w:rPr>
          <w:rFonts w:ascii="Times New Roman" w:hAnsi="Times New Roman" w:eastAsia="宋体"/>
          <w:b/>
          <w:color w:val="000000" w:themeColor="text1"/>
          <w:sz w:val="24"/>
          <w:szCs w:val="20"/>
        </w:rPr>
      </w:pPr>
      <w:r>
        <w:rPr>
          <w:rFonts w:ascii="Times New Roman" w:hAnsi="Times New Roman" w:eastAsia="宋体"/>
          <w:b/>
          <w:color w:val="000000" w:themeColor="text1"/>
          <w:sz w:val="24"/>
          <w:szCs w:val="20"/>
        </w:rPr>
        <w:t>表</w:t>
      </w:r>
      <w:r>
        <w:rPr>
          <w:rFonts w:hint="eastAsia" w:ascii="Times New Roman" w:hAnsi="Times New Roman" w:eastAsia="宋体"/>
          <w:b/>
          <w:color w:val="000000" w:themeColor="text1"/>
          <w:sz w:val="24"/>
          <w:szCs w:val="20"/>
        </w:rPr>
        <w:t xml:space="preserve">4-2 </w:t>
      </w:r>
      <w:r>
        <w:rPr>
          <w:rFonts w:ascii="Times New Roman" w:hAnsi="Times New Roman" w:eastAsia="宋体"/>
          <w:b/>
          <w:color w:val="000000" w:themeColor="text1"/>
          <w:sz w:val="24"/>
          <w:szCs w:val="20"/>
        </w:rPr>
        <w:t>区域环境空气质量现状监测浓度数据统计</w:t>
      </w:r>
      <w:r>
        <w:rPr>
          <w:rFonts w:hint="eastAsia" w:ascii="Times New Roman" w:hAnsi="Times New Roman" w:eastAsia="宋体"/>
          <w:b/>
          <w:color w:val="000000" w:themeColor="text1"/>
          <w:sz w:val="24"/>
          <w:szCs w:val="20"/>
        </w:rPr>
        <w:t>结果</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73"/>
        <w:gridCol w:w="1522"/>
        <w:gridCol w:w="1286"/>
        <w:gridCol w:w="1491"/>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9" w:type="dxa"/>
            <w:vMerge w:val="restart"/>
            <w:vAlign w:val="center"/>
          </w:tcPr>
          <w:p>
            <w:pPr>
              <w:spacing w:line="276" w:lineRule="auto"/>
              <w:jc w:val="center"/>
              <w:rPr>
                <w:rFonts w:ascii="Times New Roman" w:hAnsi="Times New Roman" w:eastAsia="宋体"/>
                <w:color w:val="000000" w:themeColor="text1"/>
                <w:szCs w:val="21"/>
              </w:rPr>
            </w:pPr>
            <w:r>
              <w:rPr>
                <w:rFonts w:ascii="Times New Roman" w:hAnsi="Times New Roman" w:eastAsia="宋体"/>
                <w:color w:val="000000" w:themeColor="text1"/>
                <w:szCs w:val="21"/>
              </w:rPr>
              <w:t>污染物名称</w:t>
            </w:r>
          </w:p>
        </w:tc>
        <w:tc>
          <w:tcPr>
            <w:tcW w:w="1773" w:type="dxa"/>
            <w:vMerge w:val="restart"/>
            <w:vAlign w:val="center"/>
          </w:tcPr>
          <w:p>
            <w:pPr>
              <w:spacing w:line="276" w:lineRule="auto"/>
              <w:jc w:val="center"/>
              <w:rPr>
                <w:rFonts w:ascii="Times New Roman" w:hAnsi="Times New Roman" w:eastAsia="宋体"/>
                <w:color w:val="000000" w:themeColor="text1"/>
                <w:szCs w:val="21"/>
              </w:rPr>
            </w:pPr>
            <w:r>
              <w:rPr>
                <w:rFonts w:ascii="Times New Roman" w:hAnsi="Times New Roman" w:eastAsia="宋体"/>
                <w:color w:val="000000" w:themeColor="text1"/>
                <w:szCs w:val="21"/>
              </w:rPr>
              <w:t>监测点名称</w:t>
            </w:r>
          </w:p>
        </w:tc>
        <w:tc>
          <w:tcPr>
            <w:tcW w:w="2808" w:type="dxa"/>
            <w:gridSpan w:val="2"/>
            <w:vAlign w:val="center"/>
          </w:tcPr>
          <w:p>
            <w:pPr>
              <w:spacing w:line="276" w:lineRule="auto"/>
              <w:jc w:val="center"/>
              <w:rPr>
                <w:rFonts w:ascii="Times New Roman" w:hAnsi="Times New Roman" w:eastAsia="宋体"/>
                <w:color w:val="000000" w:themeColor="text1"/>
                <w:szCs w:val="21"/>
              </w:rPr>
            </w:pPr>
            <w:r>
              <w:rPr>
                <w:rFonts w:ascii="Times New Roman" w:hAnsi="Times New Roman" w:eastAsia="宋体"/>
                <w:color w:val="000000" w:themeColor="text1"/>
                <w:szCs w:val="21"/>
              </w:rPr>
              <w:t>标准值</w:t>
            </w:r>
          </w:p>
        </w:tc>
        <w:tc>
          <w:tcPr>
            <w:tcW w:w="2982" w:type="dxa"/>
            <w:gridSpan w:val="2"/>
            <w:vAlign w:val="center"/>
          </w:tcPr>
          <w:p>
            <w:pPr>
              <w:spacing w:line="276" w:lineRule="auto"/>
              <w:jc w:val="center"/>
              <w:rPr>
                <w:rFonts w:ascii="Times New Roman" w:hAnsi="Times New Roman" w:eastAsia="宋体"/>
                <w:color w:val="000000" w:themeColor="text1"/>
                <w:szCs w:val="21"/>
              </w:rPr>
            </w:pPr>
            <w:r>
              <w:rPr>
                <w:rFonts w:ascii="Times New Roman" w:hAnsi="Times New Roman" w:eastAsia="宋体"/>
                <w:color w:val="000000" w:themeColor="text1"/>
                <w:szCs w:val="21"/>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9" w:type="dxa"/>
            <w:vMerge w:val="continue"/>
            <w:vAlign w:val="center"/>
          </w:tcPr>
          <w:p>
            <w:pPr>
              <w:spacing w:line="276" w:lineRule="auto"/>
              <w:jc w:val="center"/>
              <w:rPr>
                <w:rFonts w:ascii="Times New Roman" w:hAnsi="Times New Roman" w:eastAsia="宋体"/>
                <w:color w:val="000000" w:themeColor="text1"/>
                <w:szCs w:val="21"/>
              </w:rPr>
            </w:pPr>
          </w:p>
        </w:tc>
        <w:tc>
          <w:tcPr>
            <w:tcW w:w="1773" w:type="dxa"/>
            <w:vMerge w:val="continue"/>
            <w:vAlign w:val="center"/>
          </w:tcPr>
          <w:p>
            <w:pPr>
              <w:spacing w:line="276" w:lineRule="auto"/>
              <w:jc w:val="center"/>
              <w:rPr>
                <w:rFonts w:ascii="Times New Roman" w:hAnsi="Times New Roman" w:eastAsia="宋体"/>
                <w:color w:val="000000" w:themeColor="text1"/>
                <w:szCs w:val="21"/>
              </w:rPr>
            </w:pPr>
          </w:p>
        </w:tc>
        <w:tc>
          <w:tcPr>
            <w:tcW w:w="1522" w:type="dxa"/>
            <w:vAlign w:val="center"/>
          </w:tcPr>
          <w:p>
            <w:pPr>
              <w:spacing w:line="276" w:lineRule="auto"/>
              <w:jc w:val="center"/>
              <w:rPr>
                <w:rFonts w:ascii="Times New Roman" w:hAnsi="Times New Roman" w:eastAsia="宋体"/>
                <w:color w:val="000000" w:themeColor="text1"/>
                <w:szCs w:val="21"/>
              </w:rPr>
            </w:pPr>
            <w:r>
              <w:rPr>
                <w:rFonts w:ascii="Times New Roman" w:hAnsi="Times New Roman" w:eastAsia="宋体"/>
                <w:color w:val="000000" w:themeColor="text1"/>
                <w:szCs w:val="21"/>
              </w:rPr>
              <w:t>1小时平均浓度</w:t>
            </w:r>
            <w:r>
              <w:rPr>
                <w:rFonts w:hint="eastAsia" w:ascii="Times New Roman" w:hAnsi="Times New Roman" w:eastAsia="宋体"/>
                <w:color w:val="000000" w:themeColor="text1"/>
                <w:szCs w:val="21"/>
              </w:rPr>
              <w:t>/</w:t>
            </w:r>
            <w:r>
              <w:rPr>
                <w:rFonts w:ascii="Times New Roman" w:hAnsi="Times New Roman" w:eastAsia="宋体"/>
                <w:color w:val="000000" w:themeColor="text1"/>
                <w:szCs w:val="21"/>
              </w:rPr>
              <w:t xml:space="preserve"> H</w:t>
            </w:r>
            <w:r>
              <w:rPr>
                <w:rFonts w:ascii="Times New Roman" w:hAnsi="Times New Roman" w:eastAsia="宋体"/>
                <w:color w:val="000000" w:themeColor="text1"/>
                <w:szCs w:val="21"/>
                <w:vertAlign w:val="subscript"/>
              </w:rPr>
              <w:t>2</w:t>
            </w:r>
            <w:r>
              <w:rPr>
                <w:rFonts w:ascii="Times New Roman" w:hAnsi="Times New Roman" w:eastAsia="宋体"/>
                <w:color w:val="000000" w:themeColor="text1"/>
                <w:szCs w:val="21"/>
              </w:rPr>
              <w:t>S</w:t>
            </w:r>
            <w:r>
              <w:rPr>
                <w:rFonts w:hint="eastAsia" w:ascii="Times New Roman" w:hAnsi="Times New Roman" w:eastAsia="宋体"/>
                <w:color w:val="000000" w:themeColor="text1"/>
                <w:szCs w:val="21"/>
              </w:rPr>
              <w:t>1次最高允许浓度</w:t>
            </w:r>
            <w:r>
              <w:rPr>
                <w:rFonts w:ascii="Times New Roman" w:hAnsi="Times New Roman" w:eastAsia="宋体"/>
                <w:color w:val="000000" w:themeColor="text1"/>
                <w:szCs w:val="21"/>
              </w:rPr>
              <w:t>（mg/</w:t>
            </w:r>
            <w:r>
              <w:rPr>
                <w:rFonts w:ascii="Times New Roman" w:hAnsi="Times New Roman" w:eastAsia="宋体"/>
                <w:color w:val="000000" w:themeColor="text1"/>
                <w:sz w:val="24"/>
                <w:szCs w:val="24"/>
              </w:rPr>
              <w:t xml:space="preserve"> </w:t>
            </w:r>
            <w:r>
              <w:rPr>
                <w:rFonts w:ascii="Times New Roman" w:hAnsi="Times New Roman" w:eastAsia="宋体"/>
                <w:color w:val="000000" w:themeColor="text1"/>
                <w:szCs w:val="21"/>
              </w:rPr>
              <w:t>m</w:t>
            </w:r>
            <w:r>
              <w:rPr>
                <w:rFonts w:ascii="Times New Roman" w:hAnsi="Times New Roman" w:eastAsia="宋体"/>
                <w:color w:val="000000" w:themeColor="text1"/>
                <w:szCs w:val="21"/>
                <w:vertAlign w:val="superscript"/>
              </w:rPr>
              <w:t>3</w:t>
            </w:r>
            <w:r>
              <w:rPr>
                <w:rFonts w:ascii="Times New Roman" w:hAnsi="Times New Roman" w:eastAsia="宋体"/>
                <w:color w:val="000000" w:themeColor="text1"/>
                <w:szCs w:val="21"/>
              </w:rPr>
              <w:t>）</w:t>
            </w:r>
          </w:p>
        </w:tc>
        <w:tc>
          <w:tcPr>
            <w:tcW w:w="1286" w:type="dxa"/>
            <w:vAlign w:val="center"/>
          </w:tcPr>
          <w:p>
            <w:pPr>
              <w:spacing w:line="276" w:lineRule="auto"/>
              <w:jc w:val="center"/>
              <w:rPr>
                <w:rFonts w:ascii="Times New Roman" w:hAnsi="Times New Roman" w:eastAsia="宋体"/>
                <w:color w:val="000000" w:themeColor="text1"/>
                <w:szCs w:val="21"/>
              </w:rPr>
            </w:pPr>
            <w:r>
              <w:rPr>
                <w:rFonts w:ascii="Times New Roman" w:hAnsi="Times New Roman" w:eastAsia="宋体"/>
                <w:color w:val="000000" w:themeColor="text1"/>
                <w:szCs w:val="21"/>
              </w:rPr>
              <w:t>24小时平均浓度（mg/</w:t>
            </w:r>
            <w:r>
              <w:rPr>
                <w:rFonts w:ascii="Times New Roman" w:hAnsi="Times New Roman" w:eastAsia="宋体"/>
                <w:color w:val="000000" w:themeColor="text1"/>
                <w:sz w:val="24"/>
                <w:szCs w:val="24"/>
              </w:rPr>
              <w:t xml:space="preserve"> </w:t>
            </w:r>
            <w:r>
              <w:rPr>
                <w:rFonts w:ascii="Times New Roman" w:hAnsi="Times New Roman" w:eastAsia="宋体"/>
                <w:color w:val="000000" w:themeColor="text1"/>
                <w:szCs w:val="21"/>
              </w:rPr>
              <w:t>m</w:t>
            </w:r>
            <w:r>
              <w:rPr>
                <w:rFonts w:ascii="Times New Roman" w:hAnsi="Times New Roman" w:eastAsia="宋体"/>
                <w:color w:val="000000" w:themeColor="text1"/>
                <w:szCs w:val="21"/>
                <w:vertAlign w:val="superscript"/>
              </w:rPr>
              <w:t>3</w:t>
            </w:r>
            <w:r>
              <w:rPr>
                <w:rFonts w:ascii="Times New Roman" w:hAnsi="Times New Roman" w:eastAsia="宋体"/>
                <w:color w:val="000000" w:themeColor="text1"/>
                <w:szCs w:val="21"/>
              </w:rPr>
              <w:t>）</w:t>
            </w:r>
          </w:p>
        </w:tc>
        <w:tc>
          <w:tcPr>
            <w:tcW w:w="1491" w:type="dxa"/>
            <w:vAlign w:val="center"/>
          </w:tcPr>
          <w:p>
            <w:pPr>
              <w:spacing w:line="276" w:lineRule="auto"/>
              <w:jc w:val="center"/>
              <w:rPr>
                <w:rFonts w:ascii="Times New Roman" w:hAnsi="Times New Roman" w:eastAsia="宋体"/>
                <w:color w:val="000000" w:themeColor="text1"/>
                <w:szCs w:val="21"/>
              </w:rPr>
            </w:pPr>
            <w:r>
              <w:rPr>
                <w:rFonts w:ascii="Times New Roman" w:hAnsi="Times New Roman" w:eastAsia="宋体"/>
                <w:color w:val="000000" w:themeColor="text1"/>
                <w:szCs w:val="21"/>
              </w:rPr>
              <w:t>1小时平均浓度（mg/</w:t>
            </w:r>
            <w:r>
              <w:rPr>
                <w:rFonts w:ascii="Times New Roman" w:hAnsi="Times New Roman" w:eastAsia="宋体"/>
                <w:color w:val="000000" w:themeColor="text1"/>
                <w:sz w:val="24"/>
                <w:szCs w:val="24"/>
              </w:rPr>
              <w:t xml:space="preserve"> </w:t>
            </w:r>
            <w:r>
              <w:rPr>
                <w:rFonts w:ascii="Times New Roman" w:hAnsi="Times New Roman" w:eastAsia="宋体"/>
                <w:color w:val="000000" w:themeColor="text1"/>
                <w:szCs w:val="21"/>
              </w:rPr>
              <w:t>m</w:t>
            </w:r>
            <w:r>
              <w:rPr>
                <w:rFonts w:ascii="Times New Roman" w:hAnsi="Times New Roman" w:eastAsia="宋体"/>
                <w:color w:val="000000" w:themeColor="text1"/>
                <w:szCs w:val="21"/>
                <w:vertAlign w:val="superscript"/>
              </w:rPr>
              <w:t>3</w:t>
            </w:r>
            <w:r>
              <w:rPr>
                <w:rFonts w:ascii="Times New Roman" w:hAnsi="Times New Roman" w:eastAsia="宋体"/>
                <w:color w:val="000000" w:themeColor="text1"/>
                <w:szCs w:val="21"/>
              </w:rPr>
              <w:t>）</w:t>
            </w:r>
          </w:p>
        </w:tc>
        <w:tc>
          <w:tcPr>
            <w:tcW w:w="1491" w:type="dxa"/>
            <w:vAlign w:val="center"/>
          </w:tcPr>
          <w:p>
            <w:pPr>
              <w:spacing w:line="276" w:lineRule="auto"/>
              <w:jc w:val="center"/>
              <w:rPr>
                <w:rFonts w:ascii="Times New Roman" w:hAnsi="Times New Roman" w:eastAsia="宋体"/>
                <w:color w:val="000000" w:themeColor="text1"/>
                <w:szCs w:val="21"/>
              </w:rPr>
            </w:pPr>
            <w:r>
              <w:rPr>
                <w:rFonts w:ascii="Times New Roman" w:hAnsi="Times New Roman" w:eastAsia="宋体"/>
                <w:color w:val="000000" w:themeColor="text1"/>
                <w:szCs w:val="21"/>
              </w:rPr>
              <w:t>24小时平均/O</w:t>
            </w:r>
            <w:r>
              <w:rPr>
                <w:rFonts w:ascii="Times New Roman" w:hAnsi="Times New Roman" w:eastAsia="宋体"/>
                <w:color w:val="000000" w:themeColor="text1"/>
                <w:szCs w:val="21"/>
                <w:vertAlign w:val="subscript"/>
              </w:rPr>
              <w:t>3</w:t>
            </w:r>
            <w:r>
              <w:rPr>
                <w:rFonts w:ascii="Times New Roman" w:hAnsi="Times New Roman" w:eastAsia="宋体"/>
                <w:color w:val="000000" w:themeColor="text1"/>
                <w:szCs w:val="21"/>
              </w:rPr>
              <w:t>8小时浓度（mg/</w:t>
            </w:r>
            <w:r>
              <w:rPr>
                <w:rFonts w:ascii="Times New Roman" w:hAnsi="Times New Roman" w:eastAsia="宋体"/>
                <w:color w:val="000000" w:themeColor="text1"/>
                <w:sz w:val="24"/>
                <w:szCs w:val="24"/>
              </w:rPr>
              <w:t xml:space="preserve"> </w:t>
            </w:r>
            <w:r>
              <w:rPr>
                <w:rFonts w:ascii="Times New Roman" w:hAnsi="Times New Roman" w:eastAsia="宋体"/>
                <w:color w:val="000000" w:themeColor="text1"/>
                <w:szCs w:val="21"/>
              </w:rPr>
              <w:t>m</w:t>
            </w:r>
            <w:r>
              <w:rPr>
                <w:rFonts w:ascii="Times New Roman" w:hAnsi="Times New Roman" w:eastAsia="宋体"/>
                <w:color w:val="000000" w:themeColor="text1"/>
                <w:szCs w:val="21"/>
                <w:vertAlign w:val="superscript"/>
              </w:rPr>
              <w:t>3</w:t>
            </w:r>
            <w:r>
              <w:rPr>
                <w:rFonts w:ascii="Times New Roman" w:hAnsi="Times New Roman" w:eastAsia="宋体"/>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9" w:type="dxa"/>
            <w:vMerge w:val="restart"/>
            <w:vAlign w:val="center"/>
          </w:tcPr>
          <w:p>
            <w:pPr>
              <w:tabs>
                <w:tab w:val="left" w:pos="0"/>
              </w:tabs>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氨</w:t>
            </w:r>
          </w:p>
        </w:tc>
        <w:tc>
          <w:tcPr>
            <w:tcW w:w="1773" w:type="dxa"/>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保定市第一中医院院内</w:t>
            </w:r>
          </w:p>
        </w:tc>
        <w:tc>
          <w:tcPr>
            <w:tcW w:w="1522" w:type="dxa"/>
            <w:vMerge w:val="restart"/>
            <w:vAlign w:val="center"/>
          </w:tcPr>
          <w:p>
            <w:pPr>
              <w:spacing w:line="276" w:lineRule="auto"/>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0.20</w:t>
            </w:r>
          </w:p>
        </w:tc>
        <w:tc>
          <w:tcPr>
            <w:tcW w:w="1286" w:type="dxa"/>
            <w:vMerge w:val="restart"/>
            <w:vAlign w:val="center"/>
          </w:tcPr>
          <w:p>
            <w:pPr>
              <w:spacing w:line="276" w:lineRule="auto"/>
              <w:jc w:val="center"/>
              <w:rPr>
                <w:rFonts w:ascii="Times New Roman" w:hAnsi="Times New Roman" w:eastAsia="宋体"/>
                <w:color w:val="000000" w:themeColor="text1"/>
                <w:szCs w:val="21"/>
              </w:rPr>
            </w:pPr>
            <w:r>
              <w:rPr>
                <w:rFonts w:hint="eastAsia" w:ascii="宋体" w:hAnsi="宋体" w:eastAsia="宋体"/>
                <w:color w:val="000000" w:themeColor="text1"/>
                <w:szCs w:val="21"/>
              </w:rPr>
              <w:t>─</w:t>
            </w:r>
          </w:p>
        </w:tc>
        <w:tc>
          <w:tcPr>
            <w:tcW w:w="1491" w:type="dxa"/>
            <w:vAlign w:val="center"/>
          </w:tcPr>
          <w:p>
            <w:pPr>
              <w:spacing w:line="276" w:lineRule="auto"/>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0.022</w:t>
            </w:r>
            <w:r>
              <w:rPr>
                <w:rFonts w:ascii="Times New Roman" w:hAnsi="Times New Roman" w:eastAsia="宋体" w:cs="Times New Roman"/>
                <w:color w:val="000000" w:themeColor="text1"/>
                <w:szCs w:val="21"/>
              </w:rPr>
              <w:t>~</w:t>
            </w:r>
            <w:r>
              <w:rPr>
                <w:rFonts w:hint="eastAsia" w:ascii="Times New Roman" w:hAnsi="Times New Roman" w:eastAsia="宋体"/>
                <w:color w:val="000000" w:themeColor="text1"/>
                <w:szCs w:val="21"/>
              </w:rPr>
              <w:t>0.047</w:t>
            </w:r>
          </w:p>
        </w:tc>
        <w:tc>
          <w:tcPr>
            <w:tcW w:w="1491" w:type="dxa"/>
            <w:vAlign w:val="center"/>
          </w:tcPr>
          <w:p>
            <w:pPr>
              <w:spacing w:line="276" w:lineRule="auto"/>
              <w:jc w:val="center"/>
              <w:rPr>
                <w:rFonts w:ascii="Times New Roman" w:hAnsi="Times New Roman" w:eastAsia="宋体"/>
                <w:color w:val="000000" w:themeColor="text1"/>
                <w:szCs w:val="21"/>
              </w:rPr>
            </w:pPr>
            <w:r>
              <w:rPr>
                <w:rFonts w:hint="eastAsia" w:ascii="宋体" w:hAnsi="宋体" w:eastAsia="宋体"/>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9" w:type="dxa"/>
            <w:vMerge w:val="continue"/>
            <w:vAlign w:val="center"/>
          </w:tcPr>
          <w:p>
            <w:pPr>
              <w:spacing w:line="276" w:lineRule="auto"/>
              <w:jc w:val="center"/>
              <w:rPr>
                <w:rFonts w:ascii="Times New Roman" w:hAnsi="Times New Roman" w:eastAsia="宋体"/>
                <w:color w:val="000000" w:themeColor="text1"/>
                <w:szCs w:val="21"/>
              </w:rPr>
            </w:pPr>
          </w:p>
        </w:tc>
        <w:tc>
          <w:tcPr>
            <w:tcW w:w="1773" w:type="dxa"/>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红星花园小区</w:t>
            </w:r>
          </w:p>
        </w:tc>
        <w:tc>
          <w:tcPr>
            <w:tcW w:w="1522" w:type="dxa"/>
            <w:vMerge w:val="continue"/>
            <w:vAlign w:val="center"/>
          </w:tcPr>
          <w:p>
            <w:pPr>
              <w:spacing w:line="276" w:lineRule="auto"/>
              <w:jc w:val="center"/>
              <w:rPr>
                <w:rFonts w:ascii="Times New Roman" w:hAnsi="Times New Roman" w:eastAsia="宋体"/>
                <w:color w:val="000000" w:themeColor="text1"/>
                <w:szCs w:val="21"/>
              </w:rPr>
            </w:pPr>
          </w:p>
        </w:tc>
        <w:tc>
          <w:tcPr>
            <w:tcW w:w="1286" w:type="dxa"/>
            <w:vMerge w:val="continue"/>
            <w:vAlign w:val="center"/>
          </w:tcPr>
          <w:p>
            <w:pPr>
              <w:spacing w:line="276" w:lineRule="auto"/>
              <w:jc w:val="center"/>
              <w:rPr>
                <w:rFonts w:ascii="Times New Roman" w:hAnsi="Times New Roman" w:eastAsia="宋体"/>
                <w:color w:val="000000" w:themeColor="text1"/>
                <w:szCs w:val="21"/>
              </w:rPr>
            </w:pPr>
          </w:p>
        </w:tc>
        <w:tc>
          <w:tcPr>
            <w:tcW w:w="1491" w:type="dxa"/>
            <w:vAlign w:val="center"/>
          </w:tcPr>
          <w:p>
            <w:pPr>
              <w:spacing w:line="276" w:lineRule="auto"/>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0.033</w:t>
            </w:r>
            <w:r>
              <w:rPr>
                <w:rFonts w:ascii="Times New Roman" w:hAnsi="Times New Roman" w:eastAsia="宋体" w:cs="Times New Roman"/>
                <w:color w:val="000000" w:themeColor="text1"/>
                <w:szCs w:val="21"/>
              </w:rPr>
              <w:t>~</w:t>
            </w:r>
            <w:r>
              <w:rPr>
                <w:rFonts w:hint="eastAsia" w:ascii="Times New Roman" w:hAnsi="Times New Roman" w:eastAsia="宋体"/>
                <w:color w:val="000000" w:themeColor="text1"/>
                <w:szCs w:val="21"/>
              </w:rPr>
              <w:t>0.052</w:t>
            </w:r>
          </w:p>
        </w:tc>
        <w:tc>
          <w:tcPr>
            <w:tcW w:w="1491" w:type="dxa"/>
            <w:vAlign w:val="center"/>
          </w:tcPr>
          <w:p>
            <w:pPr>
              <w:spacing w:line="276" w:lineRule="auto"/>
              <w:jc w:val="center"/>
              <w:rPr>
                <w:rFonts w:ascii="Times New Roman" w:hAnsi="Times New Roman" w:eastAsia="宋体"/>
                <w:color w:val="000000" w:themeColor="text1"/>
                <w:szCs w:val="21"/>
              </w:rPr>
            </w:pPr>
            <w:r>
              <w:rPr>
                <w:rFonts w:hint="eastAsia" w:ascii="宋体" w:hAnsi="宋体" w:eastAsia="宋体"/>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9" w:type="dxa"/>
            <w:vMerge w:val="restart"/>
            <w:vAlign w:val="center"/>
          </w:tcPr>
          <w:p>
            <w:pPr>
              <w:tabs>
                <w:tab w:val="left" w:pos="0"/>
              </w:tabs>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H</w:t>
            </w:r>
            <w:r>
              <w:rPr>
                <w:rFonts w:hint="eastAsia" w:ascii="Times New Roman" w:hAnsi="Times New Roman" w:cs="Times New Roman"/>
                <w:color w:val="000000" w:themeColor="text1"/>
                <w:szCs w:val="21"/>
                <w:vertAlign w:val="subscript"/>
              </w:rPr>
              <w:t>2</w:t>
            </w:r>
            <w:r>
              <w:rPr>
                <w:rFonts w:hint="eastAsia" w:ascii="Times New Roman" w:hAnsi="Times New Roman" w:cs="Times New Roman"/>
                <w:color w:val="000000" w:themeColor="text1"/>
                <w:szCs w:val="21"/>
              </w:rPr>
              <w:t>S</w:t>
            </w:r>
          </w:p>
        </w:tc>
        <w:tc>
          <w:tcPr>
            <w:tcW w:w="1773" w:type="dxa"/>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保定市第一中医院院内</w:t>
            </w:r>
          </w:p>
        </w:tc>
        <w:tc>
          <w:tcPr>
            <w:tcW w:w="1522" w:type="dxa"/>
            <w:vMerge w:val="restart"/>
            <w:vAlign w:val="center"/>
          </w:tcPr>
          <w:p>
            <w:pPr>
              <w:spacing w:line="276" w:lineRule="auto"/>
              <w:jc w:val="center"/>
              <w:rPr>
                <w:rFonts w:ascii="Times New Roman" w:hAnsi="Times New Roman" w:eastAsia="宋体"/>
                <w:color w:val="000000" w:themeColor="text1"/>
                <w:szCs w:val="21"/>
              </w:rPr>
            </w:pPr>
            <w:r>
              <w:rPr>
                <w:rFonts w:ascii="Times New Roman" w:hAnsi="Times New Roman" w:eastAsia="宋体"/>
                <w:color w:val="000000" w:themeColor="text1"/>
                <w:szCs w:val="21"/>
              </w:rPr>
              <w:t>0.0</w:t>
            </w:r>
            <w:r>
              <w:rPr>
                <w:rFonts w:hint="eastAsia" w:ascii="Times New Roman" w:hAnsi="Times New Roman" w:eastAsia="宋体"/>
                <w:color w:val="000000" w:themeColor="text1"/>
                <w:szCs w:val="21"/>
              </w:rPr>
              <w:t>1</w:t>
            </w:r>
          </w:p>
        </w:tc>
        <w:tc>
          <w:tcPr>
            <w:tcW w:w="1286" w:type="dxa"/>
            <w:vMerge w:val="restart"/>
            <w:vAlign w:val="center"/>
          </w:tcPr>
          <w:p>
            <w:pPr>
              <w:spacing w:line="276" w:lineRule="auto"/>
              <w:jc w:val="center"/>
              <w:rPr>
                <w:rFonts w:ascii="Times New Roman" w:hAnsi="Times New Roman" w:eastAsia="宋体"/>
                <w:color w:val="000000" w:themeColor="text1"/>
                <w:szCs w:val="21"/>
              </w:rPr>
            </w:pPr>
            <w:r>
              <w:rPr>
                <w:rFonts w:hint="eastAsia" w:ascii="宋体" w:hAnsi="宋体" w:eastAsia="宋体"/>
                <w:color w:val="000000" w:themeColor="text1"/>
                <w:szCs w:val="21"/>
              </w:rPr>
              <w:t>─</w:t>
            </w:r>
          </w:p>
        </w:tc>
        <w:tc>
          <w:tcPr>
            <w:tcW w:w="1491" w:type="dxa"/>
            <w:vAlign w:val="center"/>
          </w:tcPr>
          <w:p>
            <w:pPr>
              <w:spacing w:line="276" w:lineRule="auto"/>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0.002</w:t>
            </w:r>
            <w:r>
              <w:rPr>
                <w:rFonts w:ascii="Times New Roman" w:hAnsi="Times New Roman" w:eastAsia="宋体" w:cs="Times New Roman"/>
                <w:color w:val="000000" w:themeColor="text1"/>
                <w:szCs w:val="21"/>
              </w:rPr>
              <w:t>~</w:t>
            </w:r>
            <w:r>
              <w:rPr>
                <w:rFonts w:hint="eastAsia" w:ascii="Times New Roman" w:hAnsi="Times New Roman" w:eastAsia="宋体"/>
                <w:color w:val="000000" w:themeColor="text1"/>
                <w:szCs w:val="21"/>
              </w:rPr>
              <w:t>0.004</w:t>
            </w:r>
          </w:p>
        </w:tc>
        <w:tc>
          <w:tcPr>
            <w:tcW w:w="1491" w:type="dxa"/>
            <w:vAlign w:val="center"/>
          </w:tcPr>
          <w:p>
            <w:pPr>
              <w:spacing w:line="276" w:lineRule="auto"/>
              <w:jc w:val="center"/>
              <w:rPr>
                <w:rFonts w:ascii="Times New Roman" w:hAnsi="Times New Roman" w:eastAsia="宋体"/>
                <w:color w:val="000000" w:themeColor="text1"/>
                <w:szCs w:val="21"/>
              </w:rPr>
            </w:pPr>
            <w:r>
              <w:rPr>
                <w:rFonts w:hint="eastAsia" w:ascii="宋体" w:hAnsi="宋体" w:eastAsia="宋体"/>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9" w:type="dxa"/>
            <w:vMerge w:val="continue"/>
            <w:vAlign w:val="center"/>
          </w:tcPr>
          <w:p>
            <w:pPr>
              <w:spacing w:line="276" w:lineRule="auto"/>
              <w:jc w:val="center"/>
              <w:rPr>
                <w:rFonts w:ascii="Times New Roman" w:hAnsi="Times New Roman" w:eastAsia="宋体"/>
                <w:color w:val="000000" w:themeColor="text1"/>
                <w:szCs w:val="21"/>
              </w:rPr>
            </w:pPr>
          </w:p>
        </w:tc>
        <w:tc>
          <w:tcPr>
            <w:tcW w:w="1773" w:type="dxa"/>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红星花园小区</w:t>
            </w:r>
          </w:p>
        </w:tc>
        <w:tc>
          <w:tcPr>
            <w:tcW w:w="1522" w:type="dxa"/>
            <w:vMerge w:val="continue"/>
            <w:vAlign w:val="center"/>
          </w:tcPr>
          <w:p>
            <w:pPr>
              <w:spacing w:line="276" w:lineRule="auto"/>
              <w:jc w:val="center"/>
              <w:rPr>
                <w:rFonts w:ascii="Times New Roman" w:hAnsi="Times New Roman" w:eastAsia="宋体"/>
                <w:color w:val="000000" w:themeColor="text1"/>
                <w:szCs w:val="21"/>
              </w:rPr>
            </w:pPr>
          </w:p>
        </w:tc>
        <w:tc>
          <w:tcPr>
            <w:tcW w:w="1286" w:type="dxa"/>
            <w:vMerge w:val="continue"/>
            <w:vAlign w:val="center"/>
          </w:tcPr>
          <w:p>
            <w:pPr>
              <w:spacing w:line="276" w:lineRule="auto"/>
              <w:jc w:val="center"/>
              <w:rPr>
                <w:rFonts w:ascii="Times New Roman" w:hAnsi="Times New Roman" w:eastAsia="宋体"/>
                <w:color w:val="000000" w:themeColor="text1"/>
                <w:szCs w:val="21"/>
              </w:rPr>
            </w:pPr>
          </w:p>
        </w:tc>
        <w:tc>
          <w:tcPr>
            <w:tcW w:w="1491" w:type="dxa"/>
            <w:vAlign w:val="center"/>
          </w:tcPr>
          <w:p>
            <w:pPr>
              <w:spacing w:line="276" w:lineRule="auto"/>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0.002</w:t>
            </w:r>
            <w:r>
              <w:rPr>
                <w:rFonts w:ascii="Times New Roman" w:hAnsi="Times New Roman" w:eastAsia="宋体" w:cs="Times New Roman"/>
                <w:color w:val="000000" w:themeColor="text1"/>
                <w:szCs w:val="21"/>
              </w:rPr>
              <w:t>~</w:t>
            </w:r>
            <w:r>
              <w:rPr>
                <w:rFonts w:hint="eastAsia" w:ascii="Times New Roman" w:hAnsi="Times New Roman" w:eastAsia="宋体"/>
                <w:color w:val="000000" w:themeColor="text1"/>
                <w:szCs w:val="21"/>
              </w:rPr>
              <w:t>0.004</w:t>
            </w:r>
          </w:p>
        </w:tc>
        <w:tc>
          <w:tcPr>
            <w:tcW w:w="1491" w:type="dxa"/>
            <w:vAlign w:val="center"/>
          </w:tcPr>
          <w:p>
            <w:pPr>
              <w:spacing w:line="276" w:lineRule="auto"/>
              <w:jc w:val="center"/>
              <w:rPr>
                <w:rFonts w:ascii="Times New Roman" w:hAnsi="Times New Roman" w:eastAsia="宋体"/>
                <w:color w:val="000000" w:themeColor="text1"/>
                <w:szCs w:val="21"/>
              </w:rPr>
            </w:pPr>
            <w:r>
              <w:rPr>
                <w:rFonts w:hint="eastAsia" w:ascii="宋体" w:hAnsi="宋体" w:eastAsia="宋体"/>
                <w:color w:val="000000" w:themeColor="text1"/>
                <w:szCs w:val="21"/>
              </w:rPr>
              <w:t>─</w:t>
            </w:r>
          </w:p>
        </w:tc>
      </w:tr>
    </w:tbl>
    <w:p>
      <w:pPr>
        <w:pStyle w:val="5"/>
        <w:spacing w:before="0" w:after="0" w:line="36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4.3.1.3环境空气质量现状评价</w:t>
      </w:r>
    </w:p>
    <w:p>
      <w:pPr>
        <w:tabs>
          <w:tab w:val="left" w:pos="-1260"/>
        </w:tabs>
        <w:spacing w:line="360" w:lineRule="auto"/>
        <w:ind w:firstLine="482" w:firstLineChars="200"/>
        <w:rPr>
          <w:rFonts w:ascii="Times New Roman" w:hAnsi="Times New Roman" w:cs="Times New Roman"/>
          <w:b/>
          <w:color w:val="000000" w:themeColor="text1"/>
          <w:sz w:val="24"/>
        </w:rPr>
      </w:pPr>
      <w:r>
        <w:rPr>
          <w:rFonts w:ascii="Times New Roman" w:hAnsi="Times New Roman" w:cs="Times New Roman"/>
          <w:b/>
          <w:color w:val="000000" w:themeColor="text1"/>
          <w:sz w:val="24"/>
        </w:rPr>
        <w:t>1</w:t>
      </w:r>
      <w:r>
        <w:rPr>
          <w:rFonts w:ascii="Times New Roman" w:cs="Times New Roman" w:hAnsiTheme="minorEastAsia"/>
          <w:b/>
          <w:color w:val="000000" w:themeColor="text1"/>
          <w:sz w:val="24"/>
        </w:rPr>
        <w:t>、评价内容与方法</w:t>
      </w:r>
    </w:p>
    <w:p>
      <w:pPr>
        <w:tabs>
          <w:tab w:val="left" w:pos="-1260"/>
        </w:tabs>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w:t>
      </w:r>
      <w:r>
        <w:rPr>
          <w:rFonts w:ascii="Times New Roman" w:hAnsi="Times New Roman" w:cs="Times New Roman"/>
          <w:color w:val="000000" w:themeColor="text1"/>
          <w:sz w:val="24"/>
        </w:rPr>
        <w:t>1</w:t>
      </w:r>
      <w:r>
        <w:rPr>
          <w:rFonts w:ascii="Times New Roman" w:cs="Times New Roman" w:hAnsiTheme="minorEastAsia"/>
          <w:color w:val="000000" w:themeColor="text1"/>
          <w:sz w:val="24"/>
        </w:rPr>
        <w:t>）项目所在区域达标判断</w:t>
      </w:r>
    </w:p>
    <w:p>
      <w:pPr>
        <w:tabs>
          <w:tab w:val="left" w:pos="-1260"/>
        </w:tabs>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根据国家或地方生态环境主管部门公开发布的城市环境空气质量达标情况，判断项目所在区域是否属于达标区。</w:t>
      </w:r>
    </w:p>
    <w:p>
      <w:pPr>
        <w:tabs>
          <w:tab w:val="left" w:pos="-1260"/>
        </w:tabs>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w:t>
      </w:r>
      <w:r>
        <w:rPr>
          <w:rFonts w:ascii="Times New Roman" w:hAnsi="Times New Roman" w:cs="Times New Roman"/>
          <w:color w:val="000000" w:themeColor="text1"/>
          <w:sz w:val="24"/>
        </w:rPr>
        <w:t>2</w:t>
      </w:r>
      <w:r>
        <w:rPr>
          <w:rFonts w:ascii="Times New Roman" w:cs="Times New Roman" w:hAnsiTheme="minorEastAsia"/>
          <w:color w:val="000000" w:themeColor="text1"/>
          <w:sz w:val="24"/>
        </w:rPr>
        <w:t>）各污染物的环境质量现状评价</w:t>
      </w:r>
    </w:p>
    <w:p>
      <w:pPr>
        <w:tabs>
          <w:tab w:val="left" w:pos="-1260"/>
        </w:tabs>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对各污染物的年评价指标进行环境质量现状评价。对于超标的污染物，计算其超标倍数和超标率。</w:t>
      </w:r>
    </w:p>
    <w:p>
      <w:pPr>
        <w:tabs>
          <w:tab w:val="left" w:pos="-1260"/>
        </w:tabs>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2</w:t>
      </w:r>
      <w:r>
        <w:rPr>
          <w:rFonts w:ascii="Times New Roman" w:cs="Times New Roman" w:hAnsiTheme="minorEastAsia"/>
          <w:color w:val="000000" w:themeColor="text1"/>
          <w:sz w:val="24"/>
        </w:rPr>
        <w:t>、环境空气质量现状评价</w:t>
      </w:r>
    </w:p>
    <w:p>
      <w:pPr>
        <w:tabs>
          <w:tab w:val="left" w:pos="-1260"/>
        </w:tabs>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w:t>
      </w:r>
      <w:r>
        <w:rPr>
          <w:rFonts w:ascii="Times New Roman" w:hAnsi="Times New Roman" w:cs="Times New Roman"/>
          <w:color w:val="000000" w:themeColor="text1"/>
          <w:sz w:val="24"/>
        </w:rPr>
        <w:t>1</w:t>
      </w:r>
      <w:r>
        <w:rPr>
          <w:rFonts w:ascii="Times New Roman" w:cs="Times New Roman" w:hAnsiTheme="minorEastAsia"/>
          <w:color w:val="000000" w:themeColor="text1"/>
          <w:sz w:val="24"/>
        </w:rPr>
        <w:t>）空气质量达标区判定</w:t>
      </w:r>
    </w:p>
    <w:p>
      <w:pPr>
        <w:tabs>
          <w:tab w:val="left" w:pos="-1260"/>
        </w:tabs>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根据</w:t>
      </w:r>
      <w:r>
        <w:rPr>
          <w:rFonts w:ascii="Times New Roman" w:hAnsi="Times New Roman" w:cs="Times New Roman"/>
          <w:color w:val="000000" w:themeColor="text1"/>
          <w:sz w:val="24"/>
        </w:rPr>
        <w:t>2017</w:t>
      </w:r>
      <w:r>
        <w:rPr>
          <w:rFonts w:ascii="Times New Roman" w:cs="Times New Roman" w:hAnsiTheme="minorEastAsia"/>
          <w:color w:val="000000" w:themeColor="text1"/>
          <w:sz w:val="24"/>
        </w:rPr>
        <w:t>年保定市环境质量公报，基本污染物环境空气质量现状评价见表</w:t>
      </w:r>
      <w:r>
        <w:rPr>
          <w:rFonts w:ascii="Times New Roman" w:hAnsi="Times New Roman" w:cs="Times New Roman"/>
          <w:color w:val="000000" w:themeColor="text1"/>
          <w:sz w:val="24"/>
        </w:rPr>
        <w:t>4-</w:t>
      </w:r>
      <w:r>
        <w:rPr>
          <w:rFonts w:hint="eastAsia" w:ascii="Times New Roman" w:hAnsi="Times New Roman" w:cs="Times New Roman"/>
          <w:color w:val="000000" w:themeColor="text1"/>
          <w:sz w:val="24"/>
        </w:rPr>
        <w:t>3</w:t>
      </w:r>
      <w:r>
        <w:rPr>
          <w:rFonts w:ascii="Times New Roman" w:cs="Times New Roman" w:hAnsiTheme="minorEastAsia"/>
          <w:color w:val="000000" w:themeColor="text1"/>
          <w:sz w:val="24"/>
        </w:rPr>
        <w:t>。</w:t>
      </w:r>
    </w:p>
    <w:p>
      <w:pPr>
        <w:tabs>
          <w:tab w:val="left" w:pos="-1260"/>
        </w:tabs>
        <w:spacing w:line="360" w:lineRule="auto"/>
        <w:ind w:firstLine="482" w:firstLineChars="200"/>
        <w:jc w:val="center"/>
        <w:rPr>
          <w:rFonts w:ascii="Times New Roman" w:hAnsi="Times New Roman" w:cs="Times New Roman"/>
          <w:b/>
          <w:color w:val="000000" w:themeColor="text1"/>
          <w:sz w:val="24"/>
        </w:rPr>
      </w:pPr>
      <w:r>
        <w:rPr>
          <w:rFonts w:ascii="Times New Roman" w:cs="Times New Roman" w:hAnsiTheme="minorEastAsia"/>
          <w:b/>
          <w:color w:val="000000" w:themeColor="text1"/>
          <w:sz w:val="24"/>
        </w:rPr>
        <w:t>表</w:t>
      </w:r>
      <w:r>
        <w:rPr>
          <w:rFonts w:ascii="Times New Roman" w:hAnsi="Times New Roman" w:cs="Times New Roman"/>
          <w:b/>
          <w:color w:val="000000" w:themeColor="text1"/>
          <w:sz w:val="24"/>
        </w:rPr>
        <w:t>4-</w:t>
      </w:r>
      <w:r>
        <w:rPr>
          <w:rFonts w:hint="eastAsia" w:ascii="Times New Roman" w:hAnsi="Times New Roman" w:cs="Times New Roman"/>
          <w:b/>
          <w:color w:val="000000" w:themeColor="text1"/>
          <w:sz w:val="24"/>
        </w:rPr>
        <w:t>3</w:t>
      </w:r>
      <w:r>
        <w:rPr>
          <w:rFonts w:ascii="Times New Roman" w:hAnsi="Times New Roman" w:cs="Times New Roman"/>
          <w:b/>
          <w:color w:val="000000" w:themeColor="text1"/>
          <w:sz w:val="24"/>
        </w:rPr>
        <w:t xml:space="preserve">   </w:t>
      </w:r>
      <w:r>
        <w:rPr>
          <w:rFonts w:ascii="Times New Roman" w:cs="Times New Roman" w:hAnsiTheme="minorEastAsia"/>
          <w:b/>
          <w:color w:val="000000" w:themeColor="text1"/>
          <w:sz w:val="24"/>
        </w:rPr>
        <w:t>区域空气质量现状评价表</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2265"/>
        <w:gridCol w:w="1276"/>
        <w:gridCol w:w="1417"/>
        <w:gridCol w:w="1185"/>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8"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污染物</w:t>
            </w:r>
          </w:p>
        </w:tc>
        <w:tc>
          <w:tcPr>
            <w:tcW w:w="2265"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年评价指标</w:t>
            </w: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现状浓度</w:t>
            </w:r>
            <w:r>
              <w:rPr>
                <w:rFonts w:ascii="Times New Roman" w:hAnsi="Times New Roman" w:cs="Times New Roman"/>
                <w:color w:val="000000" w:themeColor="text1"/>
                <w:szCs w:val="21"/>
              </w:rPr>
              <w:t>/</w:t>
            </w:r>
            <w:r>
              <w:rPr>
                <w:rFonts w:ascii="Times New Roman" w:cs="Times New Roman" w:hAnsiTheme="minorEastAsia"/>
                <w:color w:val="000000" w:themeColor="text1"/>
                <w:szCs w:val="21"/>
              </w:rPr>
              <w:t>（</w:t>
            </w:r>
            <w:r>
              <w:rPr>
                <w:rFonts w:ascii="Times New Roman" w:hAnsi="Times New Roman" w:cs="Times New Roman"/>
                <w:color w:val="000000" w:themeColor="text1"/>
                <w:szCs w:val="21"/>
              </w:rPr>
              <w:t>μg/m</w:t>
            </w:r>
            <w:r>
              <w:rPr>
                <w:rFonts w:ascii="Times New Roman" w:hAnsi="Times New Roman" w:cs="Times New Roman"/>
                <w:color w:val="000000" w:themeColor="text1"/>
                <w:szCs w:val="21"/>
                <w:vertAlign w:val="superscript"/>
              </w:rPr>
              <w:t>3</w:t>
            </w:r>
            <w:r>
              <w:rPr>
                <w:rFonts w:ascii="Times New Roman" w:cs="Times New Roman" w:hAnsiTheme="minorEastAsia"/>
                <w:color w:val="000000" w:themeColor="text1"/>
                <w:szCs w:val="21"/>
              </w:rPr>
              <w:t>）</w:t>
            </w: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标准值</w:t>
            </w:r>
            <w:r>
              <w:rPr>
                <w:rFonts w:ascii="Times New Roman" w:hAnsi="Times New Roman" w:cs="Times New Roman"/>
                <w:color w:val="000000" w:themeColor="text1"/>
                <w:szCs w:val="21"/>
              </w:rPr>
              <w:t>/</w:t>
            </w:r>
          </w:p>
          <w:p>
            <w:pPr>
              <w:tabs>
                <w:tab w:val="left" w:pos="-1260"/>
              </w:tabs>
              <w:spacing w:line="32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w:t>
            </w:r>
            <w:r>
              <w:rPr>
                <w:rFonts w:ascii="Times New Roman" w:hAnsi="Times New Roman" w:cs="Times New Roman"/>
                <w:color w:val="000000" w:themeColor="text1"/>
                <w:szCs w:val="21"/>
              </w:rPr>
              <w:t>μg/m</w:t>
            </w:r>
            <w:r>
              <w:rPr>
                <w:rFonts w:ascii="Times New Roman" w:hAnsi="Times New Roman" w:cs="Times New Roman"/>
                <w:color w:val="000000" w:themeColor="text1"/>
                <w:szCs w:val="21"/>
                <w:vertAlign w:val="superscript"/>
              </w:rPr>
              <w:t>3</w:t>
            </w:r>
            <w:r>
              <w:rPr>
                <w:rFonts w:ascii="Times New Roman" w:cs="Times New Roman" w:hAnsiTheme="minorEastAsia"/>
                <w:color w:val="000000" w:themeColor="text1"/>
                <w:szCs w:val="21"/>
              </w:rPr>
              <w:t>）</w:t>
            </w:r>
          </w:p>
        </w:tc>
        <w:tc>
          <w:tcPr>
            <w:tcW w:w="1185"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占标率</w:t>
            </w:r>
            <w:r>
              <w:rPr>
                <w:rFonts w:ascii="Times New Roman" w:hAnsi="Times New Roman" w:cs="Times New Roman"/>
                <w:color w:val="000000" w:themeColor="text1"/>
                <w:szCs w:val="21"/>
              </w:rPr>
              <w:t>/</w:t>
            </w:r>
          </w:p>
          <w:p>
            <w:pPr>
              <w:tabs>
                <w:tab w:val="left" w:pos="-1260"/>
              </w:tabs>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w:t>
            </w:r>
          </w:p>
        </w:tc>
        <w:tc>
          <w:tcPr>
            <w:tcW w:w="1421"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8"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PM</w:t>
            </w:r>
            <w:r>
              <w:rPr>
                <w:rFonts w:ascii="Times New Roman" w:hAnsi="Times New Roman" w:cs="Times New Roman"/>
                <w:color w:val="000000" w:themeColor="text1"/>
                <w:szCs w:val="21"/>
                <w:vertAlign w:val="subscript"/>
              </w:rPr>
              <w:t>10</w:t>
            </w:r>
          </w:p>
        </w:tc>
        <w:tc>
          <w:tcPr>
            <w:tcW w:w="2265"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年平均质量浓度</w:t>
            </w: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135</w:t>
            </w: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70</w:t>
            </w:r>
          </w:p>
        </w:tc>
        <w:tc>
          <w:tcPr>
            <w:tcW w:w="1185"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1.9</w:t>
            </w:r>
          </w:p>
        </w:tc>
        <w:tc>
          <w:tcPr>
            <w:tcW w:w="1421"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8"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PM</w:t>
            </w:r>
            <w:r>
              <w:rPr>
                <w:rFonts w:ascii="Times New Roman" w:hAnsi="Times New Roman" w:cs="Times New Roman"/>
                <w:color w:val="000000" w:themeColor="text1"/>
                <w:szCs w:val="21"/>
                <w:vertAlign w:val="subscript"/>
              </w:rPr>
              <w:t>2.5</w:t>
            </w:r>
          </w:p>
        </w:tc>
        <w:tc>
          <w:tcPr>
            <w:tcW w:w="2265"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年平均质量浓度</w:t>
            </w: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84</w:t>
            </w: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35</w:t>
            </w:r>
          </w:p>
        </w:tc>
        <w:tc>
          <w:tcPr>
            <w:tcW w:w="1185"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2.4</w:t>
            </w:r>
          </w:p>
        </w:tc>
        <w:tc>
          <w:tcPr>
            <w:tcW w:w="1421"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8"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SO</w:t>
            </w:r>
            <w:r>
              <w:rPr>
                <w:rFonts w:ascii="Times New Roman" w:hAnsi="Times New Roman" w:cs="Times New Roman"/>
                <w:color w:val="000000" w:themeColor="text1"/>
                <w:szCs w:val="21"/>
                <w:vertAlign w:val="subscript"/>
              </w:rPr>
              <w:t>2</w:t>
            </w:r>
          </w:p>
        </w:tc>
        <w:tc>
          <w:tcPr>
            <w:tcW w:w="2265"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年平均质量浓度</w:t>
            </w: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29</w:t>
            </w: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60</w:t>
            </w:r>
          </w:p>
        </w:tc>
        <w:tc>
          <w:tcPr>
            <w:tcW w:w="1185"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0.48</w:t>
            </w:r>
          </w:p>
        </w:tc>
        <w:tc>
          <w:tcPr>
            <w:tcW w:w="1421"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8"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NO</w:t>
            </w:r>
            <w:r>
              <w:rPr>
                <w:rFonts w:ascii="Times New Roman" w:hAnsi="Times New Roman" w:cs="Times New Roman"/>
                <w:color w:val="000000" w:themeColor="text1"/>
                <w:szCs w:val="21"/>
                <w:vertAlign w:val="subscript"/>
              </w:rPr>
              <w:t>2</w:t>
            </w:r>
          </w:p>
        </w:tc>
        <w:tc>
          <w:tcPr>
            <w:tcW w:w="2265"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年平均质量浓度</w:t>
            </w: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50</w:t>
            </w: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40</w:t>
            </w:r>
          </w:p>
        </w:tc>
        <w:tc>
          <w:tcPr>
            <w:tcW w:w="1185"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1.25</w:t>
            </w:r>
          </w:p>
        </w:tc>
        <w:tc>
          <w:tcPr>
            <w:tcW w:w="1421"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8"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CO</w:t>
            </w:r>
          </w:p>
        </w:tc>
        <w:tc>
          <w:tcPr>
            <w:tcW w:w="2265"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24</w:t>
            </w:r>
            <w:r>
              <w:rPr>
                <w:rFonts w:ascii="Times New Roman" w:cs="Times New Roman" w:hAnsiTheme="minorEastAsia"/>
                <w:color w:val="000000" w:themeColor="text1"/>
                <w:szCs w:val="21"/>
              </w:rPr>
              <w:t>小时平均第</w:t>
            </w:r>
            <w:r>
              <w:rPr>
                <w:rFonts w:ascii="Times New Roman" w:hAnsi="Times New Roman" w:cs="Times New Roman"/>
                <w:color w:val="000000" w:themeColor="text1"/>
                <w:szCs w:val="21"/>
              </w:rPr>
              <w:t>95</w:t>
            </w:r>
            <w:r>
              <w:rPr>
                <w:rFonts w:ascii="Times New Roman" w:cs="Times New Roman" w:hAnsiTheme="minorEastAsia"/>
                <w:color w:val="000000" w:themeColor="text1"/>
                <w:szCs w:val="21"/>
              </w:rPr>
              <w:t>百分位数</w:t>
            </w: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3.6</w:t>
            </w: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4</w:t>
            </w:r>
          </w:p>
        </w:tc>
        <w:tc>
          <w:tcPr>
            <w:tcW w:w="1185"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0.9</w:t>
            </w:r>
          </w:p>
        </w:tc>
        <w:tc>
          <w:tcPr>
            <w:tcW w:w="1421"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58"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O</w:t>
            </w:r>
            <w:r>
              <w:rPr>
                <w:rFonts w:ascii="Times New Roman" w:hAnsi="Times New Roman" w:cs="Times New Roman"/>
                <w:color w:val="000000" w:themeColor="text1"/>
                <w:szCs w:val="21"/>
                <w:vertAlign w:val="subscript"/>
              </w:rPr>
              <w:t>3</w:t>
            </w:r>
          </w:p>
        </w:tc>
        <w:tc>
          <w:tcPr>
            <w:tcW w:w="2265"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日最大</w:t>
            </w:r>
            <w:r>
              <w:rPr>
                <w:rFonts w:ascii="Times New Roman" w:hAnsi="Times New Roman" w:cs="Times New Roman"/>
                <w:color w:val="000000" w:themeColor="text1"/>
                <w:szCs w:val="21"/>
              </w:rPr>
              <w:t>8</w:t>
            </w:r>
            <w:r>
              <w:rPr>
                <w:rFonts w:ascii="Times New Roman" w:cs="Times New Roman" w:hAnsiTheme="minorEastAsia"/>
                <w:color w:val="000000" w:themeColor="text1"/>
                <w:szCs w:val="21"/>
              </w:rPr>
              <w:t>小时滑动平均值的第</w:t>
            </w:r>
            <w:r>
              <w:rPr>
                <w:rFonts w:ascii="Times New Roman" w:hAnsi="Times New Roman" w:cs="Times New Roman"/>
                <w:color w:val="000000" w:themeColor="text1"/>
                <w:szCs w:val="21"/>
              </w:rPr>
              <w:t>90</w:t>
            </w:r>
            <w:r>
              <w:rPr>
                <w:rFonts w:ascii="Times New Roman" w:cs="Times New Roman" w:hAnsiTheme="minorEastAsia"/>
                <w:color w:val="000000" w:themeColor="text1"/>
                <w:szCs w:val="21"/>
              </w:rPr>
              <w:t>百分位数</w:t>
            </w:r>
          </w:p>
        </w:tc>
        <w:tc>
          <w:tcPr>
            <w:tcW w:w="1276"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218</w:t>
            </w: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160</w:t>
            </w:r>
          </w:p>
        </w:tc>
        <w:tc>
          <w:tcPr>
            <w:tcW w:w="1185"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1.36</w:t>
            </w:r>
          </w:p>
        </w:tc>
        <w:tc>
          <w:tcPr>
            <w:tcW w:w="1421"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超标</w:t>
            </w:r>
          </w:p>
        </w:tc>
      </w:tr>
    </w:tbl>
    <w:p>
      <w:pPr>
        <w:tabs>
          <w:tab w:val="left" w:pos="-1260"/>
        </w:tabs>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根据表</w:t>
      </w:r>
      <w:r>
        <w:rPr>
          <w:rFonts w:ascii="Times New Roman" w:hAnsi="Times New Roman" w:cs="Times New Roman"/>
          <w:color w:val="000000" w:themeColor="text1"/>
          <w:sz w:val="24"/>
        </w:rPr>
        <w:t>4-</w:t>
      </w:r>
      <w:r>
        <w:rPr>
          <w:rFonts w:hint="eastAsia" w:ascii="Times New Roman" w:hAnsi="Times New Roman" w:cs="Times New Roman"/>
          <w:color w:val="000000" w:themeColor="text1"/>
          <w:sz w:val="24"/>
        </w:rPr>
        <w:t>3</w:t>
      </w:r>
      <w:r>
        <w:rPr>
          <w:rFonts w:ascii="Times New Roman" w:cs="Times New Roman" w:hAnsiTheme="minorEastAsia"/>
          <w:color w:val="000000" w:themeColor="text1"/>
          <w:sz w:val="24"/>
        </w:rPr>
        <w:t>可知，项目所在评价区域为不达标区。</w:t>
      </w:r>
    </w:p>
    <w:p>
      <w:pPr>
        <w:tabs>
          <w:tab w:val="left" w:pos="-1260"/>
        </w:tabs>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w:t>
      </w:r>
      <w:r>
        <w:rPr>
          <w:rFonts w:ascii="Times New Roman" w:hAnsi="Times New Roman" w:cs="Times New Roman"/>
          <w:color w:val="000000" w:themeColor="text1"/>
          <w:sz w:val="24"/>
        </w:rPr>
        <w:t>2</w:t>
      </w:r>
      <w:r>
        <w:rPr>
          <w:rFonts w:ascii="Times New Roman" w:cs="Times New Roman" w:hAnsiTheme="minorEastAsia"/>
          <w:color w:val="000000" w:themeColor="text1"/>
          <w:sz w:val="24"/>
        </w:rPr>
        <w:t>）其他污染物环境质量现状。</w:t>
      </w:r>
    </w:p>
    <w:p>
      <w:pPr>
        <w:tabs>
          <w:tab w:val="left" w:pos="-1260"/>
        </w:tabs>
        <w:spacing w:line="360" w:lineRule="auto"/>
        <w:ind w:firstLine="480" w:firstLineChars="200"/>
        <w:rPr>
          <w:rFonts w:ascii="Times New Roman" w:hAnsi="Times New Roman" w:cs="Times New Roman"/>
          <w:color w:val="000000" w:themeColor="text1"/>
          <w:sz w:val="24"/>
        </w:rPr>
      </w:pPr>
      <w:r>
        <w:rPr>
          <w:rFonts w:ascii="Times New Roman" w:cs="Times New Roman" w:hAnsiTheme="minorEastAsia"/>
          <w:color w:val="000000" w:themeColor="text1"/>
          <w:sz w:val="24"/>
        </w:rPr>
        <w:t>其他污染物</w:t>
      </w:r>
      <w:r>
        <w:rPr>
          <w:rFonts w:hint="eastAsia" w:ascii="Times New Roman" w:cs="Times New Roman" w:hAnsiTheme="minorEastAsia"/>
          <w:color w:val="000000" w:themeColor="text1"/>
          <w:sz w:val="24"/>
        </w:rPr>
        <w:t>补充监测点位基本信息见表4-4，</w:t>
      </w:r>
      <w:r>
        <w:rPr>
          <w:rFonts w:ascii="Times New Roman" w:cs="Times New Roman" w:hAnsiTheme="minorEastAsia"/>
          <w:color w:val="000000" w:themeColor="text1"/>
          <w:sz w:val="24"/>
        </w:rPr>
        <w:t>其他污染物环境质量现状见表</w:t>
      </w:r>
      <w:r>
        <w:rPr>
          <w:rFonts w:ascii="Times New Roman" w:hAnsi="Times New Roman" w:cs="Times New Roman"/>
          <w:color w:val="000000" w:themeColor="text1"/>
          <w:sz w:val="24"/>
        </w:rPr>
        <w:t>4-</w:t>
      </w:r>
      <w:r>
        <w:rPr>
          <w:rFonts w:hint="eastAsia" w:ascii="Times New Roman" w:hAnsi="Times New Roman" w:cs="Times New Roman"/>
          <w:color w:val="000000" w:themeColor="text1"/>
          <w:sz w:val="24"/>
        </w:rPr>
        <w:t>5</w:t>
      </w:r>
      <w:r>
        <w:rPr>
          <w:rFonts w:ascii="Times New Roman" w:cs="Times New Roman" w:hAnsiTheme="minorEastAsia"/>
          <w:color w:val="000000" w:themeColor="text1"/>
          <w:sz w:val="24"/>
        </w:rPr>
        <w:t>。</w:t>
      </w:r>
    </w:p>
    <w:p>
      <w:pPr>
        <w:tabs>
          <w:tab w:val="left" w:pos="-1260"/>
        </w:tabs>
        <w:spacing w:line="360" w:lineRule="auto"/>
        <w:ind w:firstLine="482" w:firstLineChars="200"/>
        <w:jc w:val="center"/>
        <w:rPr>
          <w:rFonts w:ascii="Times New Roman" w:cs="Times New Roman" w:hAnsiTheme="minorEastAsia"/>
          <w:b/>
          <w:color w:val="000000" w:themeColor="text1"/>
          <w:sz w:val="24"/>
        </w:rPr>
      </w:pPr>
      <w:r>
        <w:rPr>
          <w:rFonts w:hint="eastAsia" w:ascii="Times New Roman" w:cs="Times New Roman" w:hAnsiTheme="minorEastAsia"/>
          <w:b/>
          <w:color w:val="000000" w:themeColor="text1"/>
          <w:sz w:val="24"/>
        </w:rPr>
        <w:t>表4-4   其他污染物补充监测点位基本信息表</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1109"/>
        <w:gridCol w:w="1217"/>
        <w:gridCol w:w="1207"/>
        <w:gridCol w:w="1445"/>
        <w:gridCol w:w="972"/>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67" w:type="dxa"/>
            <w:vMerge w:val="restart"/>
            <w:vAlign w:val="center"/>
          </w:tcPr>
          <w:p>
            <w:pPr>
              <w:tabs>
                <w:tab w:val="left" w:pos="-1260"/>
              </w:tabs>
              <w:spacing w:line="300" w:lineRule="exact"/>
              <w:jc w:val="center"/>
              <w:rPr>
                <w:rFonts w:ascii="Times New Roman" w:cs="Times New Roman" w:hAnsiTheme="minorEastAsia"/>
                <w:color w:val="000000" w:themeColor="text1"/>
                <w:szCs w:val="21"/>
              </w:rPr>
            </w:pPr>
            <w:r>
              <w:rPr>
                <w:rFonts w:hint="eastAsia" w:ascii="Times New Roman" w:cs="Times New Roman" w:hAnsiTheme="minorEastAsia"/>
                <w:color w:val="000000" w:themeColor="text1"/>
                <w:szCs w:val="21"/>
              </w:rPr>
              <w:t>监测点名称</w:t>
            </w:r>
          </w:p>
        </w:tc>
        <w:tc>
          <w:tcPr>
            <w:tcW w:w="2326" w:type="dxa"/>
            <w:gridSpan w:val="2"/>
            <w:vAlign w:val="center"/>
          </w:tcPr>
          <w:p>
            <w:pPr>
              <w:tabs>
                <w:tab w:val="left" w:pos="-1260"/>
              </w:tabs>
              <w:spacing w:line="300" w:lineRule="exact"/>
              <w:jc w:val="center"/>
              <w:rPr>
                <w:rFonts w:ascii="Times New Roman" w:cs="Times New Roman" w:hAnsiTheme="minorEastAsia"/>
                <w:color w:val="000000" w:themeColor="text1"/>
                <w:szCs w:val="21"/>
              </w:rPr>
            </w:pPr>
            <w:r>
              <w:rPr>
                <w:rFonts w:hint="eastAsia" w:ascii="Times New Roman" w:cs="Times New Roman" w:hAnsiTheme="minorEastAsia"/>
                <w:color w:val="000000" w:themeColor="text1"/>
                <w:szCs w:val="21"/>
              </w:rPr>
              <w:t>监测点坐标/m</w:t>
            </w:r>
          </w:p>
        </w:tc>
        <w:tc>
          <w:tcPr>
            <w:tcW w:w="1207" w:type="dxa"/>
            <w:vMerge w:val="restart"/>
            <w:vAlign w:val="center"/>
          </w:tcPr>
          <w:p>
            <w:pPr>
              <w:tabs>
                <w:tab w:val="left" w:pos="-1260"/>
              </w:tabs>
              <w:spacing w:line="300" w:lineRule="exact"/>
              <w:jc w:val="center"/>
              <w:rPr>
                <w:rFonts w:ascii="Times New Roman" w:cs="Times New Roman" w:hAnsiTheme="minorEastAsia"/>
                <w:color w:val="000000" w:themeColor="text1"/>
                <w:szCs w:val="21"/>
              </w:rPr>
            </w:pPr>
            <w:r>
              <w:rPr>
                <w:rFonts w:hint="eastAsia" w:ascii="Times New Roman" w:cs="Times New Roman" w:hAnsiTheme="minorEastAsia"/>
                <w:color w:val="000000" w:themeColor="text1"/>
                <w:szCs w:val="21"/>
              </w:rPr>
              <w:t>监测因子</w:t>
            </w:r>
          </w:p>
        </w:tc>
        <w:tc>
          <w:tcPr>
            <w:tcW w:w="1445" w:type="dxa"/>
            <w:vMerge w:val="restart"/>
            <w:vAlign w:val="center"/>
          </w:tcPr>
          <w:p>
            <w:pPr>
              <w:tabs>
                <w:tab w:val="left" w:pos="-1260"/>
              </w:tabs>
              <w:spacing w:line="300" w:lineRule="exact"/>
              <w:jc w:val="center"/>
              <w:rPr>
                <w:rFonts w:ascii="Times New Roman" w:cs="Times New Roman" w:hAnsiTheme="minorEastAsia"/>
                <w:color w:val="000000" w:themeColor="text1"/>
                <w:szCs w:val="21"/>
              </w:rPr>
            </w:pPr>
            <w:r>
              <w:rPr>
                <w:rFonts w:hint="eastAsia" w:ascii="Times New Roman" w:cs="Times New Roman" w:hAnsiTheme="minorEastAsia"/>
                <w:color w:val="000000" w:themeColor="text1"/>
                <w:szCs w:val="21"/>
              </w:rPr>
              <w:t>监测时段</w:t>
            </w:r>
          </w:p>
        </w:tc>
        <w:tc>
          <w:tcPr>
            <w:tcW w:w="972" w:type="dxa"/>
            <w:vMerge w:val="restart"/>
            <w:vAlign w:val="center"/>
          </w:tcPr>
          <w:p>
            <w:pPr>
              <w:tabs>
                <w:tab w:val="left" w:pos="-1260"/>
              </w:tabs>
              <w:spacing w:line="300" w:lineRule="exact"/>
              <w:jc w:val="center"/>
              <w:rPr>
                <w:rFonts w:ascii="Times New Roman" w:cs="Times New Roman" w:hAnsiTheme="minorEastAsia"/>
                <w:color w:val="000000" w:themeColor="text1"/>
                <w:szCs w:val="21"/>
              </w:rPr>
            </w:pPr>
            <w:r>
              <w:rPr>
                <w:rFonts w:hint="eastAsia" w:ascii="Times New Roman" w:cs="Times New Roman" w:hAnsiTheme="minorEastAsia"/>
                <w:color w:val="000000" w:themeColor="text1"/>
                <w:szCs w:val="21"/>
              </w:rPr>
              <w:t>相对厂址方位</w:t>
            </w:r>
          </w:p>
        </w:tc>
        <w:tc>
          <w:tcPr>
            <w:tcW w:w="1205" w:type="dxa"/>
            <w:vMerge w:val="restart"/>
            <w:vAlign w:val="center"/>
          </w:tcPr>
          <w:p>
            <w:pPr>
              <w:tabs>
                <w:tab w:val="left" w:pos="-1260"/>
              </w:tabs>
              <w:spacing w:line="300" w:lineRule="exact"/>
              <w:jc w:val="center"/>
              <w:rPr>
                <w:rFonts w:ascii="Times New Roman" w:cs="Times New Roman" w:hAnsiTheme="minorEastAsia"/>
                <w:color w:val="000000" w:themeColor="text1"/>
                <w:szCs w:val="21"/>
              </w:rPr>
            </w:pPr>
            <w:r>
              <w:rPr>
                <w:rFonts w:hint="eastAsia" w:ascii="Times New Roman" w:cs="Times New Roman" w:hAnsiTheme="minorEastAsia"/>
                <w:color w:val="000000" w:themeColor="text1"/>
                <w:szCs w:val="21"/>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67"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c>
          <w:tcPr>
            <w:tcW w:w="1109" w:type="dxa"/>
            <w:vAlign w:val="center"/>
          </w:tcPr>
          <w:p>
            <w:pPr>
              <w:tabs>
                <w:tab w:val="left" w:pos="-1260"/>
              </w:tabs>
              <w:spacing w:line="300" w:lineRule="exact"/>
              <w:jc w:val="center"/>
              <w:rPr>
                <w:rFonts w:ascii="Times New Roman" w:cs="Times New Roman" w:hAnsiTheme="minorEastAsia"/>
                <w:color w:val="000000" w:themeColor="text1"/>
                <w:szCs w:val="21"/>
              </w:rPr>
            </w:pPr>
            <w:r>
              <w:rPr>
                <w:rFonts w:hint="eastAsia" w:ascii="Times New Roman" w:cs="Times New Roman" w:hAnsiTheme="minorEastAsia"/>
                <w:color w:val="000000" w:themeColor="text1"/>
                <w:szCs w:val="21"/>
              </w:rPr>
              <w:t>X</w:t>
            </w:r>
          </w:p>
        </w:tc>
        <w:tc>
          <w:tcPr>
            <w:tcW w:w="1217" w:type="dxa"/>
            <w:vAlign w:val="center"/>
          </w:tcPr>
          <w:p>
            <w:pPr>
              <w:tabs>
                <w:tab w:val="left" w:pos="-1260"/>
              </w:tabs>
              <w:spacing w:line="300" w:lineRule="exact"/>
              <w:jc w:val="center"/>
              <w:rPr>
                <w:rFonts w:ascii="Times New Roman" w:cs="Times New Roman" w:hAnsiTheme="minorEastAsia"/>
                <w:color w:val="000000" w:themeColor="text1"/>
                <w:szCs w:val="21"/>
              </w:rPr>
            </w:pPr>
            <w:r>
              <w:rPr>
                <w:rFonts w:hint="eastAsia" w:ascii="Times New Roman" w:cs="Times New Roman" w:hAnsiTheme="minorEastAsia"/>
                <w:color w:val="000000" w:themeColor="text1"/>
                <w:szCs w:val="21"/>
              </w:rPr>
              <w:t>Y</w:t>
            </w:r>
          </w:p>
        </w:tc>
        <w:tc>
          <w:tcPr>
            <w:tcW w:w="1207"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c>
          <w:tcPr>
            <w:tcW w:w="1445"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c>
          <w:tcPr>
            <w:tcW w:w="972"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c>
          <w:tcPr>
            <w:tcW w:w="1205"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 w:hRule="atLeast"/>
        </w:trPr>
        <w:tc>
          <w:tcPr>
            <w:tcW w:w="1367" w:type="dxa"/>
            <w:vMerge w:val="restar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保定市第一中医院院内</w:t>
            </w:r>
          </w:p>
        </w:tc>
        <w:tc>
          <w:tcPr>
            <w:tcW w:w="1109" w:type="dxa"/>
            <w:vMerge w:val="restart"/>
            <w:vAlign w:val="center"/>
          </w:tcPr>
          <w:p>
            <w:pPr>
              <w:tabs>
                <w:tab w:val="left" w:pos="-1260"/>
              </w:tabs>
              <w:spacing w:line="300" w:lineRule="exact"/>
              <w:jc w:val="center"/>
              <w:rPr>
                <w:rFonts w:ascii="Times New Roman" w:cs="Times New Roman" w:hAnsiTheme="minorEastAsia"/>
                <w:color w:val="000000" w:themeColor="text1"/>
                <w:szCs w:val="21"/>
              </w:rPr>
            </w:pPr>
            <w:r>
              <w:rPr>
                <w:rFonts w:ascii="Times New Roman" w:cs="Times New Roman" w:hAnsiTheme="minorEastAsia"/>
                <w:color w:val="000000" w:themeColor="text1"/>
                <w:szCs w:val="21"/>
              </w:rPr>
              <w:t>38.884722</w:t>
            </w:r>
          </w:p>
        </w:tc>
        <w:tc>
          <w:tcPr>
            <w:tcW w:w="1217" w:type="dxa"/>
            <w:vMerge w:val="restart"/>
            <w:vAlign w:val="center"/>
          </w:tcPr>
          <w:p>
            <w:pPr>
              <w:tabs>
                <w:tab w:val="left" w:pos="-1260"/>
              </w:tabs>
              <w:spacing w:line="300" w:lineRule="exact"/>
              <w:jc w:val="center"/>
              <w:rPr>
                <w:rFonts w:ascii="Times New Roman" w:cs="Times New Roman" w:hAnsiTheme="minorEastAsia"/>
                <w:color w:val="000000" w:themeColor="text1"/>
                <w:szCs w:val="21"/>
              </w:rPr>
            </w:pPr>
            <w:r>
              <w:rPr>
                <w:rFonts w:ascii="Times New Roman" w:cs="Times New Roman" w:hAnsiTheme="minorEastAsia"/>
                <w:color w:val="000000" w:themeColor="text1"/>
                <w:szCs w:val="21"/>
              </w:rPr>
              <w:t>115.505989</w:t>
            </w:r>
          </w:p>
        </w:tc>
        <w:tc>
          <w:tcPr>
            <w:tcW w:w="1207" w:type="dxa"/>
            <w:vMerge w:val="restart"/>
            <w:vAlign w:val="center"/>
          </w:tcPr>
          <w:p>
            <w:pPr>
              <w:tabs>
                <w:tab w:val="left" w:pos="-1260"/>
              </w:tabs>
              <w:spacing w:line="300" w:lineRule="exact"/>
              <w:jc w:val="center"/>
              <w:rPr>
                <w:rFonts w:ascii="Times New Roman" w:cs="Times New Roman" w:hAnsiTheme="minorEastAsia"/>
                <w:color w:val="000000" w:themeColor="text1"/>
                <w:szCs w:val="21"/>
              </w:rPr>
            </w:pPr>
            <w:r>
              <w:rPr>
                <w:rFonts w:hint="eastAsia" w:ascii="Times New Roman" w:cs="Times New Roman" w:hAnsiTheme="minorEastAsia"/>
                <w:color w:val="000000" w:themeColor="text1"/>
                <w:szCs w:val="21"/>
              </w:rPr>
              <w:t>氨、硫化氢</w:t>
            </w:r>
          </w:p>
        </w:tc>
        <w:tc>
          <w:tcPr>
            <w:tcW w:w="1445" w:type="dxa"/>
            <w:vAlign w:val="center"/>
          </w:tcPr>
          <w:p>
            <w:pPr>
              <w:tabs>
                <w:tab w:val="left" w:pos="-1260"/>
              </w:tabs>
              <w:spacing w:line="300" w:lineRule="exact"/>
              <w:jc w:val="center"/>
              <w:rPr>
                <w:rFonts w:ascii="Times New Roman" w:cs="Times New Roman" w:hAnsiTheme="minorEastAsia"/>
                <w:color w:val="000000" w:themeColor="text1"/>
                <w:szCs w:val="21"/>
              </w:rPr>
            </w:pPr>
            <w:r>
              <w:rPr>
                <w:rFonts w:hint="eastAsia" w:ascii="Times New Roman" w:cs="Times New Roman" w:hAnsiTheme="minorEastAsia"/>
                <w:color w:val="000000" w:themeColor="text1"/>
                <w:szCs w:val="21"/>
              </w:rPr>
              <w:t>01：00-02：00</w:t>
            </w:r>
          </w:p>
        </w:tc>
        <w:tc>
          <w:tcPr>
            <w:tcW w:w="972" w:type="dxa"/>
            <w:vMerge w:val="restart"/>
            <w:vAlign w:val="center"/>
          </w:tcPr>
          <w:p>
            <w:pPr>
              <w:tabs>
                <w:tab w:val="left" w:pos="-1260"/>
              </w:tabs>
              <w:spacing w:line="300" w:lineRule="exact"/>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医院</w:t>
            </w:r>
          </w:p>
          <w:p>
            <w:pPr>
              <w:tabs>
                <w:tab w:val="left" w:pos="-1260"/>
              </w:tabs>
              <w:spacing w:line="300" w:lineRule="exact"/>
              <w:jc w:val="center"/>
              <w:rPr>
                <w:rFonts w:ascii="Times New Roman" w:cs="Times New Roman" w:hAnsiTheme="minorEastAsia"/>
                <w:color w:val="000000" w:themeColor="text1"/>
                <w:szCs w:val="21"/>
              </w:rPr>
            </w:pPr>
            <w:r>
              <w:rPr>
                <w:rFonts w:hint="eastAsia" w:ascii="Times New Roman" w:hAnsi="Times New Roman" w:eastAsia="宋体"/>
                <w:color w:val="000000" w:themeColor="text1"/>
                <w:szCs w:val="21"/>
              </w:rPr>
              <w:t>院内</w:t>
            </w:r>
          </w:p>
        </w:tc>
        <w:tc>
          <w:tcPr>
            <w:tcW w:w="1205" w:type="dxa"/>
            <w:vMerge w:val="restart"/>
            <w:vAlign w:val="center"/>
          </w:tcPr>
          <w:p>
            <w:pPr>
              <w:tabs>
                <w:tab w:val="left" w:pos="-1260"/>
              </w:tabs>
              <w:spacing w:line="300" w:lineRule="exact"/>
              <w:jc w:val="center"/>
              <w:rPr>
                <w:rFonts w:ascii="Times New Roman" w:cs="Times New Roman" w:hAnsiTheme="minorEastAsia"/>
                <w:color w:val="000000" w:themeColor="text1"/>
                <w:szCs w:val="21"/>
              </w:rPr>
            </w:pPr>
            <w:r>
              <w:rPr>
                <w:rFonts w:hint="eastAsia" w:cs="Times New Roman" w:asciiTheme="minorEastAsia" w:hAnsiTheme="minor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1367" w:type="dxa"/>
            <w:vMerge w:val="continue"/>
            <w:vAlign w:val="center"/>
          </w:tcPr>
          <w:p>
            <w:pPr>
              <w:jc w:val="center"/>
              <w:rPr>
                <w:rFonts w:ascii="Times New Roman" w:hAnsi="Times New Roman" w:eastAsia="宋体"/>
                <w:color w:val="000000" w:themeColor="text1"/>
                <w:szCs w:val="21"/>
              </w:rPr>
            </w:pPr>
          </w:p>
        </w:tc>
        <w:tc>
          <w:tcPr>
            <w:tcW w:w="1109"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c>
          <w:tcPr>
            <w:tcW w:w="1217"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c>
          <w:tcPr>
            <w:tcW w:w="1207"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c>
          <w:tcPr>
            <w:tcW w:w="1445" w:type="dxa"/>
            <w:vAlign w:val="center"/>
          </w:tcPr>
          <w:p>
            <w:pPr>
              <w:tabs>
                <w:tab w:val="left" w:pos="-1260"/>
              </w:tabs>
              <w:spacing w:line="300" w:lineRule="exact"/>
              <w:jc w:val="center"/>
              <w:rPr>
                <w:rFonts w:ascii="Times New Roman" w:cs="Times New Roman" w:hAnsiTheme="minorEastAsia"/>
                <w:color w:val="000000" w:themeColor="text1"/>
                <w:szCs w:val="21"/>
              </w:rPr>
            </w:pPr>
            <w:r>
              <w:rPr>
                <w:rFonts w:hint="eastAsia" w:ascii="Times New Roman" w:cs="Times New Roman" w:hAnsiTheme="minorEastAsia"/>
                <w:color w:val="000000" w:themeColor="text1"/>
                <w:szCs w:val="21"/>
              </w:rPr>
              <w:t>07:00-08:00</w:t>
            </w:r>
          </w:p>
        </w:tc>
        <w:tc>
          <w:tcPr>
            <w:tcW w:w="972"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c>
          <w:tcPr>
            <w:tcW w:w="1205"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1367" w:type="dxa"/>
            <w:vMerge w:val="continue"/>
            <w:vAlign w:val="center"/>
          </w:tcPr>
          <w:p>
            <w:pPr>
              <w:jc w:val="center"/>
              <w:rPr>
                <w:rFonts w:ascii="Times New Roman" w:hAnsi="Times New Roman" w:eastAsia="宋体"/>
                <w:color w:val="000000" w:themeColor="text1"/>
                <w:szCs w:val="21"/>
              </w:rPr>
            </w:pPr>
          </w:p>
        </w:tc>
        <w:tc>
          <w:tcPr>
            <w:tcW w:w="1109"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c>
          <w:tcPr>
            <w:tcW w:w="1217"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c>
          <w:tcPr>
            <w:tcW w:w="1207"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c>
          <w:tcPr>
            <w:tcW w:w="1445" w:type="dxa"/>
            <w:vAlign w:val="center"/>
          </w:tcPr>
          <w:p>
            <w:pPr>
              <w:tabs>
                <w:tab w:val="left" w:pos="-1260"/>
              </w:tabs>
              <w:spacing w:line="300" w:lineRule="exact"/>
              <w:jc w:val="center"/>
              <w:rPr>
                <w:rFonts w:ascii="Times New Roman" w:cs="Times New Roman" w:hAnsiTheme="minorEastAsia"/>
                <w:color w:val="000000" w:themeColor="text1"/>
                <w:szCs w:val="21"/>
              </w:rPr>
            </w:pPr>
            <w:r>
              <w:rPr>
                <w:rFonts w:hint="eastAsia" w:ascii="Times New Roman" w:cs="Times New Roman" w:hAnsiTheme="minorEastAsia"/>
                <w:color w:val="000000" w:themeColor="text1"/>
                <w:szCs w:val="21"/>
              </w:rPr>
              <w:t>13:00-14:00</w:t>
            </w:r>
          </w:p>
        </w:tc>
        <w:tc>
          <w:tcPr>
            <w:tcW w:w="972"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c>
          <w:tcPr>
            <w:tcW w:w="1205"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1367" w:type="dxa"/>
            <w:vMerge w:val="continue"/>
            <w:vAlign w:val="center"/>
          </w:tcPr>
          <w:p>
            <w:pPr>
              <w:jc w:val="center"/>
              <w:rPr>
                <w:rFonts w:ascii="Times New Roman" w:hAnsi="Times New Roman" w:eastAsia="宋体"/>
                <w:color w:val="000000" w:themeColor="text1"/>
                <w:szCs w:val="21"/>
              </w:rPr>
            </w:pPr>
          </w:p>
        </w:tc>
        <w:tc>
          <w:tcPr>
            <w:tcW w:w="1109"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c>
          <w:tcPr>
            <w:tcW w:w="1217"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c>
          <w:tcPr>
            <w:tcW w:w="1207"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c>
          <w:tcPr>
            <w:tcW w:w="1445" w:type="dxa"/>
            <w:vAlign w:val="center"/>
          </w:tcPr>
          <w:p>
            <w:pPr>
              <w:tabs>
                <w:tab w:val="left" w:pos="-1260"/>
              </w:tabs>
              <w:spacing w:line="300" w:lineRule="exact"/>
              <w:jc w:val="center"/>
              <w:rPr>
                <w:rFonts w:ascii="Times New Roman" w:cs="Times New Roman" w:hAnsiTheme="minorEastAsia"/>
                <w:color w:val="000000" w:themeColor="text1"/>
                <w:szCs w:val="21"/>
              </w:rPr>
            </w:pPr>
            <w:r>
              <w:rPr>
                <w:rFonts w:hint="eastAsia" w:ascii="Times New Roman" w:cs="Times New Roman" w:hAnsiTheme="minorEastAsia"/>
                <w:color w:val="000000" w:themeColor="text1"/>
                <w:szCs w:val="21"/>
              </w:rPr>
              <w:t>19:00-20:00</w:t>
            </w:r>
          </w:p>
        </w:tc>
        <w:tc>
          <w:tcPr>
            <w:tcW w:w="972"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c>
          <w:tcPr>
            <w:tcW w:w="1205"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 w:hRule="atLeast"/>
        </w:trPr>
        <w:tc>
          <w:tcPr>
            <w:tcW w:w="1367" w:type="dxa"/>
            <w:vMerge w:val="restart"/>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红星花园小区</w:t>
            </w:r>
          </w:p>
        </w:tc>
        <w:tc>
          <w:tcPr>
            <w:tcW w:w="1109" w:type="dxa"/>
            <w:vMerge w:val="restart"/>
            <w:vAlign w:val="center"/>
          </w:tcPr>
          <w:p>
            <w:pPr>
              <w:tabs>
                <w:tab w:val="left" w:pos="-1260"/>
              </w:tabs>
              <w:spacing w:line="300" w:lineRule="exact"/>
              <w:jc w:val="center"/>
              <w:rPr>
                <w:rFonts w:ascii="Times New Roman" w:cs="Times New Roman" w:hAnsiTheme="minorEastAsia"/>
                <w:color w:val="000000" w:themeColor="text1"/>
                <w:szCs w:val="21"/>
              </w:rPr>
            </w:pPr>
            <w:r>
              <w:rPr>
                <w:rFonts w:ascii="Times New Roman" w:cs="Times New Roman" w:hAnsiTheme="minorEastAsia"/>
                <w:color w:val="000000" w:themeColor="text1"/>
                <w:szCs w:val="21"/>
              </w:rPr>
              <w:t>38.898036</w:t>
            </w:r>
          </w:p>
        </w:tc>
        <w:tc>
          <w:tcPr>
            <w:tcW w:w="1217" w:type="dxa"/>
            <w:vMerge w:val="restart"/>
            <w:vAlign w:val="center"/>
          </w:tcPr>
          <w:p>
            <w:pPr>
              <w:tabs>
                <w:tab w:val="left" w:pos="-1260"/>
              </w:tabs>
              <w:spacing w:line="300" w:lineRule="exact"/>
              <w:jc w:val="center"/>
              <w:rPr>
                <w:rFonts w:ascii="Times New Roman" w:cs="Times New Roman" w:hAnsiTheme="minorEastAsia"/>
                <w:color w:val="000000" w:themeColor="text1"/>
                <w:szCs w:val="21"/>
              </w:rPr>
            </w:pPr>
            <w:r>
              <w:rPr>
                <w:rFonts w:ascii="Times New Roman" w:cs="Times New Roman" w:hAnsiTheme="minorEastAsia"/>
                <w:color w:val="000000" w:themeColor="text1"/>
                <w:szCs w:val="21"/>
              </w:rPr>
              <w:t>115.503917</w:t>
            </w:r>
          </w:p>
        </w:tc>
        <w:tc>
          <w:tcPr>
            <w:tcW w:w="1207" w:type="dxa"/>
            <w:vMerge w:val="restart"/>
            <w:vAlign w:val="center"/>
          </w:tcPr>
          <w:p>
            <w:pPr>
              <w:tabs>
                <w:tab w:val="left" w:pos="-1260"/>
              </w:tabs>
              <w:spacing w:line="300" w:lineRule="exact"/>
              <w:jc w:val="center"/>
              <w:rPr>
                <w:rFonts w:ascii="Times New Roman" w:cs="Times New Roman" w:hAnsiTheme="minorEastAsia"/>
                <w:color w:val="000000" w:themeColor="text1"/>
                <w:szCs w:val="21"/>
              </w:rPr>
            </w:pPr>
            <w:r>
              <w:rPr>
                <w:rFonts w:hint="eastAsia" w:ascii="Times New Roman" w:cs="Times New Roman" w:hAnsiTheme="minorEastAsia"/>
                <w:color w:val="000000" w:themeColor="text1"/>
                <w:szCs w:val="21"/>
              </w:rPr>
              <w:t>氨、硫化氢</w:t>
            </w:r>
          </w:p>
        </w:tc>
        <w:tc>
          <w:tcPr>
            <w:tcW w:w="1445" w:type="dxa"/>
            <w:vAlign w:val="center"/>
          </w:tcPr>
          <w:p>
            <w:pPr>
              <w:tabs>
                <w:tab w:val="left" w:pos="-1260"/>
              </w:tabs>
              <w:spacing w:line="300" w:lineRule="exact"/>
              <w:jc w:val="center"/>
              <w:rPr>
                <w:rFonts w:ascii="Times New Roman" w:cs="Times New Roman" w:hAnsiTheme="minorEastAsia"/>
                <w:color w:val="000000" w:themeColor="text1"/>
                <w:szCs w:val="21"/>
              </w:rPr>
            </w:pPr>
            <w:r>
              <w:rPr>
                <w:rFonts w:hint="eastAsia" w:ascii="Times New Roman" w:cs="Times New Roman" w:hAnsiTheme="minorEastAsia"/>
                <w:color w:val="000000" w:themeColor="text1"/>
                <w:szCs w:val="21"/>
              </w:rPr>
              <w:t>01：00-02：00</w:t>
            </w:r>
          </w:p>
        </w:tc>
        <w:tc>
          <w:tcPr>
            <w:tcW w:w="972" w:type="dxa"/>
            <w:vMerge w:val="restart"/>
            <w:vAlign w:val="center"/>
          </w:tcPr>
          <w:p>
            <w:pPr>
              <w:tabs>
                <w:tab w:val="left" w:pos="-1260"/>
              </w:tabs>
              <w:spacing w:line="300" w:lineRule="exact"/>
              <w:jc w:val="center"/>
              <w:rPr>
                <w:rFonts w:ascii="Times New Roman" w:cs="Times New Roman" w:hAnsiTheme="minorEastAsia"/>
                <w:color w:val="000000" w:themeColor="text1"/>
                <w:szCs w:val="21"/>
              </w:rPr>
            </w:pPr>
            <w:r>
              <w:rPr>
                <w:rFonts w:hint="eastAsia" w:ascii="Times New Roman" w:cs="Times New Roman" w:hAnsiTheme="minorEastAsia"/>
                <w:color w:val="000000" w:themeColor="text1"/>
                <w:szCs w:val="21"/>
              </w:rPr>
              <w:t>S</w:t>
            </w:r>
          </w:p>
        </w:tc>
        <w:tc>
          <w:tcPr>
            <w:tcW w:w="1205" w:type="dxa"/>
            <w:vMerge w:val="restart"/>
            <w:vAlign w:val="center"/>
          </w:tcPr>
          <w:p>
            <w:pPr>
              <w:tabs>
                <w:tab w:val="left" w:pos="-1260"/>
              </w:tabs>
              <w:spacing w:line="300" w:lineRule="exact"/>
              <w:jc w:val="center"/>
              <w:rPr>
                <w:rFonts w:ascii="Times New Roman" w:cs="Times New Roman" w:hAnsiTheme="minorEastAsia"/>
                <w:color w:val="000000" w:themeColor="text1"/>
                <w:szCs w:val="21"/>
              </w:rPr>
            </w:pPr>
            <w:r>
              <w:rPr>
                <w:rFonts w:hint="eastAsia" w:ascii="Times New Roman" w:cs="Times New Roman" w:hAnsiTheme="minorEastAsia"/>
                <w:color w:val="000000" w:themeColor="text1"/>
                <w:szCs w:val="21"/>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1367" w:type="dxa"/>
            <w:vMerge w:val="continue"/>
            <w:vAlign w:val="center"/>
          </w:tcPr>
          <w:p>
            <w:pPr>
              <w:jc w:val="center"/>
              <w:rPr>
                <w:rFonts w:ascii="Times New Roman" w:hAnsi="Times New Roman" w:eastAsia="宋体"/>
                <w:color w:val="000000" w:themeColor="text1"/>
                <w:szCs w:val="21"/>
              </w:rPr>
            </w:pPr>
          </w:p>
        </w:tc>
        <w:tc>
          <w:tcPr>
            <w:tcW w:w="1109"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c>
          <w:tcPr>
            <w:tcW w:w="1217"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c>
          <w:tcPr>
            <w:tcW w:w="1207"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c>
          <w:tcPr>
            <w:tcW w:w="1445" w:type="dxa"/>
            <w:vAlign w:val="center"/>
          </w:tcPr>
          <w:p>
            <w:pPr>
              <w:tabs>
                <w:tab w:val="left" w:pos="-1260"/>
              </w:tabs>
              <w:spacing w:line="300" w:lineRule="exact"/>
              <w:jc w:val="center"/>
              <w:rPr>
                <w:rFonts w:ascii="Times New Roman" w:cs="Times New Roman" w:hAnsiTheme="minorEastAsia"/>
                <w:color w:val="000000" w:themeColor="text1"/>
                <w:szCs w:val="21"/>
              </w:rPr>
            </w:pPr>
            <w:r>
              <w:rPr>
                <w:rFonts w:hint="eastAsia" w:ascii="Times New Roman" w:cs="Times New Roman" w:hAnsiTheme="minorEastAsia"/>
                <w:color w:val="000000" w:themeColor="text1"/>
                <w:szCs w:val="21"/>
              </w:rPr>
              <w:t>07:00-08:00</w:t>
            </w:r>
          </w:p>
        </w:tc>
        <w:tc>
          <w:tcPr>
            <w:tcW w:w="972"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c>
          <w:tcPr>
            <w:tcW w:w="1205"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1367" w:type="dxa"/>
            <w:vMerge w:val="continue"/>
            <w:vAlign w:val="center"/>
          </w:tcPr>
          <w:p>
            <w:pPr>
              <w:jc w:val="center"/>
              <w:rPr>
                <w:rFonts w:ascii="Times New Roman" w:hAnsi="Times New Roman" w:eastAsia="宋体"/>
                <w:color w:val="000000" w:themeColor="text1"/>
                <w:szCs w:val="21"/>
              </w:rPr>
            </w:pPr>
          </w:p>
        </w:tc>
        <w:tc>
          <w:tcPr>
            <w:tcW w:w="1109"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c>
          <w:tcPr>
            <w:tcW w:w="1217"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c>
          <w:tcPr>
            <w:tcW w:w="1207"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c>
          <w:tcPr>
            <w:tcW w:w="1445" w:type="dxa"/>
            <w:vAlign w:val="center"/>
          </w:tcPr>
          <w:p>
            <w:pPr>
              <w:tabs>
                <w:tab w:val="left" w:pos="-1260"/>
              </w:tabs>
              <w:spacing w:line="300" w:lineRule="exact"/>
              <w:jc w:val="center"/>
              <w:rPr>
                <w:rFonts w:ascii="Times New Roman" w:cs="Times New Roman" w:hAnsiTheme="minorEastAsia"/>
                <w:color w:val="000000" w:themeColor="text1"/>
                <w:szCs w:val="21"/>
              </w:rPr>
            </w:pPr>
            <w:r>
              <w:rPr>
                <w:rFonts w:hint="eastAsia" w:ascii="Times New Roman" w:cs="Times New Roman" w:hAnsiTheme="minorEastAsia"/>
                <w:color w:val="000000" w:themeColor="text1"/>
                <w:szCs w:val="21"/>
              </w:rPr>
              <w:t>13:00-14:00</w:t>
            </w:r>
          </w:p>
        </w:tc>
        <w:tc>
          <w:tcPr>
            <w:tcW w:w="972"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c>
          <w:tcPr>
            <w:tcW w:w="1205"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1367" w:type="dxa"/>
            <w:vMerge w:val="continue"/>
            <w:vAlign w:val="center"/>
          </w:tcPr>
          <w:p>
            <w:pPr>
              <w:jc w:val="center"/>
              <w:rPr>
                <w:rFonts w:ascii="Times New Roman" w:hAnsi="Times New Roman" w:eastAsia="宋体"/>
                <w:color w:val="000000" w:themeColor="text1"/>
                <w:szCs w:val="21"/>
              </w:rPr>
            </w:pPr>
          </w:p>
        </w:tc>
        <w:tc>
          <w:tcPr>
            <w:tcW w:w="1109"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c>
          <w:tcPr>
            <w:tcW w:w="1217"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c>
          <w:tcPr>
            <w:tcW w:w="1207"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c>
          <w:tcPr>
            <w:tcW w:w="1445" w:type="dxa"/>
            <w:vAlign w:val="center"/>
          </w:tcPr>
          <w:p>
            <w:pPr>
              <w:tabs>
                <w:tab w:val="left" w:pos="-1260"/>
              </w:tabs>
              <w:spacing w:line="300" w:lineRule="exact"/>
              <w:jc w:val="center"/>
              <w:rPr>
                <w:rFonts w:ascii="Times New Roman" w:cs="Times New Roman" w:hAnsiTheme="minorEastAsia"/>
                <w:color w:val="000000" w:themeColor="text1"/>
                <w:szCs w:val="21"/>
              </w:rPr>
            </w:pPr>
            <w:r>
              <w:rPr>
                <w:rFonts w:hint="eastAsia" w:ascii="Times New Roman" w:cs="Times New Roman" w:hAnsiTheme="minorEastAsia"/>
                <w:color w:val="000000" w:themeColor="text1"/>
                <w:szCs w:val="21"/>
              </w:rPr>
              <w:t>19:00-20:00</w:t>
            </w:r>
          </w:p>
        </w:tc>
        <w:tc>
          <w:tcPr>
            <w:tcW w:w="972"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c>
          <w:tcPr>
            <w:tcW w:w="1205" w:type="dxa"/>
            <w:vMerge w:val="continue"/>
            <w:vAlign w:val="center"/>
          </w:tcPr>
          <w:p>
            <w:pPr>
              <w:tabs>
                <w:tab w:val="left" w:pos="-1260"/>
              </w:tabs>
              <w:spacing w:line="300" w:lineRule="exact"/>
              <w:jc w:val="center"/>
              <w:rPr>
                <w:rFonts w:ascii="Times New Roman" w:cs="Times New Roman" w:hAnsiTheme="minorEastAsia"/>
                <w:color w:val="000000" w:themeColor="text1"/>
                <w:szCs w:val="21"/>
              </w:rPr>
            </w:pPr>
          </w:p>
        </w:tc>
      </w:tr>
    </w:tbl>
    <w:p>
      <w:pPr>
        <w:tabs>
          <w:tab w:val="left" w:pos="-1260"/>
        </w:tabs>
        <w:spacing w:line="360" w:lineRule="auto"/>
        <w:rPr>
          <w:rFonts w:ascii="Times New Roman" w:cs="Times New Roman" w:hAnsiTheme="minorEastAsia"/>
          <w:b/>
          <w:color w:val="000000" w:themeColor="text1"/>
          <w:sz w:val="24"/>
        </w:rPr>
      </w:pPr>
    </w:p>
    <w:p>
      <w:pPr>
        <w:tabs>
          <w:tab w:val="left" w:pos="-1260"/>
        </w:tabs>
        <w:spacing w:line="360" w:lineRule="auto"/>
        <w:ind w:firstLine="482" w:firstLineChars="200"/>
        <w:jc w:val="center"/>
        <w:rPr>
          <w:rFonts w:ascii="Times New Roman" w:hAnsi="Times New Roman" w:cs="Times New Roman"/>
          <w:b/>
          <w:color w:val="000000" w:themeColor="text1"/>
          <w:sz w:val="24"/>
        </w:rPr>
      </w:pPr>
      <w:r>
        <w:rPr>
          <w:rFonts w:ascii="Times New Roman" w:cs="Times New Roman" w:hAnsiTheme="minorEastAsia"/>
          <w:b/>
          <w:color w:val="000000" w:themeColor="text1"/>
          <w:sz w:val="24"/>
        </w:rPr>
        <w:t>表</w:t>
      </w:r>
      <w:r>
        <w:rPr>
          <w:rFonts w:ascii="Times New Roman" w:hAnsi="Times New Roman" w:cs="Times New Roman"/>
          <w:b/>
          <w:color w:val="000000" w:themeColor="text1"/>
          <w:sz w:val="24"/>
        </w:rPr>
        <w:t>4-</w:t>
      </w:r>
      <w:r>
        <w:rPr>
          <w:rFonts w:hint="eastAsia" w:ascii="Times New Roman" w:hAnsi="Times New Roman" w:cs="Times New Roman"/>
          <w:b/>
          <w:color w:val="000000" w:themeColor="text1"/>
          <w:sz w:val="24"/>
        </w:rPr>
        <w:t>5</w:t>
      </w:r>
      <w:r>
        <w:rPr>
          <w:rFonts w:ascii="Times New Roman" w:hAnsi="Times New Roman" w:cs="Times New Roman"/>
          <w:b/>
          <w:color w:val="000000" w:themeColor="text1"/>
          <w:sz w:val="24"/>
        </w:rPr>
        <w:t xml:space="preserve">  </w:t>
      </w:r>
      <w:r>
        <w:rPr>
          <w:rFonts w:ascii="Times New Roman" w:cs="Times New Roman" w:hAnsiTheme="minorEastAsia"/>
          <w:b/>
          <w:color w:val="000000" w:themeColor="text1"/>
          <w:sz w:val="24"/>
        </w:rPr>
        <w:t>其他污染物环境质量现状监测结果表</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999"/>
        <w:gridCol w:w="1161"/>
        <w:gridCol w:w="1364"/>
        <w:gridCol w:w="1364"/>
        <w:gridCol w:w="1161"/>
        <w:gridCol w:w="864"/>
        <w:gridCol w:w="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10" w:type="dxa"/>
            <w:vMerge w:val="restart"/>
            <w:tcBorders>
              <w:top w:val="single" w:color="auto" w:sz="4" w:space="0"/>
              <w:left w:val="single" w:color="auto" w:sz="4" w:space="0"/>
              <w:bottom w:val="single" w:color="auto" w:sz="4" w:space="0"/>
              <w:right w:val="single" w:color="auto" w:sz="4" w:space="0"/>
            </w:tcBorders>
          </w:tcPr>
          <w:p>
            <w:pPr>
              <w:tabs>
                <w:tab w:val="left" w:pos="-1260"/>
              </w:tabs>
              <w:spacing w:line="34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监测点位</w:t>
            </w:r>
          </w:p>
        </w:tc>
        <w:tc>
          <w:tcPr>
            <w:tcW w:w="999" w:type="dxa"/>
            <w:vMerge w:val="restart"/>
            <w:tcBorders>
              <w:top w:val="single" w:color="auto" w:sz="4" w:space="0"/>
              <w:left w:val="single" w:color="auto" w:sz="4" w:space="0"/>
              <w:bottom w:val="single" w:color="auto" w:sz="4" w:space="0"/>
              <w:right w:val="single" w:color="auto" w:sz="4" w:space="0"/>
            </w:tcBorders>
            <w:vAlign w:val="center"/>
          </w:tcPr>
          <w:p>
            <w:pPr>
              <w:tabs>
                <w:tab w:val="left" w:pos="-1260"/>
              </w:tabs>
              <w:spacing w:line="34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污染物</w:t>
            </w:r>
          </w:p>
        </w:tc>
        <w:tc>
          <w:tcPr>
            <w:tcW w:w="1161" w:type="dxa"/>
            <w:vMerge w:val="restart"/>
            <w:tcBorders>
              <w:top w:val="single" w:color="auto" w:sz="4" w:space="0"/>
              <w:left w:val="single" w:color="auto" w:sz="4" w:space="0"/>
              <w:bottom w:val="single" w:color="auto" w:sz="4" w:space="0"/>
              <w:right w:val="single" w:color="auto" w:sz="4" w:space="0"/>
            </w:tcBorders>
            <w:vAlign w:val="center"/>
          </w:tcPr>
          <w:p>
            <w:pPr>
              <w:tabs>
                <w:tab w:val="left" w:pos="-1260"/>
              </w:tabs>
              <w:spacing w:line="34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平均时间</w:t>
            </w:r>
          </w:p>
        </w:tc>
        <w:tc>
          <w:tcPr>
            <w:tcW w:w="1364" w:type="dxa"/>
            <w:vMerge w:val="restart"/>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评价标准</w:t>
            </w:r>
            <w:r>
              <w:rPr>
                <w:rFonts w:ascii="Times New Roman" w:hAnsi="Times New Roman" w:cs="Times New Roman"/>
                <w:color w:val="000000" w:themeColor="text1"/>
                <w:szCs w:val="21"/>
              </w:rPr>
              <w:t>/</w:t>
            </w:r>
          </w:p>
          <w:p>
            <w:pPr>
              <w:tabs>
                <w:tab w:val="left" w:pos="-1260"/>
              </w:tabs>
              <w:spacing w:line="34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w:t>
            </w:r>
            <w:r>
              <w:rPr>
                <w:rFonts w:ascii="Times New Roman" w:hAnsi="Times New Roman" w:cs="Times New Roman"/>
                <w:color w:val="000000" w:themeColor="text1"/>
                <w:szCs w:val="21"/>
              </w:rPr>
              <w:t>mg/m</w:t>
            </w:r>
            <w:r>
              <w:rPr>
                <w:rFonts w:ascii="Times New Roman" w:hAnsi="Times New Roman" w:cs="Times New Roman"/>
                <w:color w:val="000000" w:themeColor="text1"/>
                <w:szCs w:val="21"/>
                <w:vertAlign w:val="superscript"/>
              </w:rPr>
              <w:t>3</w:t>
            </w:r>
            <w:r>
              <w:rPr>
                <w:rFonts w:ascii="Times New Roman" w:cs="Times New Roman" w:hAnsiTheme="minorEastAsia"/>
                <w:color w:val="000000" w:themeColor="text1"/>
                <w:szCs w:val="21"/>
              </w:rPr>
              <w:t>）</w:t>
            </w:r>
          </w:p>
        </w:tc>
        <w:tc>
          <w:tcPr>
            <w:tcW w:w="1364" w:type="dxa"/>
            <w:vMerge w:val="restart"/>
            <w:tcBorders>
              <w:top w:val="single" w:color="auto" w:sz="4" w:space="0"/>
              <w:left w:val="single" w:color="auto" w:sz="4" w:space="0"/>
              <w:bottom w:val="single" w:color="auto" w:sz="4" w:space="0"/>
              <w:right w:val="single" w:color="auto" w:sz="4" w:space="0"/>
            </w:tcBorders>
            <w:vAlign w:val="center"/>
          </w:tcPr>
          <w:p>
            <w:pPr>
              <w:tabs>
                <w:tab w:val="left" w:pos="-1260"/>
              </w:tabs>
              <w:spacing w:line="34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现状浓度范围</w:t>
            </w:r>
            <w:r>
              <w:rPr>
                <w:rFonts w:ascii="Times New Roman" w:hAnsi="Times New Roman" w:cs="Times New Roman"/>
                <w:color w:val="000000" w:themeColor="text1"/>
                <w:szCs w:val="21"/>
              </w:rPr>
              <w:t>/</w:t>
            </w:r>
            <w:r>
              <w:rPr>
                <w:rFonts w:ascii="Times New Roman" w:cs="Times New Roman" w:hAnsiTheme="minorEastAsia"/>
                <w:color w:val="000000" w:themeColor="text1"/>
                <w:szCs w:val="21"/>
              </w:rPr>
              <w:t>（</w:t>
            </w:r>
            <w:r>
              <w:rPr>
                <w:rFonts w:ascii="Times New Roman" w:hAnsi="Times New Roman" w:cs="Times New Roman"/>
                <w:color w:val="000000" w:themeColor="text1"/>
                <w:szCs w:val="21"/>
              </w:rPr>
              <w:t>mg/m</w:t>
            </w:r>
            <w:r>
              <w:rPr>
                <w:rFonts w:ascii="Times New Roman" w:hAnsi="Times New Roman" w:cs="Times New Roman"/>
                <w:color w:val="000000" w:themeColor="text1"/>
                <w:szCs w:val="21"/>
                <w:vertAlign w:val="superscript"/>
              </w:rPr>
              <w:t>3</w:t>
            </w:r>
            <w:r>
              <w:rPr>
                <w:rFonts w:ascii="Times New Roman" w:cs="Times New Roman" w:hAnsiTheme="minorEastAsia"/>
                <w:color w:val="000000" w:themeColor="text1"/>
                <w:szCs w:val="21"/>
              </w:rPr>
              <w:t>）</w:t>
            </w:r>
          </w:p>
        </w:tc>
        <w:tc>
          <w:tcPr>
            <w:tcW w:w="1161" w:type="dxa"/>
            <w:vMerge w:val="restart"/>
            <w:tcBorders>
              <w:top w:val="single" w:color="auto" w:sz="4" w:space="0"/>
              <w:left w:val="single" w:color="auto" w:sz="4" w:space="0"/>
              <w:bottom w:val="single" w:color="auto" w:sz="4" w:space="0"/>
              <w:right w:val="single" w:color="auto" w:sz="4" w:space="0"/>
            </w:tcBorders>
            <w:vAlign w:val="center"/>
          </w:tcPr>
          <w:p>
            <w:pPr>
              <w:tabs>
                <w:tab w:val="left" w:pos="-1260"/>
              </w:tabs>
              <w:spacing w:line="34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最大浓度占标率</w:t>
            </w:r>
            <w:r>
              <w:rPr>
                <w:rFonts w:ascii="Times New Roman" w:hAnsi="Times New Roman" w:cs="Times New Roman"/>
                <w:color w:val="000000" w:themeColor="text1"/>
                <w:szCs w:val="21"/>
              </w:rPr>
              <w:t>/%</w:t>
            </w:r>
          </w:p>
        </w:tc>
        <w:tc>
          <w:tcPr>
            <w:tcW w:w="864" w:type="dxa"/>
            <w:vMerge w:val="restart"/>
            <w:tcBorders>
              <w:top w:val="single" w:color="auto" w:sz="4" w:space="0"/>
              <w:left w:val="single" w:color="auto" w:sz="4" w:space="0"/>
              <w:bottom w:val="single" w:color="auto" w:sz="4" w:space="0"/>
              <w:right w:val="single" w:color="auto" w:sz="4" w:space="0"/>
            </w:tcBorders>
            <w:vAlign w:val="center"/>
          </w:tcPr>
          <w:p>
            <w:pPr>
              <w:tabs>
                <w:tab w:val="left" w:pos="-1260"/>
              </w:tabs>
              <w:spacing w:line="34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超标频率</w:t>
            </w:r>
            <w:r>
              <w:rPr>
                <w:rFonts w:ascii="Times New Roman" w:hAnsi="Times New Roman" w:cs="Times New Roman"/>
                <w:color w:val="000000" w:themeColor="text1"/>
                <w:szCs w:val="21"/>
              </w:rPr>
              <w:t>/%</w:t>
            </w:r>
          </w:p>
        </w:tc>
        <w:tc>
          <w:tcPr>
            <w:tcW w:w="799" w:type="dxa"/>
            <w:vMerge w:val="restart"/>
            <w:tcBorders>
              <w:top w:val="single" w:color="auto" w:sz="4" w:space="0"/>
              <w:left w:val="single" w:color="auto" w:sz="4" w:space="0"/>
              <w:bottom w:val="single" w:color="auto" w:sz="4" w:space="0"/>
              <w:right w:val="single" w:color="auto" w:sz="4" w:space="0"/>
            </w:tcBorders>
            <w:vAlign w:val="center"/>
          </w:tcPr>
          <w:p>
            <w:pPr>
              <w:tabs>
                <w:tab w:val="left" w:pos="-1260"/>
              </w:tabs>
              <w:spacing w:line="34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rPr>
            </w:pPr>
          </w:p>
        </w:tc>
        <w:tc>
          <w:tcPr>
            <w:tcW w:w="99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rPr>
            </w:pPr>
          </w:p>
        </w:tc>
        <w:tc>
          <w:tcPr>
            <w:tcW w:w="1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rPr>
            </w:pPr>
          </w:p>
        </w:tc>
        <w:tc>
          <w:tcPr>
            <w:tcW w:w="136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rPr>
            </w:pPr>
          </w:p>
        </w:tc>
        <w:tc>
          <w:tcPr>
            <w:tcW w:w="136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rPr>
            </w:pPr>
          </w:p>
        </w:tc>
        <w:tc>
          <w:tcPr>
            <w:tcW w:w="1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rPr>
            </w:pPr>
          </w:p>
        </w:tc>
        <w:tc>
          <w:tcPr>
            <w:tcW w:w="86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rPr>
            </w:pPr>
          </w:p>
        </w:tc>
        <w:tc>
          <w:tcPr>
            <w:tcW w:w="79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1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保定市第一中医院院内</w:t>
            </w:r>
          </w:p>
        </w:tc>
        <w:tc>
          <w:tcPr>
            <w:tcW w:w="999"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hint="eastAsia" w:ascii="Times New Roman" w:cs="Times New Roman" w:hAnsiTheme="minorEastAsia"/>
                <w:color w:val="000000" w:themeColor="text1"/>
                <w:szCs w:val="21"/>
              </w:rPr>
              <w:t>氨</w:t>
            </w:r>
          </w:p>
        </w:tc>
        <w:tc>
          <w:tcPr>
            <w:tcW w:w="1161"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r>
              <w:rPr>
                <w:rFonts w:ascii="Times New Roman" w:cs="Times New Roman" w:hAnsiTheme="minorEastAsia"/>
                <w:color w:val="000000" w:themeColor="text1"/>
                <w:szCs w:val="21"/>
              </w:rPr>
              <w:t>小时平均浓度</w:t>
            </w:r>
          </w:p>
        </w:tc>
        <w:tc>
          <w:tcPr>
            <w:tcW w:w="136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0.20</w:t>
            </w:r>
          </w:p>
        </w:tc>
        <w:tc>
          <w:tcPr>
            <w:tcW w:w="1364"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hint="eastAsia" w:ascii="Times New Roman" w:hAnsi="Times New Roman" w:eastAsia="宋体"/>
                <w:color w:val="000000" w:themeColor="text1"/>
                <w:szCs w:val="21"/>
              </w:rPr>
              <w:t>0.022</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0.047</w:t>
            </w:r>
          </w:p>
        </w:tc>
        <w:tc>
          <w:tcPr>
            <w:tcW w:w="1161"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0.235</w:t>
            </w:r>
          </w:p>
        </w:tc>
        <w:tc>
          <w:tcPr>
            <w:tcW w:w="864"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4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w:t>
            </w:r>
          </w:p>
        </w:tc>
        <w:tc>
          <w:tcPr>
            <w:tcW w:w="799"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4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10" w:type="dxa"/>
            <w:vMerge w:val="continue"/>
            <w:tcBorders>
              <w:left w:val="single" w:color="auto" w:sz="4" w:space="0"/>
              <w:bottom w:val="single" w:color="auto" w:sz="4" w:space="0"/>
              <w:right w:val="single" w:color="auto" w:sz="4" w:space="0"/>
            </w:tcBorders>
            <w:vAlign w:val="center"/>
          </w:tcPr>
          <w:p>
            <w:pPr>
              <w:jc w:val="center"/>
              <w:rPr>
                <w:rFonts w:ascii="Times New Roman" w:hAnsi="Times New Roman" w:eastAsia="宋体"/>
                <w:color w:val="000000" w:themeColor="text1"/>
                <w:szCs w:val="21"/>
              </w:rPr>
            </w:pPr>
          </w:p>
        </w:tc>
        <w:tc>
          <w:tcPr>
            <w:tcW w:w="999"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cs="Times New Roman" w:hAnsiTheme="minorEastAsia"/>
                <w:color w:val="000000" w:themeColor="text1"/>
                <w:szCs w:val="21"/>
              </w:rPr>
            </w:pPr>
            <w:r>
              <w:rPr>
                <w:rFonts w:ascii="Times New Roman" w:hAnsi="Times New Roman" w:eastAsia="宋体"/>
                <w:color w:val="000000" w:themeColor="text1"/>
                <w:szCs w:val="21"/>
              </w:rPr>
              <w:t>H</w:t>
            </w:r>
            <w:r>
              <w:rPr>
                <w:rFonts w:ascii="Times New Roman" w:hAnsi="Times New Roman" w:eastAsia="宋体"/>
                <w:color w:val="000000" w:themeColor="text1"/>
                <w:szCs w:val="21"/>
                <w:vertAlign w:val="subscript"/>
              </w:rPr>
              <w:t>2</w:t>
            </w:r>
            <w:r>
              <w:rPr>
                <w:rFonts w:ascii="Times New Roman" w:hAnsi="Times New Roman" w:eastAsia="宋体"/>
                <w:color w:val="000000" w:themeColor="text1"/>
                <w:szCs w:val="21"/>
              </w:rPr>
              <w:t>S</w:t>
            </w:r>
          </w:p>
        </w:tc>
        <w:tc>
          <w:tcPr>
            <w:tcW w:w="1161"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r>
              <w:rPr>
                <w:rFonts w:ascii="Times New Roman" w:cs="Times New Roman" w:hAnsiTheme="minorEastAsia"/>
                <w:color w:val="000000" w:themeColor="text1"/>
                <w:szCs w:val="21"/>
              </w:rPr>
              <w:t>小时平均浓度</w:t>
            </w:r>
          </w:p>
        </w:tc>
        <w:tc>
          <w:tcPr>
            <w:tcW w:w="136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eastAsia="宋体"/>
                <w:color w:val="000000" w:themeColor="text1"/>
                <w:szCs w:val="21"/>
              </w:rPr>
            </w:pPr>
            <w:r>
              <w:rPr>
                <w:rFonts w:ascii="Times New Roman" w:hAnsi="Times New Roman" w:eastAsia="宋体"/>
                <w:color w:val="000000" w:themeColor="text1"/>
                <w:szCs w:val="21"/>
              </w:rPr>
              <w:t>0.01</w:t>
            </w:r>
          </w:p>
        </w:tc>
        <w:tc>
          <w:tcPr>
            <w:tcW w:w="1364"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hint="eastAsia" w:ascii="Times New Roman" w:hAnsi="Times New Roman" w:eastAsia="宋体"/>
                <w:color w:val="000000" w:themeColor="text1"/>
                <w:szCs w:val="21"/>
              </w:rPr>
              <w:t>0.002</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0.004</w:t>
            </w:r>
          </w:p>
        </w:tc>
        <w:tc>
          <w:tcPr>
            <w:tcW w:w="1161"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0.040</w:t>
            </w:r>
          </w:p>
        </w:tc>
        <w:tc>
          <w:tcPr>
            <w:tcW w:w="864"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4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w:t>
            </w:r>
          </w:p>
        </w:tc>
        <w:tc>
          <w:tcPr>
            <w:tcW w:w="799"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4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10"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红星花园小区</w:t>
            </w:r>
          </w:p>
        </w:tc>
        <w:tc>
          <w:tcPr>
            <w:tcW w:w="999"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hint="eastAsia" w:ascii="Times New Roman" w:cs="Times New Roman" w:hAnsiTheme="minorEastAsia"/>
                <w:color w:val="000000" w:themeColor="text1"/>
                <w:szCs w:val="21"/>
              </w:rPr>
              <w:t>氨</w:t>
            </w:r>
          </w:p>
        </w:tc>
        <w:tc>
          <w:tcPr>
            <w:tcW w:w="1161"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r>
              <w:rPr>
                <w:rFonts w:ascii="Times New Roman" w:cs="Times New Roman" w:hAnsiTheme="minorEastAsia"/>
                <w:color w:val="000000" w:themeColor="text1"/>
                <w:szCs w:val="21"/>
              </w:rPr>
              <w:t>小时平均浓度</w:t>
            </w:r>
          </w:p>
        </w:tc>
        <w:tc>
          <w:tcPr>
            <w:tcW w:w="136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eastAsia="宋体"/>
                <w:color w:val="000000" w:themeColor="text1"/>
                <w:szCs w:val="21"/>
              </w:rPr>
            </w:pPr>
            <w:r>
              <w:rPr>
                <w:rFonts w:hint="eastAsia" w:ascii="Times New Roman" w:hAnsi="Times New Roman" w:eastAsia="宋体"/>
                <w:color w:val="000000" w:themeColor="text1"/>
                <w:szCs w:val="21"/>
              </w:rPr>
              <w:t>0.20</w:t>
            </w:r>
          </w:p>
        </w:tc>
        <w:tc>
          <w:tcPr>
            <w:tcW w:w="1364"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hint="eastAsia" w:ascii="Times New Roman" w:hAnsi="Times New Roman" w:eastAsia="宋体"/>
                <w:color w:val="000000" w:themeColor="text1"/>
                <w:szCs w:val="21"/>
              </w:rPr>
              <w:t>0.033</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0.052</w:t>
            </w:r>
          </w:p>
        </w:tc>
        <w:tc>
          <w:tcPr>
            <w:tcW w:w="1161"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0.260</w:t>
            </w:r>
          </w:p>
        </w:tc>
        <w:tc>
          <w:tcPr>
            <w:tcW w:w="864"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4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w:t>
            </w:r>
          </w:p>
        </w:tc>
        <w:tc>
          <w:tcPr>
            <w:tcW w:w="799"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4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10" w:type="dxa"/>
            <w:vMerge w:val="continue"/>
            <w:tcBorders>
              <w:left w:val="single" w:color="auto" w:sz="4" w:space="0"/>
              <w:bottom w:val="single" w:color="auto" w:sz="4" w:space="0"/>
              <w:right w:val="single" w:color="auto" w:sz="4" w:space="0"/>
            </w:tcBorders>
            <w:vAlign w:val="center"/>
          </w:tcPr>
          <w:p>
            <w:pPr>
              <w:jc w:val="center"/>
              <w:rPr>
                <w:rFonts w:ascii="Times New Roman" w:hAnsi="Times New Roman" w:eastAsia="宋体"/>
                <w:color w:val="000000" w:themeColor="text1"/>
                <w:szCs w:val="21"/>
              </w:rPr>
            </w:pPr>
          </w:p>
        </w:tc>
        <w:tc>
          <w:tcPr>
            <w:tcW w:w="999"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cs="Times New Roman" w:hAnsiTheme="minorEastAsia"/>
                <w:color w:val="000000" w:themeColor="text1"/>
                <w:szCs w:val="21"/>
              </w:rPr>
            </w:pPr>
            <w:r>
              <w:rPr>
                <w:rFonts w:ascii="Times New Roman" w:hAnsi="Times New Roman" w:eastAsia="宋体"/>
                <w:color w:val="000000" w:themeColor="text1"/>
                <w:szCs w:val="21"/>
              </w:rPr>
              <w:t>H</w:t>
            </w:r>
            <w:r>
              <w:rPr>
                <w:rFonts w:ascii="Times New Roman" w:hAnsi="Times New Roman" w:eastAsia="宋体"/>
                <w:color w:val="000000" w:themeColor="text1"/>
                <w:szCs w:val="21"/>
                <w:vertAlign w:val="subscript"/>
              </w:rPr>
              <w:t>2</w:t>
            </w:r>
            <w:r>
              <w:rPr>
                <w:rFonts w:ascii="Times New Roman" w:hAnsi="Times New Roman" w:eastAsia="宋体"/>
                <w:color w:val="000000" w:themeColor="text1"/>
                <w:szCs w:val="21"/>
              </w:rPr>
              <w:t>S</w:t>
            </w:r>
          </w:p>
        </w:tc>
        <w:tc>
          <w:tcPr>
            <w:tcW w:w="1161"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r>
              <w:rPr>
                <w:rFonts w:ascii="Times New Roman" w:cs="Times New Roman" w:hAnsiTheme="minorEastAsia"/>
                <w:color w:val="000000" w:themeColor="text1"/>
                <w:szCs w:val="21"/>
              </w:rPr>
              <w:t>小时平均浓度</w:t>
            </w:r>
          </w:p>
        </w:tc>
        <w:tc>
          <w:tcPr>
            <w:tcW w:w="136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eastAsia="宋体"/>
                <w:color w:val="000000" w:themeColor="text1"/>
                <w:szCs w:val="21"/>
              </w:rPr>
            </w:pPr>
            <w:r>
              <w:rPr>
                <w:rFonts w:ascii="Times New Roman" w:hAnsi="Times New Roman" w:eastAsia="宋体"/>
                <w:color w:val="000000" w:themeColor="text1"/>
                <w:szCs w:val="21"/>
              </w:rPr>
              <w:t>0.01</w:t>
            </w:r>
          </w:p>
        </w:tc>
        <w:tc>
          <w:tcPr>
            <w:tcW w:w="1364"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hint="eastAsia" w:ascii="Times New Roman" w:hAnsi="Times New Roman" w:eastAsia="宋体"/>
                <w:color w:val="000000" w:themeColor="text1"/>
                <w:szCs w:val="21"/>
              </w:rPr>
              <w:t>0.002</w:t>
            </w:r>
            <w:r>
              <w:rPr>
                <w:rFonts w:ascii="Times New Roman" w:hAnsi="Times New Roman" w:eastAsia="宋体"/>
                <w:color w:val="000000" w:themeColor="text1"/>
                <w:szCs w:val="21"/>
              </w:rPr>
              <w:t>~</w:t>
            </w:r>
            <w:r>
              <w:rPr>
                <w:rFonts w:hint="eastAsia" w:ascii="Times New Roman" w:hAnsi="Times New Roman" w:eastAsia="宋体"/>
                <w:color w:val="000000" w:themeColor="text1"/>
                <w:szCs w:val="21"/>
              </w:rPr>
              <w:t>0.004</w:t>
            </w:r>
          </w:p>
        </w:tc>
        <w:tc>
          <w:tcPr>
            <w:tcW w:w="1161"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0.040</w:t>
            </w:r>
          </w:p>
        </w:tc>
        <w:tc>
          <w:tcPr>
            <w:tcW w:w="864"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4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0</w:t>
            </w:r>
          </w:p>
        </w:tc>
        <w:tc>
          <w:tcPr>
            <w:tcW w:w="799" w:type="dxa"/>
            <w:tcBorders>
              <w:top w:val="single" w:color="auto" w:sz="4" w:space="0"/>
              <w:left w:val="single" w:color="auto" w:sz="4" w:space="0"/>
              <w:bottom w:val="single" w:color="auto" w:sz="4" w:space="0"/>
              <w:right w:val="single" w:color="auto" w:sz="4" w:space="0"/>
            </w:tcBorders>
            <w:vAlign w:val="center"/>
          </w:tcPr>
          <w:p>
            <w:pPr>
              <w:tabs>
                <w:tab w:val="left" w:pos="-1260"/>
              </w:tabs>
              <w:spacing w:line="34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达标</w:t>
            </w:r>
          </w:p>
        </w:tc>
      </w:tr>
    </w:tbl>
    <w:p>
      <w:pPr>
        <w:pStyle w:val="4"/>
        <w:spacing w:before="0" w:after="0" w:line="36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4.3.2地下水环境质量现状监测与评价</w:t>
      </w:r>
    </w:p>
    <w:p>
      <w:pPr>
        <w:pStyle w:val="5"/>
        <w:spacing w:before="0" w:after="0" w:line="36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4.3.2.1地下水环境质量现状监测</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（1）监测点布设</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本次地下水环境质量现状监测</w:t>
      </w:r>
      <w:r>
        <w:rPr>
          <w:rFonts w:ascii="Times New Roman" w:hAnsi="Times New Roman" w:cs="Times New Roman"/>
          <w:bCs/>
          <w:color w:val="000000" w:themeColor="text1"/>
          <w:sz w:val="24"/>
          <w:szCs w:val="24"/>
        </w:rPr>
        <w:t>选取3个点作为地下水监测点。分别位于</w:t>
      </w:r>
      <w:r>
        <w:rPr>
          <w:rFonts w:hint="eastAsia" w:ascii="Times New Roman" w:hAnsi="Times New Roman" w:cs="Times New Roman"/>
          <w:bCs/>
          <w:color w:val="000000" w:themeColor="text1"/>
          <w:sz w:val="24"/>
          <w:szCs w:val="24"/>
        </w:rPr>
        <w:t>项目西侧的文景苑小区、项目所在位置和项目东侧的中央司法警官学校</w:t>
      </w:r>
      <w:r>
        <w:rPr>
          <w:rFonts w:ascii="Times New Roman" w:hAnsi="Times New Roman" w:cs="Times New Roman"/>
          <w:bCs/>
          <w:color w:val="000000" w:themeColor="text1"/>
          <w:sz w:val="24"/>
          <w:szCs w:val="24"/>
        </w:rPr>
        <w:t>。</w:t>
      </w:r>
    </w:p>
    <w:p>
      <w:pPr>
        <w:spacing w:line="360" w:lineRule="auto"/>
        <w:ind w:firstLine="480" w:firstLineChars="200"/>
        <w:rPr>
          <w:rFonts w:ascii="Times New Roman" w:hAnsi="Times New Roman" w:cs="Times New Roman"/>
          <w:color w:val="000000" w:themeColor="text1"/>
          <w:sz w:val="24"/>
          <w:szCs w:val="24"/>
          <w:lang w:val="en-GB"/>
        </w:rPr>
      </w:pPr>
      <w:r>
        <w:rPr>
          <w:rFonts w:hint="eastAsia" w:ascii="Times New Roman" w:hAnsi="Times New Roman" w:cs="Times New Roman"/>
          <w:color w:val="000000" w:themeColor="text1"/>
          <w:sz w:val="24"/>
          <w:szCs w:val="24"/>
          <w:lang w:val="en-GB"/>
        </w:rPr>
        <w:t>（2）监测项目</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依据《地下水</w:t>
      </w:r>
      <w:r>
        <w:rPr>
          <w:rFonts w:hint="eastAsia" w:ascii="Times New Roman" w:hAnsi="Times New Roman" w:cs="Times New Roman"/>
          <w:color w:val="000000" w:themeColor="text1"/>
          <w:sz w:val="24"/>
          <w:szCs w:val="24"/>
        </w:rPr>
        <w:t>质量</w:t>
      </w:r>
      <w:r>
        <w:rPr>
          <w:rFonts w:ascii="Times New Roman" w:hAnsi="Times New Roman" w:cs="Times New Roman"/>
          <w:color w:val="000000" w:themeColor="text1"/>
          <w:sz w:val="24"/>
          <w:szCs w:val="24"/>
        </w:rPr>
        <w:t>标准》（GB/T 14848-</w:t>
      </w:r>
      <w:r>
        <w:rPr>
          <w:rFonts w:hint="eastAsia" w:ascii="Times New Roman" w:hAnsi="Times New Roman" w:cs="Times New Roman"/>
          <w:color w:val="000000" w:themeColor="text1"/>
          <w:sz w:val="24"/>
          <w:szCs w:val="24"/>
        </w:rPr>
        <w:t>2017</w:t>
      </w:r>
      <w:r>
        <w:rPr>
          <w:rFonts w:ascii="Times New Roman" w:hAnsi="Times New Roman" w:cs="Times New Roman"/>
          <w:color w:val="000000" w:themeColor="text1"/>
          <w:sz w:val="24"/>
          <w:szCs w:val="24"/>
        </w:rPr>
        <w:t>）中地下水水质监测要求，结合拟建工程特征</w:t>
      </w:r>
      <w:r>
        <w:rPr>
          <w:rFonts w:ascii="Times New Roman" w:hAnsi="Times New Roman" w:cs="Times New Roman"/>
          <w:bCs/>
          <w:color w:val="000000" w:themeColor="text1"/>
          <w:sz w:val="24"/>
          <w:szCs w:val="24"/>
        </w:rPr>
        <w:t>，地下水环境质量现状监测因子如下：</w:t>
      </w:r>
      <w:r>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vertAlign w:val="superscript"/>
        </w:rPr>
        <w:t>+</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Na</w:t>
      </w:r>
      <w:r>
        <w:rPr>
          <w:rFonts w:ascii="Times New Roman" w:hAnsi="Times New Roman" w:cs="Times New Roman"/>
          <w:color w:val="000000" w:themeColor="text1"/>
          <w:sz w:val="24"/>
          <w:szCs w:val="24"/>
          <w:vertAlign w:val="superscript"/>
        </w:rPr>
        <w:t>+</w:t>
      </w:r>
      <w:r>
        <w:rPr>
          <w:rFonts w:ascii="Times New Roman" w:hAnsi="Times New Roman" w:cs="Times New Roman"/>
          <w:color w:val="000000" w:themeColor="text1"/>
          <w:sz w:val="24"/>
          <w:szCs w:val="24"/>
        </w:rPr>
        <w:t>、Ca</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、Mg</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、CO</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、HCO</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vertAlign w:val="superscript"/>
        </w:rPr>
        <w:t>-</w:t>
      </w:r>
      <w:r>
        <w:rPr>
          <w:rFonts w:ascii="Times New Roman" w:hAnsi="Times New Roman" w:cs="Times New Roman"/>
          <w:color w:val="000000" w:themeColor="text1"/>
          <w:sz w:val="24"/>
          <w:szCs w:val="24"/>
        </w:rPr>
        <w:t>、Cl</w:t>
      </w:r>
      <w:r>
        <w:rPr>
          <w:rFonts w:ascii="Times New Roman" w:hAnsi="Times New Roman" w:cs="Times New Roman"/>
          <w:color w:val="000000" w:themeColor="text1"/>
          <w:sz w:val="24"/>
          <w:szCs w:val="24"/>
          <w:vertAlign w:val="superscript"/>
        </w:rPr>
        <w:t>-</w:t>
      </w:r>
      <w:r>
        <w:rPr>
          <w:rFonts w:ascii="Times New Roman" w:hAnsi="Times New Roman" w:cs="Times New Roman"/>
          <w:color w:val="000000" w:themeColor="text1"/>
          <w:sz w:val="24"/>
          <w:szCs w:val="24"/>
        </w:rPr>
        <w:t>、SO</w:t>
      </w:r>
      <w:r>
        <w:rPr>
          <w:rFonts w:ascii="Times New Roman" w:hAnsi="Times New Roman" w:cs="Times New Roman"/>
          <w:color w:val="000000" w:themeColor="text1"/>
          <w:sz w:val="24"/>
          <w:szCs w:val="24"/>
          <w:vertAlign w:val="subscript"/>
        </w:rPr>
        <w:t>4</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、pH、氨氮、</w:t>
      </w:r>
      <w:r>
        <w:rPr>
          <w:rFonts w:hint="eastAsia" w:ascii="Times New Roman" w:hAnsi="Times New Roman" w:cs="Times New Roman"/>
          <w:color w:val="000000" w:themeColor="text1"/>
          <w:sz w:val="24"/>
          <w:szCs w:val="24"/>
        </w:rPr>
        <w:t>硫化物、</w:t>
      </w:r>
      <w:r>
        <w:rPr>
          <w:rFonts w:ascii="Times New Roman" w:hAnsi="Times New Roman" w:cs="Times New Roman"/>
          <w:color w:val="000000" w:themeColor="text1"/>
          <w:sz w:val="24"/>
          <w:szCs w:val="24"/>
        </w:rPr>
        <w:t>硝酸盐、亚硝酸盐、挥发性酚类、氰化物、砷、汞、铬（六价）、总硬度、铅、氟</w:t>
      </w:r>
      <w:r>
        <w:rPr>
          <w:rFonts w:hint="eastAsia" w:ascii="Times New Roman" w:hAnsi="Times New Roman" w:cs="Times New Roman"/>
          <w:color w:val="000000" w:themeColor="text1"/>
          <w:sz w:val="24"/>
          <w:szCs w:val="24"/>
        </w:rPr>
        <w:t>化物</w:t>
      </w:r>
      <w:r>
        <w:rPr>
          <w:rFonts w:ascii="Times New Roman" w:hAnsi="Times New Roman" w:cs="Times New Roman"/>
          <w:color w:val="000000" w:themeColor="text1"/>
          <w:sz w:val="24"/>
          <w:szCs w:val="24"/>
        </w:rPr>
        <w:t>、</w:t>
      </w:r>
      <w:r>
        <w:rPr>
          <w:rFonts w:hint="eastAsia" w:ascii="Times New Roman" w:hAnsi="Times New Roman" w:cs="Times New Roman"/>
          <w:color w:val="000000" w:themeColor="text1"/>
          <w:sz w:val="24"/>
          <w:szCs w:val="24"/>
        </w:rPr>
        <w:t>碘化物、</w:t>
      </w:r>
      <w:r>
        <w:rPr>
          <w:rFonts w:ascii="Times New Roman" w:hAnsi="Times New Roman" w:cs="Times New Roman"/>
          <w:color w:val="000000" w:themeColor="text1"/>
          <w:sz w:val="24"/>
          <w:szCs w:val="24"/>
        </w:rPr>
        <w:t>镉、铁、锰、</w:t>
      </w:r>
      <w:r>
        <w:rPr>
          <w:rFonts w:hint="eastAsia" w:ascii="Times New Roman" w:hAnsi="Times New Roman" w:cs="Times New Roman"/>
          <w:color w:val="000000" w:themeColor="text1"/>
          <w:sz w:val="24"/>
          <w:szCs w:val="24"/>
        </w:rPr>
        <w:t>锌、钼、铜、硒、阴离子表面活性剂、</w:t>
      </w:r>
      <w:r>
        <w:rPr>
          <w:rFonts w:ascii="Times New Roman" w:hAnsi="Times New Roman" w:cs="Times New Roman"/>
          <w:color w:val="000000" w:themeColor="text1"/>
          <w:sz w:val="24"/>
          <w:szCs w:val="24"/>
        </w:rPr>
        <w:t>溶解性总固体、</w:t>
      </w:r>
      <w:r>
        <w:rPr>
          <w:rFonts w:hint="eastAsia" w:ascii="Times New Roman" w:hAnsi="Times New Roman" w:cs="Times New Roman"/>
          <w:color w:val="000000" w:themeColor="text1"/>
          <w:sz w:val="24"/>
          <w:szCs w:val="24"/>
        </w:rPr>
        <w:t>耗氧量</w:t>
      </w:r>
      <w:r>
        <w:rPr>
          <w:rFonts w:ascii="Times New Roman" w:hAnsi="Times New Roman" w:cs="Times New Roman"/>
          <w:color w:val="000000" w:themeColor="text1"/>
          <w:sz w:val="24"/>
          <w:szCs w:val="24"/>
        </w:rPr>
        <w:t>、总大肠菌群、</w:t>
      </w:r>
      <w:r>
        <w:rPr>
          <w:rFonts w:hint="eastAsia" w:ascii="Times New Roman" w:hAnsi="Times New Roman" w:cs="Times New Roman"/>
          <w:color w:val="000000" w:themeColor="text1"/>
          <w:sz w:val="24"/>
          <w:szCs w:val="24"/>
        </w:rPr>
        <w:t>菌落</w:t>
      </w:r>
      <w:r>
        <w:rPr>
          <w:rFonts w:ascii="Times New Roman" w:hAnsi="Times New Roman" w:cs="Times New Roman"/>
          <w:color w:val="000000" w:themeColor="text1"/>
          <w:sz w:val="24"/>
          <w:szCs w:val="24"/>
        </w:rPr>
        <w:t>总数等共</w:t>
      </w:r>
      <w:r>
        <w:rPr>
          <w:rFonts w:hint="eastAsia" w:ascii="Times New Roman" w:hAnsi="Times New Roman" w:cs="Times New Roman"/>
          <w:color w:val="000000" w:themeColor="text1"/>
          <w:sz w:val="24"/>
          <w:szCs w:val="24"/>
        </w:rPr>
        <w:t>34</w:t>
      </w:r>
      <w:r>
        <w:rPr>
          <w:rFonts w:ascii="Times New Roman" w:hAnsi="Times New Roman" w:cs="Times New Roman"/>
          <w:color w:val="000000" w:themeColor="text1"/>
          <w:sz w:val="24"/>
          <w:szCs w:val="24"/>
        </w:rPr>
        <w:t>项，同时记录水位、井深。</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（3）采样、分析方法</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样品的采集、保存、分析与质量控制均按《环境监测技术规范》进行。各监测项目分析方法等详见表4-</w:t>
      </w:r>
      <w:r>
        <w:rPr>
          <w:rFonts w:hint="eastAsia"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w:t>
      </w:r>
    </w:p>
    <w:p>
      <w:pPr>
        <w:spacing w:line="360" w:lineRule="auto"/>
        <w:ind w:firstLine="482" w:firstLineChars="200"/>
        <w:jc w:val="center"/>
        <w:rPr>
          <w:rFonts w:ascii="Times New Roman" w:hAnsi="Times New Roman" w:cs="Times New Roman"/>
          <w:b/>
          <w:color w:val="000000" w:themeColor="text1"/>
          <w:sz w:val="24"/>
          <w:szCs w:val="24"/>
        </w:rPr>
      </w:pPr>
    </w:p>
    <w:p>
      <w:pPr>
        <w:spacing w:line="360" w:lineRule="auto"/>
        <w:ind w:firstLine="482" w:firstLineChars="200"/>
        <w:jc w:val="center"/>
        <w:rPr>
          <w:rFonts w:ascii="Times New Roman" w:hAnsi="Times New Roman" w:cs="Times New Roman"/>
          <w:b/>
          <w:color w:val="000000" w:themeColor="text1"/>
          <w:sz w:val="24"/>
          <w:szCs w:val="24"/>
        </w:rPr>
      </w:pPr>
    </w:p>
    <w:p>
      <w:pPr>
        <w:spacing w:line="360" w:lineRule="auto"/>
        <w:ind w:firstLine="482" w:firstLineChars="200"/>
        <w:jc w:val="center"/>
        <w:rPr>
          <w:rFonts w:ascii="Times New Roman" w:hAnsi="Times New Roman" w:cs="Times New Roman"/>
          <w:b/>
          <w:color w:val="000000" w:themeColor="text1"/>
          <w:sz w:val="24"/>
          <w:szCs w:val="24"/>
        </w:rPr>
      </w:pPr>
    </w:p>
    <w:p>
      <w:pPr>
        <w:spacing w:line="360" w:lineRule="auto"/>
        <w:ind w:firstLine="482" w:firstLineChars="200"/>
        <w:jc w:val="center"/>
        <w:rPr>
          <w:rFonts w:ascii="Times New Roman" w:hAnsi="Times New Roman" w:cs="Times New Roman"/>
          <w:b/>
          <w:color w:val="000000" w:themeColor="text1"/>
          <w:sz w:val="24"/>
          <w:szCs w:val="24"/>
        </w:rPr>
      </w:pPr>
    </w:p>
    <w:p>
      <w:pPr>
        <w:spacing w:line="360" w:lineRule="auto"/>
        <w:ind w:firstLine="482" w:firstLineChars="200"/>
        <w:jc w:val="center"/>
        <w:rPr>
          <w:rFonts w:ascii="Times New Roman" w:hAnsi="Times New Roman" w:cs="Times New Roman"/>
          <w:b/>
          <w:color w:val="000000" w:themeColor="text1"/>
          <w:sz w:val="24"/>
          <w:szCs w:val="24"/>
        </w:rPr>
      </w:pPr>
    </w:p>
    <w:p>
      <w:pPr>
        <w:spacing w:line="360" w:lineRule="auto"/>
        <w:ind w:firstLine="482" w:firstLineChars="200"/>
        <w:jc w:val="center"/>
        <w:rPr>
          <w:rFonts w:ascii="Times New Roman" w:hAnsi="Times New Roman" w:cs="Times New Roman"/>
          <w:b/>
          <w:color w:val="000000" w:themeColor="text1"/>
          <w:sz w:val="24"/>
          <w:szCs w:val="24"/>
        </w:rPr>
      </w:pPr>
    </w:p>
    <w:p>
      <w:pPr>
        <w:spacing w:line="360" w:lineRule="auto"/>
        <w:ind w:firstLine="482" w:firstLineChars="20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表4-</w:t>
      </w:r>
      <w:r>
        <w:rPr>
          <w:rFonts w:hint="eastAsia" w:ascii="Times New Roman" w:hAnsi="Times New Roman" w:cs="Times New Roman"/>
          <w:b/>
          <w:color w:val="000000" w:themeColor="text1"/>
          <w:sz w:val="24"/>
          <w:szCs w:val="24"/>
        </w:rPr>
        <w:t xml:space="preserve">6     </w:t>
      </w:r>
      <w:r>
        <w:rPr>
          <w:rFonts w:ascii="Times New Roman" w:hAnsi="Times New Roman" w:cs="Times New Roman"/>
          <w:b/>
          <w:color w:val="000000" w:themeColor="text1"/>
          <w:sz w:val="24"/>
          <w:szCs w:val="24"/>
        </w:rPr>
        <w:t>地下水监测项目、方法依据及仪器型号</w:t>
      </w:r>
    </w:p>
    <w:tbl>
      <w:tblPr>
        <w:tblStyle w:val="27"/>
        <w:tblW w:w="8522"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05"/>
        <w:gridCol w:w="1416"/>
        <w:gridCol w:w="2833"/>
        <w:gridCol w:w="2125"/>
        <w:gridCol w:w="10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85" w:hRule="atLeast"/>
          <w:jc w:val="center"/>
        </w:trPr>
        <w:tc>
          <w:tcPr>
            <w:tcW w:w="1105" w:type="dxa"/>
            <w:tcBorders>
              <w:top w:val="single" w:color="auto" w:sz="4" w:space="0"/>
              <w:left w:val="single" w:color="auto" w:sz="4" w:space="0"/>
              <w:bottom w:val="single" w:color="auto" w:sz="4" w:space="0"/>
              <w:right w:val="single" w:color="auto" w:sz="4" w:space="0"/>
            </w:tcBorders>
            <w:vAlign w:val="center"/>
          </w:tcPr>
          <w:p>
            <w:pPr>
              <w:spacing w:beforeLines="25" w:afterLines="25"/>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检</w:t>
            </w:r>
            <w:r>
              <w:rPr>
                <w:rFonts w:hint="eastAsia" w:ascii="Times New Roman" w:hAnsi="Times New Roman" w:eastAsia="宋体" w:cs="Times New Roman"/>
                <w:color w:val="000000"/>
                <w:szCs w:val="21"/>
              </w:rPr>
              <w:t>测项目</w:t>
            </w:r>
          </w:p>
        </w:tc>
        <w:tc>
          <w:tcPr>
            <w:tcW w:w="141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分析方法</w:t>
            </w:r>
          </w:p>
        </w:tc>
        <w:tc>
          <w:tcPr>
            <w:tcW w:w="283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方法来源</w:t>
            </w:r>
          </w:p>
        </w:tc>
        <w:tc>
          <w:tcPr>
            <w:tcW w:w="2125" w:type="dxa"/>
            <w:tcBorders>
              <w:top w:val="single" w:color="auto" w:sz="4" w:space="0"/>
              <w:left w:val="single" w:color="auto" w:sz="4" w:space="0"/>
              <w:bottom w:val="single" w:color="auto" w:sz="4" w:space="0"/>
              <w:right w:val="single" w:color="auto" w:sz="4" w:space="0"/>
            </w:tcBorders>
            <w:vAlign w:val="center"/>
          </w:tcPr>
          <w:p>
            <w:pPr>
              <w:spacing w:beforeLines="25" w:afterLines="25"/>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仪器设备</w:t>
            </w:r>
          </w:p>
        </w:tc>
        <w:tc>
          <w:tcPr>
            <w:tcW w:w="1043" w:type="dxa"/>
            <w:tcBorders>
              <w:top w:val="single" w:color="auto" w:sz="4" w:space="0"/>
              <w:left w:val="single" w:color="auto" w:sz="4" w:space="0"/>
              <w:bottom w:val="single" w:color="auto" w:sz="4" w:space="0"/>
              <w:right w:val="single" w:color="auto" w:sz="4" w:space="0"/>
            </w:tcBorders>
            <w:vAlign w:val="center"/>
          </w:tcPr>
          <w:p>
            <w:pPr>
              <w:spacing w:beforeLines="25" w:afterLines="25"/>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检出限</w:t>
            </w:r>
            <w:r>
              <w:rPr>
                <w:rFonts w:hint="eastAsia" w:ascii="Times New Roman" w:hAnsi="Times New Roman" w:eastAsia="宋体" w:cs="Times New Roman"/>
                <w:color w:val="000000"/>
                <w:sz w:val="20"/>
                <w:szCs w:val="21"/>
              </w:rPr>
              <w:t>（mg/L）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64" w:hRule="atLeast"/>
          <w:jc w:val="center"/>
        </w:trPr>
        <w:tc>
          <w:tcPr>
            <w:tcW w:w="1105" w:type="dxa"/>
            <w:tcBorders>
              <w:top w:val="single" w:color="auto" w:sz="4" w:space="0"/>
              <w:left w:val="single" w:color="000000" w:sz="6"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钾（</w:t>
            </w:r>
            <w:r>
              <w:rPr>
                <w:rFonts w:ascii="Times New Roman" w:hAnsi="Times New Roman" w:eastAsia="宋体" w:cs="Times New Roman"/>
                <w:szCs w:val="21"/>
              </w:rPr>
              <w:t>K</w:t>
            </w:r>
            <w:r>
              <w:rPr>
                <w:rFonts w:hint="eastAsia" w:ascii="Times New Roman" w:hAnsi="Times New Roman" w:eastAsia="宋体" w:cs="Times New Roman"/>
                <w:szCs w:val="21"/>
              </w:rPr>
              <w:t>）</w:t>
            </w:r>
          </w:p>
        </w:tc>
        <w:tc>
          <w:tcPr>
            <w:tcW w:w="1416" w:type="dxa"/>
            <w:tcBorders>
              <w:top w:val="dashed"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电感耦合等离子</w:t>
            </w:r>
            <w:r>
              <w:rPr>
                <w:rFonts w:hint="eastAsia" w:ascii="Times New Roman" w:hAnsi="Times New Roman" w:eastAsia="宋体" w:cs="Times New Roman"/>
                <w:szCs w:val="21"/>
              </w:rPr>
              <w:t>体</w:t>
            </w:r>
            <w:r>
              <w:rPr>
                <w:rFonts w:ascii="Times New Roman" w:hAnsi="Times New Roman" w:eastAsia="宋体" w:cs="Times New Roman"/>
                <w:szCs w:val="21"/>
              </w:rPr>
              <w:t>发射光谱法</w:t>
            </w:r>
          </w:p>
        </w:tc>
        <w:tc>
          <w:tcPr>
            <w:tcW w:w="2833" w:type="dxa"/>
            <w:tcBorders>
              <w:top w:val="dashed"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color w:val="000000"/>
                <w:szCs w:val="21"/>
              </w:rPr>
              <w:t>生活饮用水标准检验方法 金属指标</w:t>
            </w:r>
            <w:r>
              <w:rPr>
                <w:rFonts w:ascii="Times New Roman" w:hAnsi="Times New Roman" w:eastAsia="宋体" w:cs="Times New Roman"/>
                <w:szCs w:val="21"/>
              </w:rPr>
              <w:t>GB/T 5750.</w:t>
            </w:r>
            <w:r>
              <w:rPr>
                <w:rFonts w:hint="eastAsia" w:ascii="Times New Roman" w:hAnsi="Times New Roman" w:eastAsia="宋体" w:cs="Times New Roman"/>
                <w:szCs w:val="21"/>
              </w:rPr>
              <w:t>6</w:t>
            </w:r>
            <w:r>
              <w:rPr>
                <w:rFonts w:ascii="Times New Roman" w:hAnsi="Times New Roman" w:eastAsia="宋体" w:cs="Times New Roman"/>
                <w:szCs w:val="21"/>
              </w:rPr>
              <w:t>-2006 1.4</w:t>
            </w:r>
          </w:p>
        </w:tc>
        <w:tc>
          <w:tcPr>
            <w:tcW w:w="2125" w:type="dxa"/>
            <w:tcBorders>
              <w:top w:val="dashed"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电感耦合等离子体发射光谱仪（ICP-OES 5110、IE-0170）</w:t>
            </w:r>
          </w:p>
        </w:tc>
        <w:tc>
          <w:tcPr>
            <w:tcW w:w="1043" w:type="dxa"/>
            <w:tcBorders>
              <w:top w:val="dashed"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0" w:hRule="atLeast"/>
          <w:jc w:val="center"/>
        </w:trPr>
        <w:tc>
          <w:tcPr>
            <w:tcW w:w="1105" w:type="dxa"/>
            <w:tcBorders>
              <w:top w:val="single" w:color="auto" w:sz="4" w:space="0"/>
              <w:left w:val="single" w:color="000000" w:sz="6"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钠（</w:t>
            </w:r>
            <w:r>
              <w:rPr>
                <w:rFonts w:ascii="Times New Roman" w:hAnsi="Times New Roman" w:eastAsia="宋体" w:cs="Times New Roman"/>
                <w:szCs w:val="21"/>
              </w:rPr>
              <w:t>Na</w:t>
            </w:r>
            <w:r>
              <w:rPr>
                <w:rFonts w:hint="eastAsia" w:ascii="Times New Roman" w:hAnsi="Times New Roman" w:eastAsia="宋体" w:cs="Times New Roman"/>
                <w:szCs w:val="21"/>
              </w:rPr>
              <w:t>）</w:t>
            </w:r>
          </w:p>
        </w:tc>
        <w:tc>
          <w:tcPr>
            <w:tcW w:w="1416" w:type="dxa"/>
            <w:tcBorders>
              <w:top w:val="dashed"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电感耦合等离子</w:t>
            </w:r>
            <w:r>
              <w:rPr>
                <w:rFonts w:hint="eastAsia" w:ascii="Times New Roman" w:hAnsi="Times New Roman" w:eastAsia="宋体" w:cs="Times New Roman"/>
                <w:szCs w:val="21"/>
              </w:rPr>
              <w:t>体</w:t>
            </w:r>
            <w:r>
              <w:rPr>
                <w:rFonts w:ascii="Times New Roman" w:hAnsi="Times New Roman" w:eastAsia="宋体" w:cs="Times New Roman"/>
                <w:szCs w:val="21"/>
              </w:rPr>
              <w:t>发射光谱法</w:t>
            </w:r>
          </w:p>
        </w:tc>
        <w:tc>
          <w:tcPr>
            <w:tcW w:w="2833" w:type="dxa"/>
            <w:tcBorders>
              <w:top w:val="dashed"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color w:val="000000"/>
                <w:szCs w:val="21"/>
              </w:rPr>
              <w:t>生活饮用水标准检验方法 金属指标</w:t>
            </w:r>
            <w:r>
              <w:rPr>
                <w:rFonts w:ascii="Times New Roman" w:hAnsi="Times New Roman" w:eastAsia="宋体" w:cs="Times New Roman"/>
                <w:szCs w:val="21"/>
              </w:rPr>
              <w:t>GB/T 5750.</w:t>
            </w:r>
            <w:r>
              <w:rPr>
                <w:rFonts w:hint="eastAsia" w:ascii="Times New Roman" w:hAnsi="Times New Roman" w:eastAsia="宋体" w:cs="Times New Roman"/>
                <w:szCs w:val="21"/>
              </w:rPr>
              <w:t>6</w:t>
            </w:r>
            <w:r>
              <w:rPr>
                <w:rFonts w:ascii="Times New Roman" w:hAnsi="Times New Roman" w:eastAsia="宋体" w:cs="Times New Roman"/>
                <w:szCs w:val="21"/>
              </w:rPr>
              <w:t xml:space="preserve">-2006 </w:t>
            </w:r>
            <w:r>
              <w:rPr>
                <w:rFonts w:hint="eastAsia" w:ascii="Times New Roman" w:hAnsi="Times New Roman" w:eastAsia="宋体" w:cs="Times New Roman"/>
                <w:szCs w:val="21"/>
              </w:rPr>
              <w:t>22.3</w:t>
            </w:r>
          </w:p>
        </w:tc>
        <w:tc>
          <w:tcPr>
            <w:tcW w:w="2125" w:type="dxa"/>
            <w:tcBorders>
              <w:top w:val="dashed"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电感耦合等离子体发射光谱仪（ICP-OES 5110、IE-0170）</w:t>
            </w:r>
          </w:p>
        </w:tc>
        <w:tc>
          <w:tcPr>
            <w:tcW w:w="1043" w:type="dxa"/>
            <w:tcBorders>
              <w:top w:val="dashed"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0" w:hRule="atLeast"/>
          <w:jc w:val="center"/>
        </w:trPr>
        <w:tc>
          <w:tcPr>
            <w:tcW w:w="1105" w:type="dxa"/>
            <w:tcBorders>
              <w:top w:val="single" w:color="auto" w:sz="4" w:space="0"/>
              <w:left w:val="single" w:color="000000" w:sz="6"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钙（</w:t>
            </w:r>
            <w:r>
              <w:rPr>
                <w:rFonts w:ascii="Times New Roman" w:hAnsi="Times New Roman" w:eastAsia="宋体" w:cs="Times New Roman"/>
                <w:szCs w:val="21"/>
              </w:rPr>
              <w:t>Ca</w:t>
            </w:r>
            <w:r>
              <w:rPr>
                <w:rFonts w:hint="eastAsia" w:ascii="Times New Roman" w:hAnsi="Times New Roman" w:eastAsia="宋体" w:cs="Times New Roman"/>
                <w:szCs w:val="21"/>
              </w:rPr>
              <w:t>）</w:t>
            </w:r>
          </w:p>
        </w:tc>
        <w:tc>
          <w:tcPr>
            <w:tcW w:w="1416" w:type="dxa"/>
            <w:tcBorders>
              <w:top w:val="dashed"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电感耦合等离子</w:t>
            </w:r>
            <w:r>
              <w:rPr>
                <w:rFonts w:hint="eastAsia" w:ascii="Times New Roman" w:hAnsi="Times New Roman" w:eastAsia="宋体" w:cs="Times New Roman"/>
                <w:szCs w:val="21"/>
              </w:rPr>
              <w:t>体</w:t>
            </w:r>
            <w:r>
              <w:rPr>
                <w:rFonts w:ascii="Times New Roman" w:hAnsi="Times New Roman" w:eastAsia="宋体" w:cs="Times New Roman"/>
                <w:szCs w:val="21"/>
              </w:rPr>
              <w:t>发射光谱法</w:t>
            </w:r>
          </w:p>
        </w:tc>
        <w:tc>
          <w:tcPr>
            <w:tcW w:w="2833" w:type="dxa"/>
            <w:tcBorders>
              <w:top w:val="dashed"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color w:val="000000"/>
                <w:szCs w:val="21"/>
              </w:rPr>
              <w:t>生活饮用水标准检验方法 金属指标</w:t>
            </w:r>
            <w:r>
              <w:rPr>
                <w:rFonts w:ascii="Times New Roman" w:hAnsi="Times New Roman" w:eastAsia="宋体" w:cs="Times New Roman"/>
                <w:szCs w:val="21"/>
              </w:rPr>
              <w:t>GB/T 5750.</w:t>
            </w:r>
            <w:r>
              <w:rPr>
                <w:rFonts w:hint="eastAsia" w:ascii="Times New Roman" w:hAnsi="Times New Roman" w:eastAsia="宋体" w:cs="Times New Roman"/>
                <w:szCs w:val="21"/>
              </w:rPr>
              <w:t>6</w:t>
            </w:r>
            <w:r>
              <w:rPr>
                <w:rFonts w:ascii="Times New Roman" w:hAnsi="Times New Roman" w:eastAsia="宋体" w:cs="Times New Roman"/>
                <w:szCs w:val="21"/>
              </w:rPr>
              <w:t>-2006 1.4</w:t>
            </w:r>
          </w:p>
        </w:tc>
        <w:tc>
          <w:tcPr>
            <w:tcW w:w="2125" w:type="dxa"/>
            <w:tcBorders>
              <w:top w:val="dashed"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电感耦合等离子体发射光谱仪（ICP-OES 5110、IE-0170）</w:t>
            </w:r>
          </w:p>
        </w:tc>
        <w:tc>
          <w:tcPr>
            <w:tcW w:w="1043" w:type="dxa"/>
            <w:tcBorders>
              <w:top w:val="dashed"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0.011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0" w:hRule="atLeast"/>
          <w:jc w:val="center"/>
        </w:trPr>
        <w:tc>
          <w:tcPr>
            <w:tcW w:w="1105" w:type="dxa"/>
            <w:tcBorders>
              <w:top w:val="single" w:color="auto" w:sz="4" w:space="0"/>
              <w:left w:val="single" w:color="000000" w:sz="6"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镁（</w:t>
            </w:r>
            <w:r>
              <w:rPr>
                <w:rFonts w:ascii="Times New Roman" w:hAnsi="Times New Roman" w:eastAsia="宋体" w:cs="Times New Roman"/>
                <w:szCs w:val="21"/>
              </w:rPr>
              <w:t>Mg</w:t>
            </w:r>
            <w:r>
              <w:rPr>
                <w:rFonts w:hint="eastAsia" w:ascii="Times New Roman" w:hAnsi="Times New Roman" w:eastAsia="宋体" w:cs="Times New Roman"/>
                <w:szCs w:val="21"/>
              </w:rPr>
              <w:t>）</w:t>
            </w:r>
          </w:p>
        </w:tc>
        <w:tc>
          <w:tcPr>
            <w:tcW w:w="1416" w:type="dxa"/>
            <w:tcBorders>
              <w:top w:val="dashed"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电感耦合等离子</w:t>
            </w:r>
            <w:r>
              <w:rPr>
                <w:rFonts w:hint="eastAsia" w:ascii="Times New Roman" w:hAnsi="Times New Roman" w:eastAsia="宋体" w:cs="Times New Roman"/>
                <w:szCs w:val="21"/>
              </w:rPr>
              <w:t>体</w:t>
            </w:r>
            <w:r>
              <w:rPr>
                <w:rFonts w:ascii="Times New Roman" w:hAnsi="Times New Roman" w:eastAsia="宋体" w:cs="Times New Roman"/>
                <w:szCs w:val="21"/>
              </w:rPr>
              <w:t>发射光谱法</w:t>
            </w:r>
          </w:p>
        </w:tc>
        <w:tc>
          <w:tcPr>
            <w:tcW w:w="2833" w:type="dxa"/>
            <w:tcBorders>
              <w:top w:val="dashed"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color w:val="000000"/>
                <w:szCs w:val="21"/>
              </w:rPr>
              <w:t>生活饮用水标准检验方法 金属指标</w:t>
            </w:r>
            <w:r>
              <w:rPr>
                <w:rFonts w:ascii="Times New Roman" w:hAnsi="Times New Roman" w:eastAsia="宋体" w:cs="Times New Roman"/>
                <w:szCs w:val="21"/>
              </w:rPr>
              <w:t>GB/T 5750.</w:t>
            </w:r>
            <w:r>
              <w:rPr>
                <w:rFonts w:hint="eastAsia" w:ascii="Times New Roman" w:hAnsi="Times New Roman" w:eastAsia="宋体" w:cs="Times New Roman"/>
                <w:szCs w:val="21"/>
              </w:rPr>
              <w:t>6</w:t>
            </w:r>
            <w:r>
              <w:rPr>
                <w:rFonts w:ascii="Times New Roman" w:hAnsi="Times New Roman" w:eastAsia="宋体" w:cs="Times New Roman"/>
                <w:szCs w:val="21"/>
              </w:rPr>
              <w:t>-2006 1.4</w:t>
            </w:r>
          </w:p>
        </w:tc>
        <w:tc>
          <w:tcPr>
            <w:tcW w:w="2125" w:type="dxa"/>
            <w:tcBorders>
              <w:top w:val="dashed"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电感耦合等离子体发射光谱仪（ICP-OES 5110、IE-0170）</w:t>
            </w:r>
          </w:p>
        </w:tc>
        <w:tc>
          <w:tcPr>
            <w:tcW w:w="1043" w:type="dxa"/>
            <w:tcBorders>
              <w:top w:val="dashed"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0.013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0" w:hRule="atLeast"/>
          <w:jc w:val="center"/>
        </w:trPr>
        <w:tc>
          <w:tcPr>
            <w:tcW w:w="1105" w:type="dxa"/>
            <w:tcBorders>
              <w:top w:val="single" w:color="auto" w:sz="4" w:space="0"/>
              <w:left w:val="single" w:color="000000" w:sz="6"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碳酸盐（</w:t>
            </w:r>
            <w:r>
              <w:rPr>
                <w:rFonts w:ascii="Times New Roman" w:hAnsi="Times New Roman" w:eastAsia="宋体" w:cs="Times New Roman"/>
                <w:szCs w:val="21"/>
              </w:rPr>
              <w:t>CO</w:t>
            </w:r>
            <w:r>
              <w:rPr>
                <w:rFonts w:ascii="Times New Roman" w:hAnsi="Times New Roman" w:eastAsia="宋体" w:cs="Times New Roman"/>
                <w:szCs w:val="21"/>
                <w:vertAlign w:val="subscript"/>
              </w:rPr>
              <w:t>3</w:t>
            </w:r>
            <w:r>
              <w:rPr>
                <w:rFonts w:ascii="Times New Roman" w:hAnsi="Times New Roman" w:eastAsia="宋体" w:cs="Times New Roman"/>
                <w:szCs w:val="21"/>
                <w:vertAlign w:val="superscript"/>
              </w:rPr>
              <w:t>2-</w:t>
            </w:r>
            <w:r>
              <w:rPr>
                <w:rFonts w:hint="eastAsia" w:ascii="Times New Roman" w:hAnsi="Times New Roman" w:eastAsia="宋体" w:cs="Times New Roman"/>
                <w:szCs w:val="21"/>
              </w:rPr>
              <w:t>）</w:t>
            </w:r>
          </w:p>
        </w:tc>
        <w:tc>
          <w:tcPr>
            <w:tcW w:w="1416" w:type="dxa"/>
            <w:tcBorders>
              <w:top w:val="dashed"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滴定法</w:t>
            </w:r>
          </w:p>
        </w:tc>
        <w:tc>
          <w:tcPr>
            <w:tcW w:w="2833" w:type="dxa"/>
            <w:tcBorders>
              <w:top w:val="dashed"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地下水质检验方法 滴定法测定碳酸根、重碳酸根、氢氧根</w:t>
            </w:r>
          </w:p>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DZ/T 0064.49-1993</w:t>
            </w:r>
          </w:p>
        </w:tc>
        <w:tc>
          <w:tcPr>
            <w:tcW w:w="2125" w:type="dxa"/>
            <w:tcBorders>
              <w:top w:val="dashed"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滴定管（SB</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-1）</w:t>
            </w:r>
          </w:p>
        </w:tc>
        <w:tc>
          <w:tcPr>
            <w:tcW w:w="1043" w:type="dxa"/>
            <w:tcBorders>
              <w:top w:val="dashed"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0" w:hRule="atLeast"/>
          <w:jc w:val="center"/>
        </w:trPr>
        <w:tc>
          <w:tcPr>
            <w:tcW w:w="1105" w:type="dxa"/>
            <w:tcBorders>
              <w:top w:val="single" w:color="auto" w:sz="4" w:space="0"/>
              <w:left w:val="single" w:color="000000" w:sz="6"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重碳酸盐（</w:t>
            </w:r>
            <w:r>
              <w:rPr>
                <w:rFonts w:ascii="Times New Roman" w:hAnsi="Times New Roman" w:eastAsia="宋体" w:cs="Times New Roman"/>
                <w:szCs w:val="21"/>
              </w:rPr>
              <w:t>HCO</w:t>
            </w:r>
            <w:r>
              <w:rPr>
                <w:rFonts w:ascii="Times New Roman" w:hAnsi="Times New Roman" w:eastAsia="宋体" w:cs="Times New Roman"/>
                <w:szCs w:val="21"/>
                <w:vertAlign w:val="subscript"/>
              </w:rPr>
              <w:t>3</w:t>
            </w:r>
            <w:r>
              <w:rPr>
                <w:rFonts w:ascii="Times New Roman" w:hAnsi="Times New Roman" w:eastAsia="宋体" w:cs="Times New Roman"/>
                <w:szCs w:val="21"/>
                <w:vertAlign w:val="superscript"/>
              </w:rPr>
              <w:t>-</w:t>
            </w:r>
            <w:r>
              <w:rPr>
                <w:rFonts w:hint="eastAsia" w:ascii="Times New Roman" w:hAnsi="Times New Roman" w:eastAsia="宋体" w:cs="Times New Roman"/>
                <w:szCs w:val="21"/>
              </w:rPr>
              <w:t>）</w:t>
            </w:r>
          </w:p>
        </w:tc>
        <w:tc>
          <w:tcPr>
            <w:tcW w:w="1416" w:type="dxa"/>
            <w:tcBorders>
              <w:top w:val="dashed"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滴定法</w:t>
            </w:r>
          </w:p>
        </w:tc>
        <w:tc>
          <w:tcPr>
            <w:tcW w:w="2833" w:type="dxa"/>
            <w:tcBorders>
              <w:top w:val="dashed"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地下水质检验方法 滴定法测定碳酸根、重碳酸根、氢氧根</w:t>
            </w:r>
          </w:p>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DZ/T 0064.49-1993</w:t>
            </w:r>
          </w:p>
        </w:tc>
        <w:tc>
          <w:tcPr>
            <w:tcW w:w="2125" w:type="dxa"/>
            <w:tcBorders>
              <w:top w:val="dashed"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滴定管（SB</w:t>
            </w:r>
            <w:r>
              <w:rPr>
                <w:rFonts w:ascii="Times New Roman" w:hAnsi="Times New Roman" w:eastAsia="宋体" w:cs="Times New Roman"/>
                <w:color w:val="000000"/>
                <w:szCs w:val="21"/>
              </w:rPr>
              <w:t>1</w:t>
            </w:r>
            <w:r>
              <w:rPr>
                <w:rFonts w:hint="eastAsia" w:ascii="Times New Roman" w:hAnsi="Times New Roman" w:eastAsia="宋体" w:cs="Times New Roman"/>
                <w:color w:val="000000"/>
                <w:szCs w:val="21"/>
              </w:rPr>
              <w:t>-1）</w:t>
            </w:r>
          </w:p>
        </w:tc>
        <w:tc>
          <w:tcPr>
            <w:tcW w:w="1043" w:type="dxa"/>
            <w:tcBorders>
              <w:top w:val="dashed"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0" w:hRule="atLeast"/>
          <w:jc w:val="center"/>
        </w:trPr>
        <w:tc>
          <w:tcPr>
            <w:tcW w:w="1105" w:type="dxa"/>
            <w:tcBorders>
              <w:top w:val="single" w:color="auto" w:sz="4" w:space="0"/>
              <w:left w:val="single" w:color="000000" w:sz="6"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氯化物</w:t>
            </w:r>
          </w:p>
        </w:tc>
        <w:tc>
          <w:tcPr>
            <w:tcW w:w="1416" w:type="dxa"/>
            <w:tcBorders>
              <w:top w:val="dashed"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 xml:space="preserve"> 离子色谱法</w:t>
            </w:r>
          </w:p>
        </w:tc>
        <w:tc>
          <w:tcPr>
            <w:tcW w:w="2833" w:type="dxa"/>
            <w:tcBorders>
              <w:top w:val="dashed"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生活饮用水标准检验方法 无机非金属指标</w:t>
            </w:r>
          </w:p>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GB/T 5750.5-2006 2.2</w:t>
            </w:r>
          </w:p>
        </w:tc>
        <w:tc>
          <w:tcPr>
            <w:tcW w:w="2125" w:type="dxa"/>
            <w:tcBorders>
              <w:top w:val="dashed"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离子色谱仪</w:t>
            </w:r>
          </w:p>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（CIC-D160、IE-0080）</w:t>
            </w:r>
          </w:p>
        </w:tc>
        <w:tc>
          <w:tcPr>
            <w:tcW w:w="1043" w:type="dxa"/>
            <w:tcBorders>
              <w:top w:val="dashed"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0" w:hRule="atLeast"/>
          <w:jc w:val="center"/>
        </w:trPr>
        <w:tc>
          <w:tcPr>
            <w:tcW w:w="1105" w:type="dxa"/>
            <w:tcBorders>
              <w:top w:val="single" w:color="auto" w:sz="4" w:space="0"/>
              <w:left w:val="single" w:color="000000" w:sz="6"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硫酸盐</w:t>
            </w:r>
          </w:p>
        </w:tc>
        <w:tc>
          <w:tcPr>
            <w:tcW w:w="1416" w:type="dxa"/>
            <w:tcBorders>
              <w:top w:val="dashed"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 xml:space="preserve"> 离子色谱法</w:t>
            </w:r>
          </w:p>
        </w:tc>
        <w:tc>
          <w:tcPr>
            <w:tcW w:w="2833" w:type="dxa"/>
            <w:tcBorders>
              <w:top w:val="dashed"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生活饮用水标准检验方法 无机非金属指标</w:t>
            </w:r>
          </w:p>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GB/T 5750.5-2006 1.2</w:t>
            </w:r>
          </w:p>
        </w:tc>
        <w:tc>
          <w:tcPr>
            <w:tcW w:w="2125" w:type="dxa"/>
            <w:tcBorders>
              <w:top w:val="dashed"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离子色谱仪</w:t>
            </w:r>
          </w:p>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（CIC-D160、IE-0080）</w:t>
            </w:r>
          </w:p>
        </w:tc>
        <w:tc>
          <w:tcPr>
            <w:tcW w:w="1043" w:type="dxa"/>
            <w:tcBorders>
              <w:top w:val="dashed"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910" w:hRule="atLeast"/>
          <w:jc w:val="center"/>
        </w:trPr>
        <w:tc>
          <w:tcPr>
            <w:tcW w:w="1105" w:type="dxa"/>
            <w:tcBorders>
              <w:top w:val="single" w:color="auto" w:sz="4" w:space="0"/>
              <w:left w:val="single" w:color="000000" w:sz="6"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 xml:space="preserve">pH </w:t>
            </w:r>
          </w:p>
        </w:tc>
        <w:tc>
          <w:tcPr>
            <w:tcW w:w="1416" w:type="dxa"/>
            <w:tcBorders>
              <w:top w:val="dashed"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玻璃电极法</w:t>
            </w:r>
            <w:r>
              <w:rPr>
                <w:rFonts w:ascii="Times New Roman" w:hAnsi="Times New Roman" w:eastAsia="宋体" w:cs="Times New Roman"/>
                <w:color w:val="000000"/>
                <w:szCs w:val="21"/>
              </w:rPr>
              <w:t xml:space="preserve"> </w:t>
            </w:r>
          </w:p>
        </w:tc>
        <w:tc>
          <w:tcPr>
            <w:tcW w:w="2833" w:type="dxa"/>
            <w:tcBorders>
              <w:top w:val="dashed"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生活饮用水标准检验方法</w:t>
            </w:r>
            <w:r>
              <w:rPr>
                <w:rFonts w:ascii="Times New Roman" w:hAnsi="Times New Roman" w:eastAsia="宋体" w:cs="Times New Roman"/>
                <w:color w:val="000000"/>
                <w:szCs w:val="21"/>
              </w:rPr>
              <w:t xml:space="preserve"> </w:t>
            </w:r>
            <w:r>
              <w:rPr>
                <w:rFonts w:hint="eastAsia" w:ascii="Times New Roman" w:hAnsi="Times New Roman" w:eastAsia="宋体" w:cs="Times New Roman"/>
                <w:color w:val="000000"/>
                <w:szCs w:val="21"/>
              </w:rPr>
              <w:t>感官性状和物理指标</w:t>
            </w:r>
          </w:p>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GB/T 5750.4-2006 5.1</w:t>
            </w:r>
          </w:p>
        </w:tc>
        <w:tc>
          <w:tcPr>
            <w:tcW w:w="2125" w:type="dxa"/>
            <w:tcBorders>
              <w:top w:val="dashed"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酸度计</w:t>
            </w:r>
          </w:p>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 xml:space="preserve">（PHS-3C、IE-0041） </w:t>
            </w:r>
          </w:p>
        </w:tc>
        <w:tc>
          <w:tcPr>
            <w:tcW w:w="1043" w:type="dxa"/>
            <w:tcBorders>
              <w:top w:val="dashed"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15" w:hRule="atLeast"/>
          <w:jc w:val="center"/>
        </w:trPr>
        <w:tc>
          <w:tcPr>
            <w:tcW w:w="1105" w:type="dxa"/>
            <w:tcBorders>
              <w:top w:val="single" w:color="auto" w:sz="4" w:space="0"/>
              <w:left w:val="single" w:color="000000" w:sz="6"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氨氮</w:t>
            </w:r>
          </w:p>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（以N计）</w:t>
            </w:r>
          </w:p>
        </w:tc>
        <w:tc>
          <w:tcPr>
            <w:tcW w:w="1416" w:type="dxa"/>
            <w:tcBorders>
              <w:top w:val="dashed"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水杨酸盐分光光度法</w:t>
            </w:r>
          </w:p>
        </w:tc>
        <w:tc>
          <w:tcPr>
            <w:tcW w:w="2833" w:type="dxa"/>
            <w:tcBorders>
              <w:top w:val="dashed"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 xml:space="preserve">生活饮用水标准检验方法 无机非金属指标               </w:t>
            </w:r>
            <w:r>
              <w:rPr>
                <w:rFonts w:ascii="Times New Roman" w:hAnsi="Times New Roman" w:eastAsia="宋体" w:cs="Times New Roman"/>
                <w:szCs w:val="21"/>
              </w:rPr>
              <w:t>GB/T 5750.5-2006 9.3</w:t>
            </w:r>
          </w:p>
        </w:tc>
        <w:tc>
          <w:tcPr>
            <w:tcW w:w="2125" w:type="dxa"/>
            <w:tcBorders>
              <w:top w:val="dashed"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紫外可见分光光度计（UV-1800、IE-0067）</w:t>
            </w:r>
          </w:p>
        </w:tc>
        <w:tc>
          <w:tcPr>
            <w:tcW w:w="1043" w:type="dxa"/>
            <w:tcBorders>
              <w:top w:val="dashed"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0.025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68" w:hRule="atLeast"/>
          <w:jc w:val="center"/>
        </w:trPr>
        <w:tc>
          <w:tcPr>
            <w:tcW w:w="1105" w:type="dxa"/>
            <w:tcBorders>
              <w:top w:val="single" w:color="auto" w:sz="4" w:space="0"/>
              <w:left w:val="single" w:color="000000" w:sz="6"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硫化物</w:t>
            </w:r>
          </w:p>
        </w:tc>
        <w:tc>
          <w:tcPr>
            <w:tcW w:w="1416" w:type="dxa"/>
            <w:tcBorders>
              <w:top w:val="dashed"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亚甲基蓝分光光度法</w:t>
            </w:r>
          </w:p>
        </w:tc>
        <w:tc>
          <w:tcPr>
            <w:tcW w:w="2833" w:type="dxa"/>
            <w:tcBorders>
              <w:top w:val="dashed"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水质 硫化物的测定亚甲基蓝分光光度法 </w:t>
            </w:r>
            <w:r>
              <w:rPr>
                <w:rFonts w:ascii="Times New Roman" w:hAnsi="Times New Roman" w:eastAsia="宋体" w:cs="Times New Roman"/>
                <w:szCs w:val="21"/>
              </w:rPr>
              <w:t>GB/T 16489-1996</w:t>
            </w:r>
          </w:p>
        </w:tc>
        <w:tc>
          <w:tcPr>
            <w:tcW w:w="2125" w:type="dxa"/>
            <w:tcBorders>
              <w:top w:val="dashed"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紫外可见分光光度计（UV-1800、IE-0067）</w:t>
            </w:r>
          </w:p>
        </w:tc>
        <w:tc>
          <w:tcPr>
            <w:tcW w:w="1043" w:type="dxa"/>
            <w:tcBorders>
              <w:top w:val="dashed"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0" w:hRule="atLeast"/>
          <w:jc w:val="center"/>
        </w:trPr>
        <w:tc>
          <w:tcPr>
            <w:tcW w:w="1105" w:type="dxa"/>
            <w:tcBorders>
              <w:top w:val="single" w:color="auto" w:sz="4" w:space="0"/>
              <w:left w:val="single" w:color="000000" w:sz="6"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硝酸盐</w:t>
            </w:r>
          </w:p>
          <w:p>
            <w:pPr>
              <w:jc w:val="center"/>
              <w:rPr>
                <w:rFonts w:ascii="宋体" w:hAnsi="宋体" w:eastAsia="宋体" w:cs="宋体"/>
                <w:szCs w:val="21"/>
              </w:rPr>
            </w:pPr>
            <w:r>
              <w:rPr>
                <w:rFonts w:hint="eastAsia" w:ascii="Times New Roman" w:hAnsi="Times New Roman" w:eastAsia="宋体" w:cs="Times New Roman"/>
                <w:szCs w:val="21"/>
              </w:rPr>
              <w:t>（以N计）</w:t>
            </w:r>
          </w:p>
        </w:tc>
        <w:tc>
          <w:tcPr>
            <w:tcW w:w="141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离子色谱法</w:t>
            </w:r>
          </w:p>
        </w:tc>
        <w:tc>
          <w:tcPr>
            <w:tcW w:w="283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生活饮用水标准检验方法 无机非金属指标</w:t>
            </w:r>
          </w:p>
          <w:p>
            <w:pPr>
              <w:jc w:val="center"/>
              <w:rPr>
                <w:rFonts w:ascii="Times New Roman" w:hAnsi="Times New Roman" w:eastAsia="宋体" w:cs="Times New Roman"/>
                <w:szCs w:val="21"/>
              </w:rPr>
            </w:pPr>
            <w:r>
              <w:rPr>
                <w:rFonts w:ascii="Times New Roman" w:hAnsi="Times New Roman" w:eastAsia="宋体" w:cs="Times New Roman"/>
                <w:szCs w:val="21"/>
              </w:rPr>
              <w:t>GB/T</w:t>
            </w:r>
            <w:r>
              <w:rPr>
                <w:rFonts w:hint="eastAsia" w:ascii="Times New Roman" w:hAnsi="Times New Roman" w:eastAsia="宋体" w:cs="Times New Roman"/>
                <w:szCs w:val="21"/>
              </w:rPr>
              <w:t xml:space="preserve"> </w:t>
            </w:r>
            <w:r>
              <w:rPr>
                <w:rFonts w:ascii="Times New Roman" w:hAnsi="Times New Roman" w:eastAsia="宋体" w:cs="Times New Roman"/>
                <w:szCs w:val="21"/>
              </w:rPr>
              <w:t>5750.5-2006 5.3</w:t>
            </w:r>
          </w:p>
        </w:tc>
        <w:tc>
          <w:tcPr>
            <w:tcW w:w="21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离子色谱仪</w:t>
            </w:r>
          </w:p>
          <w:p>
            <w:pPr>
              <w:jc w:val="center"/>
              <w:rPr>
                <w:rFonts w:ascii="Times New Roman" w:hAnsi="Times New Roman" w:eastAsia="宋体" w:cs="Times New Roman"/>
                <w:szCs w:val="21"/>
              </w:rPr>
            </w:pPr>
            <w:r>
              <w:rPr>
                <w:rFonts w:hint="eastAsia" w:ascii="Times New Roman" w:hAnsi="Times New Roman" w:eastAsia="宋体" w:cs="Times New Roman"/>
                <w:szCs w:val="21"/>
              </w:rPr>
              <w:t>（ CIC-D160、IE-0080）</w:t>
            </w:r>
          </w:p>
        </w:tc>
        <w:tc>
          <w:tcPr>
            <w:tcW w:w="1043" w:type="dxa"/>
            <w:tcBorders>
              <w:top w:val="single"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0.01</w:t>
            </w:r>
          </w:p>
        </w:tc>
      </w:tr>
    </w:tbl>
    <w:p>
      <w:pPr>
        <w:spacing w:line="360" w:lineRule="auto"/>
        <w:ind w:firstLine="482" w:firstLineChars="200"/>
        <w:jc w:val="center"/>
        <w:rPr>
          <w:rFonts w:ascii="Times New Roman" w:hAnsi="Times New Roman" w:cs="Times New Roman"/>
          <w:b/>
          <w:color w:val="000000" w:themeColor="text1"/>
          <w:sz w:val="24"/>
          <w:szCs w:val="24"/>
        </w:rPr>
      </w:pPr>
    </w:p>
    <w:p>
      <w:pPr>
        <w:spacing w:line="360" w:lineRule="auto"/>
        <w:ind w:firstLine="482" w:firstLineChars="200"/>
        <w:jc w:val="center"/>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续</w:t>
      </w:r>
      <w:r>
        <w:rPr>
          <w:rFonts w:ascii="Times New Roman" w:hAnsi="Times New Roman" w:cs="Times New Roman"/>
          <w:b/>
          <w:color w:val="000000" w:themeColor="text1"/>
          <w:sz w:val="24"/>
          <w:szCs w:val="24"/>
        </w:rPr>
        <w:t>表4-</w:t>
      </w:r>
      <w:r>
        <w:rPr>
          <w:rFonts w:hint="eastAsia" w:ascii="Times New Roman" w:hAnsi="Times New Roman" w:cs="Times New Roman"/>
          <w:b/>
          <w:color w:val="000000" w:themeColor="text1"/>
          <w:sz w:val="24"/>
          <w:szCs w:val="24"/>
        </w:rPr>
        <w:t xml:space="preserve">6     </w:t>
      </w:r>
      <w:r>
        <w:rPr>
          <w:rFonts w:ascii="Times New Roman" w:hAnsi="Times New Roman" w:cs="Times New Roman"/>
          <w:b/>
          <w:color w:val="000000" w:themeColor="text1"/>
          <w:sz w:val="24"/>
          <w:szCs w:val="24"/>
        </w:rPr>
        <w:t>地下水监测项目、方法依据及仪器型号</w:t>
      </w:r>
    </w:p>
    <w:tbl>
      <w:tblPr>
        <w:tblStyle w:val="27"/>
        <w:tblW w:w="8522"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05"/>
        <w:gridCol w:w="1450"/>
        <w:gridCol w:w="2698"/>
        <w:gridCol w:w="2119"/>
        <w:gridCol w:w="105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91"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spacing w:beforeLines="25" w:afterLines="25"/>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检</w:t>
            </w:r>
            <w:r>
              <w:rPr>
                <w:rFonts w:hint="eastAsia" w:ascii="Times New Roman" w:hAnsi="Times New Roman" w:eastAsia="宋体" w:cs="Times New Roman"/>
                <w:color w:val="000000"/>
                <w:szCs w:val="21"/>
              </w:rPr>
              <w:t>测项目</w:t>
            </w:r>
          </w:p>
        </w:tc>
        <w:tc>
          <w:tcPr>
            <w:tcW w:w="14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分析方法</w:t>
            </w:r>
          </w:p>
        </w:tc>
        <w:tc>
          <w:tcPr>
            <w:tcW w:w="26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方法来源</w:t>
            </w:r>
          </w:p>
        </w:tc>
        <w:tc>
          <w:tcPr>
            <w:tcW w:w="2119" w:type="dxa"/>
            <w:tcBorders>
              <w:top w:val="single" w:color="auto" w:sz="4" w:space="0"/>
              <w:left w:val="single" w:color="auto" w:sz="4" w:space="0"/>
              <w:bottom w:val="single" w:color="auto" w:sz="4" w:space="0"/>
              <w:right w:val="single" w:color="auto" w:sz="4" w:space="0"/>
            </w:tcBorders>
            <w:vAlign w:val="center"/>
          </w:tcPr>
          <w:p>
            <w:pPr>
              <w:spacing w:beforeLines="25" w:afterLines="25"/>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仪器设备</w:t>
            </w:r>
          </w:p>
        </w:tc>
        <w:tc>
          <w:tcPr>
            <w:tcW w:w="1050" w:type="dxa"/>
            <w:tcBorders>
              <w:top w:val="single" w:color="auto" w:sz="4" w:space="0"/>
              <w:left w:val="single" w:color="auto" w:sz="4" w:space="0"/>
              <w:bottom w:val="single" w:color="auto" w:sz="4" w:space="0"/>
              <w:right w:val="single" w:color="auto" w:sz="4" w:space="0"/>
            </w:tcBorders>
            <w:vAlign w:val="center"/>
          </w:tcPr>
          <w:p>
            <w:pPr>
              <w:spacing w:beforeLines="25" w:afterLines="25"/>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检出限</w:t>
            </w:r>
            <w:r>
              <w:rPr>
                <w:rFonts w:hint="eastAsia" w:ascii="Times New Roman" w:hAnsi="Times New Roman" w:eastAsia="宋体" w:cs="Times New Roman"/>
                <w:color w:val="000000"/>
                <w:sz w:val="20"/>
                <w:szCs w:val="21"/>
              </w:rPr>
              <w:t>（mg/L）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69" w:hRule="atLeast"/>
          <w:jc w:val="center"/>
        </w:trPr>
        <w:tc>
          <w:tcPr>
            <w:tcW w:w="1205" w:type="dxa"/>
            <w:tcBorders>
              <w:top w:val="single" w:color="auto" w:sz="4" w:space="0"/>
              <w:left w:val="single" w:color="000000" w:sz="6"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亚硝酸盐</w:t>
            </w:r>
          </w:p>
          <w:p>
            <w:pPr>
              <w:jc w:val="center"/>
              <w:rPr>
                <w:rFonts w:ascii="宋体" w:hAnsi="宋体" w:eastAsia="宋体" w:cs="宋体"/>
                <w:szCs w:val="21"/>
              </w:rPr>
            </w:pPr>
            <w:r>
              <w:rPr>
                <w:rFonts w:hint="eastAsia" w:ascii="Times New Roman" w:hAnsi="Times New Roman" w:eastAsia="宋体" w:cs="Times New Roman"/>
                <w:szCs w:val="21"/>
              </w:rPr>
              <w:t>（以N计）</w:t>
            </w:r>
          </w:p>
        </w:tc>
        <w:tc>
          <w:tcPr>
            <w:tcW w:w="14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重氮偶合分光光度法</w:t>
            </w:r>
          </w:p>
        </w:tc>
        <w:tc>
          <w:tcPr>
            <w:tcW w:w="26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生活饮用水标准检验方法 无机非金属指标</w:t>
            </w:r>
          </w:p>
          <w:p>
            <w:pPr>
              <w:jc w:val="center"/>
              <w:rPr>
                <w:rFonts w:ascii="Times New Roman" w:hAnsi="Times New Roman" w:eastAsia="宋体" w:cs="Times New Roman"/>
                <w:szCs w:val="21"/>
              </w:rPr>
            </w:pPr>
            <w:r>
              <w:rPr>
                <w:rFonts w:ascii="Times New Roman" w:hAnsi="Times New Roman" w:eastAsia="宋体" w:cs="Times New Roman"/>
                <w:szCs w:val="21"/>
              </w:rPr>
              <w:t>GB/T</w:t>
            </w:r>
            <w:r>
              <w:rPr>
                <w:rFonts w:hint="eastAsia" w:ascii="Times New Roman" w:hAnsi="Times New Roman" w:eastAsia="宋体" w:cs="Times New Roman"/>
                <w:szCs w:val="21"/>
              </w:rPr>
              <w:t xml:space="preserve"> </w:t>
            </w:r>
            <w:r>
              <w:rPr>
                <w:rFonts w:ascii="Times New Roman" w:hAnsi="Times New Roman" w:eastAsia="宋体" w:cs="Times New Roman"/>
                <w:szCs w:val="21"/>
              </w:rPr>
              <w:t>5750.5-2006 10.1</w:t>
            </w:r>
          </w:p>
        </w:tc>
        <w:tc>
          <w:tcPr>
            <w:tcW w:w="211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紫外可见分光光度计（UV-1800、IE-0067）</w:t>
            </w:r>
          </w:p>
        </w:tc>
        <w:tc>
          <w:tcPr>
            <w:tcW w:w="1050" w:type="dxa"/>
            <w:tcBorders>
              <w:top w:val="single"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0.001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69" w:hRule="atLeast"/>
          <w:jc w:val="center"/>
        </w:trPr>
        <w:tc>
          <w:tcPr>
            <w:tcW w:w="1205" w:type="dxa"/>
            <w:tcBorders>
              <w:top w:val="single" w:color="auto" w:sz="4" w:space="0"/>
              <w:left w:val="single" w:color="000000" w:sz="6"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Cs w:val="21"/>
              </w:rPr>
            </w:pPr>
            <w:r>
              <w:rPr>
                <w:rFonts w:ascii="Times New Roman" w:hAnsi="Times New Roman" w:eastAsia="宋体" w:cs="Times New Roman"/>
                <w:szCs w:val="21"/>
              </w:rPr>
              <w:t>挥发性</w:t>
            </w:r>
            <w:r>
              <w:rPr>
                <w:rFonts w:hint="eastAsia" w:ascii="Times New Roman" w:hAnsi="Times New Roman" w:eastAsia="宋体" w:cs="Times New Roman"/>
                <w:szCs w:val="21"/>
              </w:rPr>
              <w:t>酚</w:t>
            </w:r>
            <w:r>
              <w:rPr>
                <w:rFonts w:ascii="Times New Roman" w:hAnsi="Times New Roman" w:eastAsia="宋体" w:cs="Times New Roman"/>
                <w:szCs w:val="21"/>
              </w:rPr>
              <w:t>类（以苯酚计）</w:t>
            </w:r>
          </w:p>
        </w:tc>
        <w:tc>
          <w:tcPr>
            <w:tcW w:w="14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4-氨基安替比林分光光度法</w:t>
            </w:r>
          </w:p>
        </w:tc>
        <w:tc>
          <w:tcPr>
            <w:tcW w:w="26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水质 挥发酚的测定 4-氨基安替比林分光光度法</w:t>
            </w:r>
          </w:p>
          <w:p>
            <w:pPr>
              <w:jc w:val="center"/>
              <w:rPr>
                <w:rFonts w:ascii="Times New Roman" w:hAnsi="Times New Roman" w:eastAsia="宋体" w:cs="Times New Roman"/>
                <w:szCs w:val="21"/>
              </w:rPr>
            </w:pPr>
            <w:r>
              <w:rPr>
                <w:rFonts w:hint="eastAsia" w:ascii="Times New Roman" w:hAnsi="Times New Roman" w:eastAsia="宋体" w:cs="Times New Roman"/>
                <w:szCs w:val="21"/>
              </w:rPr>
              <w:t xml:space="preserve"> HJ 503-2009</w:t>
            </w:r>
          </w:p>
        </w:tc>
        <w:tc>
          <w:tcPr>
            <w:tcW w:w="211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紫外可见分光光度计（UV-1800、IE-0067）</w:t>
            </w:r>
          </w:p>
        </w:tc>
        <w:tc>
          <w:tcPr>
            <w:tcW w:w="1050" w:type="dxa"/>
            <w:tcBorders>
              <w:top w:val="single"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0.0003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69" w:hRule="atLeast"/>
          <w:jc w:val="center"/>
        </w:trPr>
        <w:tc>
          <w:tcPr>
            <w:tcW w:w="1205" w:type="dxa"/>
            <w:tcBorders>
              <w:top w:val="single" w:color="auto" w:sz="4" w:space="0"/>
              <w:left w:val="single" w:color="000000" w:sz="6"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氰化物</w:t>
            </w:r>
          </w:p>
        </w:tc>
        <w:tc>
          <w:tcPr>
            <w:tcW w:w="14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异烟酸-巴比妥酸分光光度法</w:t>
            </w:r>
          </w:p>
        </w:tc>
        <w:tc>
          <w:tcPr>
            <w:tcW w:w="26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水质 氰化物的测定 容量法和分光光度法HJ 484-2009</w:t>
            </w:r>
          </w:p>
        </w:tc>
        <w:tc>
          <w:tcPr>
            <w:tcW w:w="211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紫外可见分光光度计（UV-1800、IE-0067）</w:t>
            </w:r>
          </w:p>
        </w:tc>
        <w:tc>
          <w:tcPr>
            <w:tcW w:w="1050" w:type="dxa"/>
            <w:tcBorders>
              <w:top w:val="single"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0.001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69" w:hRule="atLeast"/>
          <w:jc w:val="center"/>
        </w:trPr>
        <w:tc>
          <w:tcPr>
            <w:tcW w:w="1205" w:type="dxa"/>
            <w:tcBorders>
              <w:top w:val="single" w:color="auto" w:sz="4" w:space="0"/>
              <w:left w:val="single" w:color="000000" w:sz="6"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砷</w:t>
            </w:r>
          </w:p>
        </w:tc>
        <w:tc>
          <w:tcPr>
            <w:tcW w:w="14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pacing w:val="-4"/>
                <w:szCs w:val="21"/>
              </w:rPr>
              <w:t>原子荧光法</w:t>
            </w:r>
          </w:p>
        </w:tc>
        <w:tc>
          <w:tcPr>
            <w:tcW w:w="26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pacing w:val="-4"/>
                <w:szCs w:val="21"/>
              </w:rPr>
            </w:pPr>
            <w:r>
              <w:rPr>
                <w:rFonts w:hint="eastAsia" w:ascii="Times New Roman" w:hAnsi="Times New Roman" w:eastAsia="宋体" w:cs="Times New Roman"/>
                <w:color w:val="000000"/>
                <w:spacing w:val="-4"/>
                <w:szCs w:val="21"/>
              </w:rPr>
              <w:t>水质 汞、砷、硒、铋和锑的测定  HJ 694-2014</w:t>
            </w:r>
          </w:p>
        </w:tc>
        <w:tc>
          <w:tcPr>
            <w:tcW w:w="211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 w:val="22"/>
              </w:rPr>
            </w:pPr>
            <w:r>
              <w:rPr>
                <w:rFonts w:hint="eastAsia" w:ascii="Times New Roman" w:hAnsi="Times New Roman" w:eastAsia="宋体" w:cs="Times New Roman"/>
                <w:color w:val="000000"/>
                <w:szCs w:val="21"/>
              </w:rPr>
              <w:t>原子荧光光谱仪（SK-2003A、IE-0023）</w:t>
            </w:r>
          </w:p>
        </w:tc>
        <w:tc>
          <w:tcPr>
            <w:tcW w:w="1050" w:type="dxa"/>
            <w:tcBorders>
              <w:top w:val="single"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0.0003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69" w:hRule="atLeast"/>
          <w:jc w:val="center"/>
        </w:trPr>
        <w:tc>
          <w:tcPr>
            <w:tcW w:w="1205" w:type="dxa"/>
            <w:tcBorders>
              <w:top w:val="single" w:color="auto" w:sz="4" w:space="0"/>
              <w:left w:val="single" w:color="000000" w:sz="6"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汞</w:t>
            </w:r>
          </w:p>
        </w:tc>
        <w:tc>
          <w:tcPr>
            <w:tcW w:w="14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 xml:space="preserve"> 原子荧光法</w:t>
            </w:r>
          </w:p>
        </w:tc>
        <w:tc>
          <w:tcPr>
            <w:tcW w:w="26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pacing w:val="-4"/>
                <w:szCs w:val="21"/>
              </w:rPr>
            </w:pPr>
            <w:r>
              <w:rPr>
                <w:rFonts w:hint="eastAsia" w:ascii="Times New Roman" w:hAnsi="Times New Roman" w:eastAsia="宋体" w:cs="Times New Roman"/>
                <w:color w:val="000000"/>
                <w:spacing w:val="-4"/>
                <w:szCs w:val="21"/>
              </w:rPr>
              <w:t>水质 汞、砷、硒、铋和锑的测定  HJ 694-2014</w:t>
            </w:r>
          </w:p>
        </w:tc>
        <w:tc>
          <w:tcPr>
            <w:tcW w:w="211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 w:val="22"/>
              </w:rPr>
            </w:pPr>
            <w:r>
              <w:rPr>
                <w:rFonts w:hint="eastAsia" w:ascii="Times New Roman" w:hAnsi="Times New Roman" w:eastAsia="宋体" w:cs="Times New Roman"/>
                <w:color w:val="000000"/>
                <w:szCs w:val="21"/>
              </w:rPr>
              <w:t>原子荧光光谱仪（SK-2003A、IE-0023）</w:t>
            </w:r>
          </w:p>
        </w:tc>
        <w:tc>
          <w:tcPr>
            <w:tcW w:w="1050" w:type="dxa"/>
            <w:tcBorders>
              <w:top w:val="single"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0.00004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69" w:hRule="atLeast"/>
          <w:jc w:val="center"/>
        </w:trPr>
        <w:tc>
          <w:tcPr>
            <w:tcW w:w="1205" w:type="dxa"/>
            <w:tcBorders>
              <w:top w:val="single" w:color="auto" w:sz="4" w:space="0"/>
              <w:left w:val="single" w:color="000000" w:sz="6"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铬（六价）</w:t>
            </w:r>
          </w:p>
        </w:tc>
        <w:tc>
          <w:tcPr>
            <w:tcW w:w="14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 xml:space="preserve"> </w:t>
            </w:r>
            <w:r>
              <w:rPr>
                <w:rFonts w:hint="eastAsia" w:ascii="Times New Roman" w:hAnsi="Times New Roman" w:eastAsia="宋体" w:cs="Times New Roman"/>
                <w:color w:val="000000"/>
                <w:szCs w:val="21"/>
              </w:rPr>
              <w:t>二苯碳酰二肼分光光度法</w:t>
            </w:r>
          </w:p>
        </w:tc>
        <w:tc>
          <w:tcPr>
            <w:tcW w:w="26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生活饮用水标准检验方法</w:t>
            </w:r>
            <w:r>
              <w:rPr>
                <w:rFonts w:ascii="Times New Roman" w:hAnsi="Times New Roman" w:eastAsia="宋体" w:cs="Times New Roman"/>
                <w:color w:val="000000"/>
                <w:szCs w:val="21"/>
              </w:rPr>
              <w:t xml:space="preserve"> </w:t>
            </w:r>
            <w:r>
              <w:rPr>
                <w:rFonts w:hint="eastAsia" w:ascii="Times New Roman" w:hAnsi="Times New Roman" w:eastAsia="宋体" w:cs="Times New Roman"/>
                <w:color w:val="000000"/>
                <w:szCs w:val="21"/>
              </w:rPr>
              <w:t xml:space="preserve">金属指标 </w:t>
            </w:r>
            <w:r>
              <w:rPr>
                <w:rFonts w:ascii="Times New Roman" w:hAnsi="Times New Roman" w:eastAsia="宋体" w:cs="Times New Roman"/>
                <w:color w:val="000000"/>
                <w:szCs w:val="21"/>
              </w:rPr>
              <w:t>GB/T 5750.6-2006 10.1</w:t>
            </w:r>
          </w:p>
        </w:tc>
        <w:tc>
          <w:tcPr>
            <w:tcW w:w="211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紫外可见分光光度计（UV-1800、IE-0067）</w:t>
            </w:r>
          </w:p>
        </w:tc>
        <w:tc>
          <w:tcPr>
            <w:tcW w:w="1050" w:type="dxa"/>
            <w:tcBorders>
              <w:top w:val="single"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16" w:hRule="atLeast"/>
          <w:jc w:val="center"/>
        </w:trPr>
        <w:tc>
          <w:tcPr>
            <w:tcW w:w="1205" w:type="dxa"/>
            <w:tcBorders>
              <w:top w:val="single" w:color="auto" w:sz="4" w:space="0"/>
              <w:left w:val="single" w:color="000000" w:sz="6"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总硬度</w:t>
            </w:r>
          </w:p>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(以CaCO</w:t>
            </w:r>
            <w:r>
              <w:rPr>
                <w:rFonts w:hint="eastAsia" w:ascii="Times New Roman" w:hAnsi="Times New Roman" w:eastAsia="宋体" w:cs="Times New Roman"/>
                <w:color w:val="000000"/>
                <w:szCs w:val="21"/>
                <w:vertAlign w:val="subscript"/>
              </w:rPr>
              <w:t>3</w:t>
            </w:r>
            <w:r>
              <w:rPr>
                <w:rFonts w:hint="eastAsia" w:ascii="Times New Roman" w:hAnsi="Times New Roman" w:eastAsia="宋体" w:cs="Times New Roman"/>
                <w:color w:val="000000"/>
                <w:szCs w:val="21"/>
              </w:rPr>
              <w:t>计)</w:t>
            </w:r>
          </w:p>
        </w:tc>
        <w:tc>
          <w:tcPr>
            <w:tcW w:w="14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 xml:space="preserve"> 乙二胺四乙酸二钠滴定法 </w:t>
            </w:r>
          </w:p>
        </w:tc>
        <w:tc>
          <w:tcPr>
            <w:tcW w:w="26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生活饮用水标准检验方法 感官性状和物理指标</w:t>
            </w:r>
          </w:p>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GB/T 5750.4-2006 7.1</w:t>
            </w:r>
          </w:p>
        </w:tc>
        <w:tc>
          <w:tcPr>
            <w:tcW w:w="211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滴定管（SB1-2）</w:t>
            </w:r>
          </w:p>
        </w:tc>
        <w:tc>
          <w:tcPr>
            <w:tcW w:w="1050" w:type="dxa"/>
            <w:tcBorders>
              <w:top w:val="single"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16" w:hRule="atLeast"/>
          <w:jc w:val="center"/>
        </w:trPr>
        <w:tc>
          <w:tcPr>
            <w:tcW w:w="1205" w:type="dxa"/>
            <w:tcBorders>
              <w:top w:val="single" w:color="auto" w:sz="4" w:space="0"/>
              <w:left w:val="single" w:color="000000" w:sz="6"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铅</w:t>
            </w:r>
          </w:p>
        </w:tc>
        <w:tc>
          <w:tcPr>
            <w:tcW w:w="14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 xml:space="preserve">原子吸收分光光度法 </w:t>
            </w:r>
          </w:p>
        </w:tc>
        <w:tc>
          <w:tcPr>
            <w:tcW w:w="26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生活饮用水标准检验方法 金属指标 GB/T 5750.6-2006 11.1</w:t>
            </w:r>
          </w:p>
        </w:tc>
        <w:tc>
          <w:tcPr>
            <w:tcW w:w="211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石墨炉原子吸收光谱仪（SavantAA、IE-0073）</w:t>
            </w:r>
          </w:p>
        </w:tc>
        <w:tc>
          <w:tcPr>
            <w:tcW w:w="1050" w:type="dxa"/>
            <w:tcBorders>
              <w:top w:val="single"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0.0025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16" w:hRule="atLeast"/>
          <w:jc w:val="center"/>
        </w:trPr>
        <w:tc>
          <w:tcPr>
            <w:tcW w:w="1205" w:type="dxa"/>
            <w:tcBorders>
              <w:top w:val="single" w:color="auto" w:sz="4" w:space="0"/>
              <w:left w:val="single" w:color="000000" w:sz="6"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氟化物</w:t>
            </w:r>
          </w:p>
        </w:tc>
        <w:tc>
          <w:tcPr>
            <w:tcW w:w="14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pacing w:val="-4"/>
                <w:szCs w:val="21"/>
              </w:rPr>
              <w:t>离子色谱法</w:t>
            </w:r>
          </w:p>
        </w:tc>
        <w:tc>
          <w:tcPr>
            <w:tcW w:w="26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生活饮用水标准检验方法 无机非金属指标</w:t>
            </w:r>
          </w:p>
          <w:p>
            <w:pPr>
              <w:jc w:val="center"/>
              <w:rPr>
                <w:rFonts w:ascii="Times New Roman" w:hAnsi="Times New Roman" w:eastAsia="宋体" w:cs="Times New Roman"/>
                <w:color w:val="000000"/>
                <w:spacing w:val="-4"/>
                <w:szCs w:val="21"/>
              </w:rPr>
            </w:pPr>
            <w:r>
              <w:rPr>
                <w:rFonts w:hint="eastAsia" w:ascii="Times New Roman" w:hAnsi="Times New Roman" w:eastAsia="宋体" w:cs="Times New Roman"/>
                <w:color w:val="000000"/>
                <w:szCs w:val="21"/>
              </w:rPr>
              <w:t>GB/T 5750.5-2006 3.2</w:t>
            </w:r>
          </w:p>
        </w:tc>
        <w:tc>
          <w:tcPr>
            <w:tcW w:w="211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离子色谱仪</w:t>
            </w:r>
          </w:p>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（CIC-D160、IE-0080）</w:t>
            </w:r>
          </w:p>
        </w:tc>
        <w:tc>
          <w:tcPr>
            <w:tcW w:w="1050" w:type="dxa"/>
            <w:tcBorders>
              <w:top w:val="single"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16" w:hRule="atLeast"/>
          <w:jc w:val="center"/>
        </w:trPr>
        <w:tc>
          <w:tcPr>
            <w:tcW w:w="1205" w:type="dxa"/>
            <w:tcBorders>
              <w:top w:val="single" w:color="auto" w:sz="4" w:space="0"/>
              <w:left w:val="single" w:color="000000" w:sz="6"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碘化物</w:t>
            </w:r>
          </w:p>
        </w:tc>
        <w:tc>
          <w:tcPr>
            <w:tcW w:w="14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pacing w:val="-4"/>
                <w:szCs w:val="21"/>
              </w:rPr>
            </w:pPr>
            <w:r>
              <w:rPr>
                <w:rFonts w:hint="eastAsia" w:ascii="Times New Roman" w:hAnsi="Times New Roman" w:eastAsia="宋体" w:cs="Times New Roman"/>
                <w:color w:val="000000"/>
                <w:spacing w:val="-4"/>
                <w:szCs w:val="21"/>
              </w:rPr>
              <w:t>比色法</w:t>
            </w:r>
          </w:p>
        </w:tc>
        <w:tc>
          <w:tcPr>
            <w:tcW w:w="26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生活饮用水标准检验方法 无机非金属指标</w:t>
            </w:r>
          </w:p>
          <w:p>
            <w:pPr>
              <w:jc w:val="center"/>
              <w:rPr>
                <w:rFonts w:ascii="Times New Roman" w:hAnsi="Times New Roman" w:eastAsia="宋体" w:cs="Times New Roman"/>
                <w:color w:val="000000"/>
                <w:spacing w:val="-4"/>
                <w:szCs w:val="21"/>
              </w:rPr>
            </w:pPr>
            <w:r>
              <w:rPr>
                <w:rFonts w:hint="eastAsia" w:ascii="Times New Roman" w:hAnsi="Times New Roman" w:eastAsia="宋体" w:cs="Times New Roman"/>
                <w:color w:val="000000"/>
                <w:szCs w:val="21"/>
              </w:rPr>
              <w:t xml:space="preserve">GB/T 5750.5-2006 </w:t>
            </w:r>
            <w:r>
              <w:rPr>
                <w:rFonts w:ascii="Times New Roman" w:hAnsi="Times New Roman" w:eastAsia="宋体" w:cs="Times New Roman"/>
                <w:color w:val="000000"/>
                <w:szCs w:val="21"/>
              </w:rPr>
              <w:t>11</w:t>
            </w:r>
            <w:r>
              <w:rPr>
                <w:rFonts w:hint="eastAsia" w:ascii="Times New Roman" w:hAnsi="Times New Roman" w:eastAsia="宋体" w:cs="Times New Roman"/>
                <w:color w:val="000000"/>
                <w:szCs w:val="21"/>
              </w:rPr>
              <w:t>.2</w:t>
            </w:r>
          </w:p>
        </w:tc>
        <w:tc>
          <w:tcPr>
            <w:tcW w:w="211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紫外可见分光光度计（UV-1800、IE-0067）</w:t>
            </w:r>
          </w:p>
        </w:tc>
        <w:tc>
          <w:tcPr>
            <w:tcW w:w="1050" w:type="dxa"/>
            <w:tcBorders>
              <w:top w:val="single"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w:t>
            </w:r>
            <w:r>
              <w:rPr>
                <w:rFonts w:ascii="Times New Roman" w:hAnsi="Times New Roman" w:eastAsia="宋体" w:cs="Times New Roman"/>
                <w:color w:val="000000"/>
                <w:szCs w:val="21"/>
              </w:rPr>
              <w:t>.05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16" w:hRule="atLeast"/>
          <w:jc w:val="center"/>
        </w:trPr>
        <w:tc>
          <w:tcPr>
            <w:tcW w:w="1205" w:type="dxa"/>
            <w:tcBorders>
              <w:top w:val="single" w:color="auto" w:sz="4" w:space="0"/>
              <w:left w:val="single" w:color="000000" w:sz="6"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镉</w:t>
            </w:r>
          </w:p>
        </w:tc>
        <w:tc>
          <w:tcPr>
            <w:tcW w:w="14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 xml:space="preserve">原子吸收分光光度法 </w:t>
            </w:r>
          </w:p>
        </w:tc>
        <w:tc>
          <w:tcPr>
            <w:tcW w:w="26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生活饮用水标准检验方法 金属指标 GB/T 5750.6-2006 9.1</w:t>
            </w:r>
          </w:p>
        </w:tc>
        <w:tc>
          <w:tcPr>
            <w:tcW w:w="211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石墨炉原子吸收光谱仪（SavantAA、IE-0073）</w:t>
            </w:r>
          </w:p>
        </w:tc>
        <w:tc>
          <w:tcPr>
            <w:tcW w:w="1050" w:type="dxa"/>
            <w:tcBorders>
              <w:top w:val="single"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0.0001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16" w:hRule="atLeast"/>
          <w:jc w:val="center"/>
        </w:trPr>
        <w:tc>
          <w:tcPr>
            <w:tcW w:w="1205" w:type="dxa"/>
            <w:tcBorders>
              <w:top w:val="single" w:color="auto" w:sz="4" w:space="0"/>
              <w:left w:val="single" w:color="000000" w:sz="6"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铁</w:t>
            </w:r>
          </w:p>
        </w:tc>
        <w:tc>
          <w:tcPr>
            <w:tcW w:w="14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电感耦合等离子</w:t>
            </w:r>
            <w:r>
              <w:rPr>
                <w:rFonts w:hint="eastAsia" w:ascii="Times New Roman" w:hAnsi="Times New Roman" w:eastAsia="宋体" w:cs="Times New Roman"/>
                <w:szCs w:val="21"/>
              </w:rPr>
              <w:t>体</w:t>
            </w:r>
            <w:r>
              <w:rPr>
                <w:rFonts w:ascii="Times New Roman" w:hAnsi="Times New Roman" w:eastAsia="宋体" w:cs="Times New Roman"/>
                <w:szCs w:val="21"/>
              </w:rPr>
              <w:t>发射光谱法</w:t>
            </w:r>
          </w:p>
        </w:tc>
        <w:tc>
          <w:tcPr>
            <w:tcW w:w="26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color w:val="000000"/>
                <w:szCs w:val="21"/>
              </w:rPr>
              <w:t>生活饮用水标准检验方法 金属指标</w:t>
            </w:r>
            <w:r>
              <w:rPr>
                <w:rFonts w:ascii="Times New Roman" w:hAnsi="Times New Roman" w:eastAsia="宋体" w:cs="Times New Roman"/>
                <w:szCs w:val="21"/>
              </w:rPr>
              <w:t>GB/T</w:t>
            </w:r>
            <w:r>
              <w:rPr>
                <w:rFonts w:hint="eastAsia" w:ascii="Times New Roman" w:hAnsi="Times New Roman" w:eastAsia="宋体" w:cs="Times New Roman"/>
                <w:szCs w:val="21"/>
              </w:rPr>
              <w:t xml:space="preserve"> </w:t>
            </w:r>
            <w:r>
              <w:rPr>
                <w:rFonts w:ascii="Times New Roman" w:hAnsi="Times New Roman" w:eastAsia="宋体" w:cs="Times New Roman"/>
                <w:szCs w:val="21"/>
              </w:rPr>
              <w:t>5750.</w:t>
            </w:r>
            <w:r>
              <w:rPr>
                <w:rFonts w:hint="eastAsia" w:ascii="Times New Roman" w:hAnsi="Times New Roman" w:eastAsia="宋体" w:cs="Times New Roman"/>
                <w:szCs w:val="21"/>
              </w:rPr>
              <w:t>6</w:t>
            </w:r>
            <w:r>
              <w:rPr>
                <w:rFonts w:ascii="Times New Roman" w:hAnsi="Times New Roman" w:eastAsia="宋体" w:cs="Times New Roman"/>
                <w:szCs w:val="21"/>
              </w:rPr>
              <w:t>-2006</w:t>
            </w:r>
            <w:r>
              <w:rPr>
                <w:rFonts w:hint="eastAsia" w:ascii="Times New Roman" w:hAnsi="Times New Roman" w:eastAsia="宋体" w:cs="Times New Roman"/>
                <w:szCs w:val="21"/>
              </w:rPr>
              <w:t xml:space="preserve"> 2.3</w:t>
            </w:r>
          </w:p>
        </w:tc>
        <w:tc>
          <w:tcPr>
            <w:tcW w:w="211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电感耦合等离子体发射光谱仪（ICP-OES 5110、IE-0170）</w:t>
            </w:r>
          </w:p>
        </w:tc>
        <w:tc>
          <w:tcPr>
            <w:tcW w:w="1050" w:type="dxa"/>
            <w:tcBorders>
              <w:top w:val="single"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0.0045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16" w:hRule="atLeast"/>
          <w:jc w:val="center"/>
        </w:trPr>
        <w:tc>
          <w:tcPr>
            <w:tcW w:w="1205" w:type="dxa"/>
            <w:tcBorders>
              <w:top w:val="single" w:color="auto" w:sz="4" w:space="0"/>
              <w:left w:val="single" w:color="000000" w:sz="6"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锰</w:t>
            </w:r>
          </w:p>
        </w:tc>
        <w:tc>
          <w:tcPr>
            <w:tcW w:w="14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电感耦合等离子体发射光谱法</w:t>
            </w:r>
          </w:p>
        </w:tc>
        <w:tc>
          <w:tcPr>
            <w:tcW w:w="2698"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color w:val="000000"/>
                <w:szCs w:val="21"/>
              </w:rPr>
              <w:t>生活饮用水标准检验方法 金属指标</w:t>
            </w:r>
            <w:r>
              <w:rPr>
                <w:rFonts w:ascii="Times New Roman" w:hAnsi="Times New Roman" w:eastAsia="宋体" w:cs="Times New Roman"/>
                <w:szCs w:val="21"/>
              </w:rPr>
              <w:t>GB/T</w:t>
            </w:r>
            <w:r>
              <w:rPr>
                <w:rFonts w:hint="eastAsia" w:ascii="Times New Roman" w:hAnsi="Times New Roman" w:eastAsia="宋体" w:cs="Times New Roman"/>
                <w:szCs w:val="21"/>
              </w:rPr>
              <w:t xml:space="preserve"> </w:t>
            </w:r>
            <w:r>
              <w:rPr>
                <w:rFonts w:ascii="Times New Roman" w:hAnsi="Times New Roman" w:eastAsia="宋体" w:cs="Times New Roman"/>
                <w:szCs w:val="21"/>
              </w:rPr>
              <w:t>5750.</w:t>
            </w:r>
            <w:r>
              <w:rPr>
                <w:rFonts w:hint="eastAsia" w:ascii="Times New Roman" w:hAnsi="Times New Roman" w:eastAsia="宋体" w:cs="Times New Roman"/>
                <w:szCs w:val="21"/>
              </w:rPr>
              <w:t>6</w:t>
            </w:r>
            <w:r>
              <w:rPr>
                <w:rFonts w:ascii="Times New Roman" w:hAnsi="Times New Roman" w:eastAsia="宋体" w:cs="Times New Roman"/>
                <w:szCs w:val="21"/>
              </w:rPr>
              <w:t>-2006 3.5</w:t>
            </w:r>
          </w:p>
        </w:tc>
        <w:tc>
          <w:tcPr>
            <w:tcW w:w="211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电感耦合等离子体发射光谱仪（ICP-OES 5110、IE-0170）</w:t>
            </w:r>
          </w:p>
        </w:tc>
        <w:tc>
          <w:tcPr>
            <w:tcW w:w="1050" w:type="dxa"/>
            <w:tcBorders>
              <w:top w:val="single"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0.0005</w:t>
            </w:r>
          </w:p>
        </w:tc>
      </w:tr>
    </w:tbl>
    <w:p>
      <w:pPr>
        <w:spacing w:line="360" w:lineRule="auto"/>
        <w:ind w:firstLine="482" w:firstLineChars="200"/>
        <w:jc w:val="center"/>
        <w:rPr>
          <w:rFonts w:ascii="Times New Roman" w:hAnsi="Times New Roman" w:cs="Times New Roman"/>
          <w:b/>
          <w:color w:val="000000" w:themeColor="text1"/>
          <w:sz w:val="24"/>
          <w:szCs w:val="24"/>
        </w:rPr>
      </w:pPr>
    </w:p>
    <w:p>
      <w:pPr>
        <w:spacing w:line="360" w:lineRule="auto"/>
        <w:ind w:firstLine="482" w:firstLineChars="200"/>
        <w:jc w:val="center"/>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续</w:t>
      </w:r>
      <w:r>
        <w:rPr>
          <w:rFonts w:ascii="Times New Roman" w:hAnsi="Times New Roman" w:cs="Times New Roman"/>
          <w:b/>
          <w:color w:val="000000" w:themeColor="text1"/>
          <w:sz w:val="24"/>
          <w:szCs w:val="24"/>
        </w:rPr>
        <w:t>表4-</w:t>
      </w:r>
      <w:r>
        <w:rPr>
          <w:rFonts w:hint="eastAsia" w:ascii="Times New Roman" w:hAnsi="Times New Roman" w:cs="Times New Roman"/>
          <w:b/>
          <w:color w:val="000000" w:themeColor="text1"/>
          <w:sz w:val="24"/>
          <w:szCs w:val="24"/>
        </w:rPr>
        <w:t xml:space="preserve">6     </w:t>
      </w:r>
      <w:r>
        <w:rPr>
          <w:rFonts w:ascii="Times New Roman" w:hAnsi="Times New Roman" w:cs="Times New Roman"/>
          <w:b/>
          <w:color w:val="000000" w:themeColor="text1"/>
          <w:sz w:val="24"/>
          <w:szCs w:val="24"/>
        </w:rPr>
        <w:t>地下水监测项目、方法依据及仪器型号</w:t>
      </w:r>
    </w:p>
    <w:tbl>
      <w:tblPr>
        <w:tblStyle w:val="27"/>
        <w:tblW w:w="8522"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3"/>
        <w:gridCol w:w="1362"/>
        <w:gridCol w:w="2575"/>
        <w:gridCol w:w="2025"/>
        <w:gridCol w:w="128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91" w:hRule="atLeast"/>
          <w:jc w:val="center"/>
        </w:trPr>
        <w:tc>
          <w:tcPr>
            <w:tcW w:w="1273" w:type="dxa"/>
            <w:tcBorders>
              <w:top w:val="single" w:color="auto" w:sz="4" w:space="0"/>
              <w:left w:val="single" w:color="auto" w:sz="4" w:space="0"/>
              <w:bottom w:val="single" w:color="auto" w:sz="4" w:space="0"/>
              <w:right w:val="single" w:color="auto" w:sz="4" w:space="0"/>
            </w:tcBorders>
            <w:vAlign w:val="center"/>
          </w:tcPr>
          <w:p>
            <w:pPr>
              <w:spacing w:beforeLines="25" w:afterLines="25"/>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检</w:t>
            </w:r>
            <w:r>
              <w:rPr>
                <w:rFonts w:hint="eastAsia" w:ascii="Times New Roman" w:hAnsi="Times New Roman" w:eastAsia="宋体" w:cs="Times New Roman"/>
                <w:color w:val="000000"/>
                <w:szCs w:val="21"/>
              </w:rPr>
              <w:t>测项目</w:t>
            </w:r>
          </w:p>
        </w:tc>
        <w:tc>
          <w:tcPr>
            <w:tcW w:w="136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分析方法</w:t>
            </w:r>
          </w:p>
        </w:tc>
        <w:tc>
          <w:tcPr>
            <w:tcW w:w="25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方法来源</w:t>
            </w:r>
          </w:p>
        </w:tc>
        <w:tc>
          <w:tcPr>
            <w:tcW w:w="2025" w:type="dxa"/>
            <w:tcBorders>
              <w:top w:val="single" w:color="auto" w:sz="4" w:space="0"/>
              <w:left w:val="single" w:color="auto" w:sz="4" w:space="0"/>
              <w:bottom w:val="single" w:color="auto" w:sz="4" w:space="0"/>
              <w:right w:val="single" w:color="auto" w:sz="4" w:space="0"/>
            </w:tcBorders>
            <w:vAlign w:val="center"/>
          </w:tcPr>
          <w:p>
            <w:pPr>
              <w:spacing w:beforeLines="25" w:afterLines="25"/>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仪器设备</w:t>
            </w:r>
          </w:p>
        </w:tc>
        <w:tc>
          <w:tcPr>
            <w:tcW w:w="1287" w:type="dxa"/>
            <w:tcBorders>
              <w:top w:val="single" w:color="auto" w:sz="4" w:space="0"/>
              <w:left w:val="single" w:color="auto" w:sz="4" w:space="0"/>
              <w:bottom w:val="single" w:color="auto" w:sz="4" w:space="0"/>
              <w:right w:val="single" w:color="auto" w:sz="4" w:space="0"/>
            </w:tcBorders>
            <w:vAlign w:val="center"/>
          </w:tcPr>
          <w:p>
            <w:pPr>
              <w:spacing w:beforeLines="25" w:afterLines="25"/>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检出限</w:t>
            </w:r>
            <w:r>
              <w:rPr>
                <w:rFonts w:hint="eastAsia" w:ascii="Times New Roman" w:hAnsi="Times New Roman" w:eastAsia="宋体" w:cs="Times New Roman"/>
                <w:color w:val="000000"/>
                <w:sz w:val="20"/>
                <w:szCs w:val="21"/>
              </w:rPr>
              <w:t>（mg/L）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55" w:hRule="atLeast"/>
          <w:jc w:val="center"/>
        </w:trPr>
        <w:tc>
          <w:tcPr>
            <w:tcW w:w="1273" w:type="dxa"/>
            <w:tcBorders>
              <w:top w:val="single" w:color="auto" w:sz="4" w:space="0"/>
              <w:left w:val="single" w:color="000000" w:sz="6"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铜</w:t>
            </w:r>
          </w:p>
        </w:tc>
        <w:tc>
          <w:tcPr>
            <w:tcW w:w="136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电感耦合等离子体发射光谱法</w:t>
            </w:r>
          </w:p>
        </w:tc>
        <w:tc>
          <w:tcPr>
            <w:tcW w:w="25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color w:val="000000"/>
                <w:szCs w:val="21"/>
              </w:rPr>
              <w:t>生活饮用水标准检验方法 金属指标</w:t>
            </w:r>
            <w:r>
              <w:rPr>
                <w:rFonts w:ascii="Times New Roman" w:hAnsi="Times New Roman" w:eastAsia="宋体" w:cs="Times New Roman"/>
                <w:szCs w:val="21"/>
              </w:rPr>
              <w:t>GB/T</w:t>
            </w:r>
            <w:r>
              <w:rPr>
                <w:rFonts w:hint="eastAsia" w:ascii="Times New Roman" w:hAnsi="Times New Roman" w:eastAsia="宋体" w:cs="Times New Roman"/>
                <w:szCs w:val="21"/>
              </w:rPr>
              <w:t xml:space="preserve"> </w:t>
            </w:r>
            <w:r>
              <w:rPr>
                <w:rFonts w:ascii="Times New Roman" w:hAnsi="Times New Roman" w:eastAsia="宋体" w:cs="Times New Roman"/>
                <w:szCs w:val="21"/>
              </w:rPr>
              <w:t>5750.</w:t>
            </w:r>
            <w:r>
              <w:rPr>
                <w:rFonts w:hint="eastAsia" w:ascii="Times New Roman" w:hAnsi="Times New Roman" w:eastAsia="宋体" w:cs="Times New Roman"/>
                <w:szCs w:val="21"/>
              </w:rPr>
              <w:t>6</w:t>
            </w:r>
            <w:r>
              <w:rPr>
                <w:rFonts w:ascii="Times New Roman" w:hAnsi="Times New Roman" w:eastAsia="宋体" w:cs="Times New Roman"/>
                <w:szCs w:val="21"/>
              </w:rPr>
              <w:t>-2006 4.5</w:t>
            </w:r>
          </w:p>
        </w:tc>
        <w:tc>
          <w:tcPr>
            <w:tcW w:w="20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电感耦合等离子体发射光谱仪（ICP-OES 5110、IE-0170）</w:t>
            </w:r>
          </w:p>
        </w:tc>
        <w:tc>
          <w:tcPr>
            <w:tcW w:w="1287" w:type="dxa"/>
            <w:tcBorders>
              <w:top w:val="single"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0.009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55" w:hRule="atLeast"/>
          <w:jc w:val="center"/>
        </w:trPr>
        <w:tc>
          <w:tcPr>
            <w:tcW w:w="1273" w:type="dxa"/>
            <w:tcBorders>
              <w:top w:val="single" w:color="auto" w:sz="4" w:space="0"/>
              <w:left w:val="single" w:color="000000" w:sz="6"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锌</w:t>
            </w:r>
          </w:p>
        </w:tc>
        <w:tc>
          <w:tcPr>
            <w:tcW w:w="136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电感耦合等离子体发射光谱法</w:t>
            </w:r>
          </w:p>
        </w:tc>
        <w:tc>
          <w:tcPr>
            <w:tcW w:w="25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color w:val="000000"/>
                <w:szCs w:val="21"/>
              </w:rPr>
              <w:t>生活饮用水标准检验方法 金属指标</w:t>
            </w:r>
            <w:r>
              <w:rPr>
                <w:rFonts w:ascii="Times New Roman" w:hAnsi="Times New Roman" w:eastAsia="宋体" w:cs="Times New Roman"/>
                <w:szCs w:val="21"/>
              </w:rPr>
              <w:t>GB/T</w:t>
            </w:r>
            <w:r>
              <w:rPr>
                <w:rFonts w:hint="eastAsia" w:ascii="Times New Roman" w:hAnsi="Times New Roman" w:eastAsia="宋体" w:cs="Times New Roman"/>
                <w:szCs w:val="21"/>
              </w:rPr>
              <w:t xml:space="preserve"> </w:t>
            </w:r>
            <w:r>
              <w:rPr>
                <w:rFonts w:ascii="Times New Roman" w:hAnsi="Times New Roman" w:eastAsia="宋体" w:cs="Times New Roman"/>
                <w:szCs w:val="21"/>
              </w:rPr>
              <w:t>5750.</w:t>
            </w:r>
            <w:r>
              <w:rPr>
                <w:rFonts w:hint="eastAsia" w:ascii="Times New Roman" w:hAnsi="Times New Roman" w:eastAsia="宋体" w:cs="Times New Roman"/>
                <w:szCs w:val="21"/>
              </w:rPr>
              <w:t>6</w:t>
            </w:r>
            <w:r>
              <w:rPr>
                <w:rFonts w:ascii="Times New Roman" w:hAnsi="Times New Roman" w:eastAsia="宋体" w:cs="Times New Roman"/>
                <w:szCs w:val="21"/>
              </w:rPr>
              <w:t>-2006 5.5</w:t>
            </w:r>
          </w:p>
        </w:tc>
        <w:tc>
          <w:tcPr>
            <w:tcW w:w="20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电感耦合等离子体发射光谱仪（ICP-OES 5110、IE-0170）</w:t>
            </w:r>
          </w:p>
        </w:tc>
        <w:tc>
          <w:tcPr>
            <w:tcW w:w="1287" w:type="dxa"/>
            <w:tcBorders>
              <w:top w:val="single"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0.001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55" w:hRule="atLeast"/>
          <w:jc w:val="center"/>
        </w:trPr>
        <w:tc>
          <w:tcPr>
            <w:tcW w:w="1273" w:type="dxa"/>
            <w:tcBorders>
              <w:top w:val="single" w:color="auto" w:sz="4" w:space="0"/>
              <w:left w:val="single" w:color="000000" w:sz="6"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钼</w:t>
            </w:r>
          </w:p>
        </w:tc>
        <w:tc>
          <w:tcPr>
            <w:tcW w:w="136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电感耦合等离子体发射光谱法</w:t>
            </w:r>
          </w:p>
        </w:tc>
        <w:tc>
          <w:tcPr>
            <w:tcW w:w="25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color w:val="000000"/>
                <w:szCs w:val="21"/>
              </w:rPr>
              <w:t>生活饮用水标准检验方法 金属指标</w:t>
            </w:r>
            <w:r>
              <w:rPr>
                <w:rFonts w:ascii="Times New Roman" w:hAnsi="Times New Roman" w:eastAsia="宋体" w:cs="Times New Roman"/>
                <w:szCs w:val="21"/>
              </w:rPr>
              <w:t>GB/T</w:t>
            </w:r>
            <w:r>
              <w:rPr>
                <w:rFonts w:hint="eastAsia" w:ascii="Times New Roman" w:hAnsi="Times New Roman" w:eastAsia="宋体" w:cs="Times New Roman"/>
                <w:szCs w:val="21"/>
              </w:rPr>
              <w:t xml:space="preserve"> </w:t>
            </w:r>
            <w:r>
              <w:rPr>
                <w:rFonts w:ascii="Times New Roman" w:hAnsi="Times New Roman" w:eastAsia="宋体" w:cs="Times New Roman"/>
                <w:szCs w:val="21"/>
              </w:rPr>
              <w:t>5750.</w:t>
            </w:r>
            <w:r>
              <w:rPr>
                <w:rFonts w:hint="eastAsia" w:ascii="Times New Roman" w:hAnsi="Times New Roman" w:eastAsia="宋体" w:cs="Times New Roman"/>
                <w:szCs w:val="21"/>
              </w:rPr>
              <w:t>6</w:t>
            </w:r>
            <w:r>
              <w:rPr>
                <w:rFonts w:ascii="Times New Roman" w:hAnsi="Times New Roman" w:eastAsia="宋体" w:cs="Times New Roman"/>
                <w:szCs w:val="21"/>
              </w:rPr>
              <w:t>-2006 13.2</w:t>
            </w:r>
          </w:p>
        </w:tc>
        <w:tc>
          <w:tcPr>
            <w:tcW w:w="20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电感耦合等离子体发射光谱仪（ICP-OES 5110、IE-0170）</w:t>
            </w:r>
          </w:p>
        </w:tc>
        <w:tc>
          <w:tcPr>
            <w:tcW w:w="1287" w:type="dxa"/>
            <w:tcBorders>
              <w:top w:val="single"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0.008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55" w:hRule="atLeast"/>
          <w:jc w:val="center"/>
        </w:trPr>
        <w:tc>
          <w:tcPr>
            <w:tcW w:w="1273" w:type="dxa"/>
            <w:tcBorders>
              <w:top w:val="single" w:color="auto" w:sz="4" w:space="0"/>
              <w:left w:val="single" w:color="000000" w:sz="6"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硒</w:t>
            </w:r>
          </w:p>
        </w:tc>
        <w:tc>
          <w:tcPr>
            <w:tcW w:w="136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 xml:space="preserve"> 原子荧光法</w:t>
            </w:r>
          </w:p>
        </w:tc>
        <w:tc>
          <w:tcPr>
            <w:tcW w:w="25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pacing w:val="-4"/>
                <w:szCs w:val="21"/>
              </w:rPr>
            </w:pPr>
            <w:r>
              <w:rPr>
                <w:rFonts w:hint="eastAsia" w:ascii="Times New Roman" w:hAnsi="Times New Roman" w:eastAsia="宋体" w:cs="Times New Roman"/>
                <w:color w:val="000000"/>
                <w:spacing w:val="-4"/>
                <w:szCs w:val="21"/>
              </w:rPr>
              <w:t>水质 汞、砷、硒、铋和锑的测定  HJ 694-2014</w:t>
            </w:r>
          </w:p>
        </w:tc>
        <w:tc>
          <w:tcPr>
            <w:tcW w:w="20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 w:val="22"/>
              </w:rPr>
            </w:pPr>
            <w:r>
              <w:rPr>
                <w:rFonts w:hint="eastAsia" w:ascii="Times New Roman" w:hAnsi="Times New Roman" w:eastAsia="宋体" w:cs="Times New Roman"/>
                <w:color w:val="000000"/>
                <w:szCs w:val="21"/>
              </w:rPr>
              <w:t>原子荧光光谱仪（SK-2003A、IE-0023）</w:t>
            </w:r>
          </w:p>
        </w:tc>
        <w:tc>
          <w:tcPr>
            <w:tcW w:w="1287" w:type="dxa"/>
            <w:tcBorders>
              <w:top w:val="single"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.0004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55" w:hRule="atLeast"/>
          <w:jc w:val="center"/>
        </w:trPr>
        <w:tc>
          <w:tcPr>
            <w:tcW w:w="1273" w:type="dxa"/>
            <w:tcBorders>
              <w:top w:val="single" w:color="auto" w:sz="4" w:space="0"/>
              <w:left w:val="single" w:color="000000" w:sz="6"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阴离子表面活性剂/</w:t>
            </w:r>
            <w:r>
              <w:rPr>
                <w:rFonts w:hint="eastAsia" w:ascii="Times New Roman" w:hAnsi="Times New Roman" w:eastAsia="宋体" w:cs="Times New Roman"/>
                <w:szCs w:val="21"/>
              </w:rPr>
              <w:t>阴离子合成洗涤剂</w:t>
            </w:r>
          </w:p>
        </w:tc>
        <w:tc>
          <w:tcPr>
            <w:tcW w:w="136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亚甲蓝分光光度法</w:t>
            </w:r>
          </w:p>
        </w:tc>
        <w:tc>
          <w:tcPr>
            <w:tcW w:w="25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生活饮用水标准检验方法</w:t>
            </w:r>
            <w:r>
              <w:rPr>
                <w:rFonts w:ascii="Times New Roman" w:hAnsi="Times New Roman" w:eastAsia="宋体" w:cs="Times New Roman"/>
                <w:szCs w:val="21"/>
              </w:rPr>
              <w:t xml:space="preserve"> </w:t>
            </w:r>
            <w:r>
              <w:rPr>
                <w:rFonts w:hint="eastAsia" w:ascii="Times New Roman" w:hAnsi="Times New Roman" w:eastAsia="宋体" w:cs="Times New Roman"/>
                <w:szCs w:val="21"/>
              </w:rPr>
              <w:t>感官性状和物理指标</w:t>
            </w:r>
            <w:r>
              <w:rPr>
                <w:rFonts w:ascii="Times New Roman" w:hAnsi="Times New Roman" w:eastAsia="宋体" w:cs="Times New Roman"/>
                <w:szCs w:val="21"/>
              </w:rPr>
              <w:t xml:space="preserve"> GB/T 5750.4-2006 10.1</w:t>
            </w:r>
          </w:p>
        </w:tc>
        <w:tc>
          <w:tcPr>
            <w:tcW w:w="20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紫外可见分光光度计（UV-1800、IE-0067）</w:t>
            </w:r>
          </w:p>
        </w:tc>
        <w:tc>
          <w:tcPr>
            <w:tcW w:w="1287" w:type="dxa"/>
            <w:tcBorders>
              <w:top w:val="single"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79" w:hRule="atLeast"/>
          <w:jc w:val="center"/>
        </w:trPr>
        <w:tc>
          <w:tcPr>
            <w:tcW w:w="1273" w:type="dxa"/>
            <w:tcBorders>
              <w:top w:val="single" w:color="auto" w:sz="4" w:space="0"/>
              <w:left w:val="single" w:color="000000" w:sz="6"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溶解性总固体</w:t>
            </w:r>
          </w:p>
        </w:tc>
        <w:tc>
          <w:tcPr>
            <w:tcW w:w="136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pacing w:val="-4"/>
                <w:szCs w:val="21"/>
              </w:rPr>
              <w:t>称量法</w:t>
            </w:r>
          </w:p>
        </w:tc>
        <w:tc>
          <w:tcPr>
            <w:tcW w:w="25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pacing w:val="-4"/>
                <w:szCs w:val="21"/>
              </w:rPr>
            </w:pPr>
            <w:r>
              <w:rPr>
                <w:rFonts w:hint="eastAsia" w:ascii="Times New Roman" w:hAnsi="Times New Roman" w:eastAsia="宋体" w:cs="Times New Roman"/>
                <w:color w:val="000000"/>
                <w:spacing w:val="-4"/>
                <w:szCs w:val="21"/>
              </w:rPr>
              <w:t>生活饮用水标准检验方法</w:t>
            </w:r>
            <w:r>
              <w:rPr>
                <w:rFonts w:ascii="Times New Roman" w:hAnsi="Times New Roman" w:eastAsia="宋体" w:cs="Times New Roman"/>
                <w:color w:val="000000"/>
                <w:spacing w:val="-4"/>
                <w:szCs w:val="21"/>
              </w:rPr>
              <w:t xml:space="preserve"> </w:t>
            </w:r>
            <w:r>
              <w:rPr>
                <w:rFonts w:hint="eastAsia" w:ascii="Times New Roman" w:hAnsi="Times New Roman" w:eastAsia="宋体" w:cs="Times New Roman"/>
                <w:color w:val="000000"/>
                <w:spacing w:val="-4"/>
                <w:szCs w:val="21"/>
              </w:rPr>
              <w:t>感官性状和物理指标</w:t>
            </w:r>
          </w:p>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GB/T 5750.4-2006 8.1</w:t>
            </w:r>
          </w:p>
        </w:tc>
        <w:tc>
          <w:tcPr>
            <w:tcW w:w="20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电热鼓风干燥箱（GZX-9146、IE-0054）</w:t>
            </w:r>
          </w:p>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分析天平</w:t>
            </w:r>
          </w:p>
          <w:p>
            <w:pPr>
              <w:jc w:val="center"/>
              <w:rPr>
                <w:rFonts w:ascii="宋体" w:hAnsi="宋体" w:eastAsia="宋体" w:cs="宋体"/>
                <w:color w:val="000000"/>
                <w:szCs w:val="21"/>
              </w:rPr>
            </w:pPr>
            <w:r>
              <w:rPr>
                <w:rFonts w:hint="eastAsia" w:ascii="Times New Roman" w:hAnsi="Times New Roman" w:eastAsia="宋体" w:cs="Times New Roman"/>
                <w:color w:val="000000"/>
                <w:szCs w:val="21"/>
              </w:rPr>
              <w:t>（ME204/02、IE-0136）</w:t>
            </w:r>
          </w:p>
        </w:tc>
        <w:tc>
          <w:tcPr>
            <w:tcW w:w="1287" w:type="dxa"/>
            <w:tcBorders>
              <w:top w:val="single"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55" w:hRule="atLeast"/>
          <w:jc w:val="center"/>
        </w:trPr>
        <w:tc>
          <w:tcPr>
            <w:tcW w:w="1273" w:type="dxa"/>
            <w:tcBorders>
              <w:top w:val="single" w:color="auto" w:sz="4" w:space="0"/>
              <w:left w:val="single" w:color="000000" w:sz="6"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耗氧量</w:t>
            </w:r>
          </w:p>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(CODMn法,以O</w:t>
            </w:r>
            <w:r>
              <w:rPr>
                <w:rFonts w:hint="eastAsia" w:ascii="Times New Roman" w:hAnsi="Times New Roman" w:eastAsia="宋体" w:cs="Times New Roman"/>
                <w:color w:val="000000"/>
                <w:szCs w:val="21"/>
                <w:vertAlign w:val="subscript"/>
              </w:rPr>
              <w:t>2</w:t>
            </w:r>
            <w:r>
              <w:rPr>
                <w:rFonts w:hint="eastAsia" w:ascii="Times New Roman" w:hAnsi="Times New Roman" w:eastAsia="宋体" w:cs="Times New Roman"/>
                <w:color w:val="000000"/>
                <w:szCs w:val="21"/>
              </w:rPr>
              <w:t>计)</w:t>
            </w:r>
          </w:p>
        </w:tc>
        <w:tc>
          <w:tcPr>
            <w:tcW w:w="136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 xml:space="preserve"> 酸性高锰酸钾滴定法 </w:t>
            </w:r>
          </w:p>
        </w:tc>
        <w:tc>
          <w:tcPr>
            <w:tcW w:w="25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生活饮用水标准检验方法 有机物综合指标</w:t>
            </w:r>
          </w:p>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GB/T 5750.7-2006 1.1</w:t>
            </w:r>
          </w:p>
        </w:tc>
        <w:tc>
          <w:tcPr>
            <w:tcW w:w="202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滴定管（SB2-1）</w:t>
            </w:r>
          </w:p>
        </w:tc>
        <w:tc>
          <w:tcPr>
            <w:tcW w:w="1287" w:type="dxa"/>
            <w:tcBorders>
              <w:top w:val="single"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55" w:hRule="atLeast"/>
          <w:jc w:val="center"/>
        </w:trPr>
        <w:tc>
          <w:tcPr>
            <w:tcW w:w="1273" w:type="dxa"/>
            <w:tcBorders>
              <w:top w:val="single" w:color="auto" w:sz="4" w:space="0"/>
              <w:left w:val="single" w:color="000000" w:sz="6"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总大肠菌群</w:t>
            </w:r>
          </w:p>
        </w:tc>
        <w:tc>
          <w:tcPr>
            <w:tcW w:w="13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多管发酵法</w:t>
            </w:r>
          </w:p>
        </w:tc>
        <w:tc>
          <w:tcPr>
            <w:tcW w:w="25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生活饮用水标准检验方法</w:t>
            </w:r>
            <w:r>
              <w:rPr>
                <w:rFonts w:ascii="Times New Roman" w:hAnsi="Times New Roman" w:eastAsia="宋体" w:cs="Times New Roman"/>
                <w:color w:val="000000"/>
                <w:szCs w:val="21"/>
              </w:rPr>
              <w:t xml:space="preserve"> </w:t>
            </w:r>
            <w:r>
              <w:rPr>
                <w:rFonts w:hint="eastAsia" w:ascii="Times New Roman" w:hAnsi="Times New Roman" w:eastAsia="宋体" w:cs="Times New Roman"/>
                <w:color w:val="000000"/>
                <w:szCs w:val="21"/>
              </w:rPr>
              <w:t>微生物指标</w:t>
            </w:r>
            <w:r>
              <w:rPr>
                <w:rFonts w:ascii="Times New Roman" w:hAnsi="Times New Roman" w:eastAsia="宋体" w:cs="Times New Roman"/>
                <w:color w:val="000000"/>
                <w:szCs w:val="21"/>
              </w:rPr>
              <w:t xml:space="preserve"> GB/T 5750.12-2006 2.1</w:t>
            </w:r>
          </w:p>
        </w:tc>
        <w:tc>
          <w:tcPr>
            <w:tcW w:w="20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电热恒温培养箱（</w:t>
            </w:r>
            <w:r>
              <w:rPr>
                <w:rFonts w:ascii="Times New Roman" w:hAnsi="Times New Roman" w:eastAsia="宋体" w:cs="Times New Roman"/>
                <w:szCs w:val="21"/>
              </w:rPr>
              <w:t>HPX-9272MBX</w:t>
            </w:r>
            <w:r>
              <w:rPr>
                <w:rFonts w:hint="eastAsia" w:ascii="Times New Roman" w:hAnsi="Times New Roman" w:eastAsia="宋体" w:cs="Times New Roman"/>
                <w:szCs w:val="21"/>
              </w:rPr>
              <w:t>、</w:t>
            </w:r>
            <w:r>
              <w:rPr>
                <w:rFonts w:ascii="Times New Roman" w:hAnsi="Times New Roman" w:eastAsia="宋体" w:cs="Times New Roman"/>
                <w:szCs w:val="21"/>
              </w:rPr>
              <w:t>IE-0051</w:t>
            </w:r>
            <w:r>
              <w:rPr>
                <w:rFonts w:hint="eastAsia" w:ascii="Times New Roman" w:hAnsi="Times New Roman" w:eastAsia="宋体" w:cs="Times New Roman"/>
                <w:szCs w:val="21"/>
              </w:rPr>
              <w:t>）</w:t>
            </w:r>
          </w:p>
        </w:tc>
        <w:tc>
          <w:tcPr>
            <w:tcW w:w="1287" w:type="dxa"/>
            <w:tcBorders>
              <w:top w:val="single"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455" w:hRule="atLeast"/>
          <w:jc w:val="center"/>
        </w:trPr>
        <w:tc>
          <w:tcPr>
            <w:tcW w:w="1273" w:type="dxa"/>
            <w:tcBorders>
              <w:top w:val="single" w:color="auto" w:sz="4" w:space="0"/>
              <w:left w:val="single" w:color="000000" w:sz="6"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菌落总数</w:t>
            </w:r>
          </w:p>
        </w:tc>
        <w:tc>
          <w:tcPr>
            <w:tcW w:w="13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平皿计数法</w:t>
            </w:r>
          </w:p>
        </w:tc>
        <w:tc>
          <w:tcPr>
            <w:tcW w:w="25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生活饮用水标准检验方法</w:t>
            </w:r>
            <w:r>
              <w:rPr>
                <w:rFonts w:ascii="Times New Roman" w:hAnsi="Times New Roman" w:eastAsia="宋体" w:cs="Times New Roman"/>
                <w:szCs w:val="21"/>
              </w:rPr>
              <w:t xml:space="preserve"> </w:t>
            </w:r>
            <w:r>
              <w:rPr>
                <w:rFonts w:hint="eastAsia" w:ascii="Times New Roman" w:hAnsi="Times New Roman" w:eastAsia="宋体" w:cs="Times New Roman"/>
                <w:szCs w:val="21"/>
              </w:rPr>
              <w:t>微生物指标</w:t>
            </w:r>
            <w:r>
              <w:rPr>
                <w:rFonts w:ascii="Times New Roman" w:hAnsi="Times New Roman" w:eastAsia="宋体" w:cs="Times New Roman"/>
                <w:szCs w:val="21"/>
              </w:rPr>
              <w:t xml:space="preserve"> GB/T 5750.12-2006 1</w:t>
            </w:r>
          </w:p>
        </w:tc>
        <w:tc>
          <w:tcPr>
            <w:tcW w:w="202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szCs w:val="21"/>
              </w:rPr>
            </w:pPr>
            <w:r>
              <w:rPr>
                <w:rFonts w:hint="eastAsia" w:ascii="Times New Roman" w:hAnsi="Times New Roman" w:eastAsia="宋体" w:cs="Times New Roman"/>
                <w:szCs w:val="21"/>
              </w:rPr>
              <w:t>电热恒温培养箱（</w:t>
            </w:r>
            <w:r>
              <w:rPr>
                <w:rFonts w:ascii="Times New Roman" w:hAnsi="Times New Roman" w:eastAsia="宋体" w:cs="Times New Roman"/>
                <w:szCs w:val="21"/>
              </w:rPr>
              <w:t>HPX-9272MBX</w:t>
            </w:r>
            <w:r>
              <w:rPr>
                <w:rFonts w:hint="eastAsia" w:ascii="Times New Roman" w:hAnsi="Times New Roman" w:eastAsia="宋体" w:cs="Times New Roman"/>
                <w:szCs w:val="21"/>
              </w:rPr>
              <w:t>、</w:t>
            </w:r>
            <w:r>
              <w:rPr>
                <w:rFonts w:ascii="Times New Roman" w:hAnsi="Times New Roman" w:eastAsia="宋体" w:cs="Times New Roman"/>
                <w:szCs w:val="21"/>
              </w:rPr>
              <w:t>IE-0051</w:t>
            </w:r>
            <w:r>
              <w:rPr>
                <w:rFonts w:hint="eastAsia" w:ascii="Times New Roman" w:hAnsi="Times New Roman" w:eastAsia="宋体" w:cs="Times New Roman"/>
                <w:szCs w:val="21"/>
              </w:rPr>
              <w:t>）</w:t>
            </w:r>
          </w:p>
        </w:tc>
        <w:tc>
          <w:tcPr>
            <w:tcW w:w="1287" w:type="dxa"/>
            <w:tcBorders>
              <w:top w:val="single" w:color="auto" w:sz="4" w:space="0"/>
              <w:left w:val="single" w:color="auto" w:sz="4" w:space="0"/>
              <w:bottom w:val="single" w:color="auto" w:sz="4" w:space="0"/>
              <w:right w:val="single" w:color="000000" w:sz="6"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bl>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Pr>
          <w:rFonts w:hint="eastAsia" w:ascii="Times New Roman" w:hAnsi="Times New Roman" w:cs="Times New Roman"/>
          <w:color w:val="000000" w:themeColor="text1"/>
          <w:sz w:val="24"/>
          <w:szCs w:val="24"/>
        </w:rPr>
        <w:t>监测结果</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地下水环境质量现状监测结果见表4-7。</w:t>
      </w:r>
    </w:p>
    <w:p>
      <w:pPr>
        <w:spacing w:line="360" w:lineRule="auto"/>
        <w:ind w:firstLine="482" w:firstLineChars="200"/>
        <w:jc w:val="center"/>
        <w:rPr>
          <w:rFonts w:ascii="Times New Roman" w:hAnsi="Times New Roman" w:cs="Times New Roman"/>
          <w:b/>
          <w:color w:val="000000" w:themeColor="text1"/>
          <w:sz w:val="24"/>
          <w:szCs w:val="24"/>
        </w:rPr>
      </w:pPr>
    </w:p>
    <w:p>
      <w:pPr>
        <w:spacing w:line="360" w:lineRule="auto"/>
        <w:ind w:firstLine="482" w:firstLineChars="200"/>
        <w:jc w:val="center"/>
        <w:rPr>
          <w:rFonts w:ascii="Times New Roman" w:hAnsi="Times New Roman" w:cs="Times New Roman"/>
          <w:b/>
          <w:color w:val="000000" w:themeColor="text1"/>
          <w:sz w:val="24"/>
          <w:szCs w:val="24"/>
        </w:rPr>
      </w:pPr>
    </w:p>
    <w:p>
      <w:pPr>
        <w:spacing w:line="360" w:lineRule="auto"/>
        <w:ind w:firstLine="482" w:firstLineChars="200"/>
        <w:jc w:val="center"/>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表4-7   地下水环境质量现状监测结果</w:t>
      </w:r>
    </w:p>
    <w:tbl>
      <w:tblPr>
        <w:tblStyle w:val="61"/>
        <w:tblW w:w="8840" w:type="dxa"/>
        <w:jc w:val="center"/>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2"/>
        <w:gridCol w:w="1217"/>
        <w:gridCol w:w="1217"/>
        <w:gridCol w:w="1218"/>
        <w:gridCol w:w="1218"/>
        <w:gridCol w:w="1219"/>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tcPr>
          <w:p>
            <w:pPr>
              <w:tabs>
                <w:tab w:val="left" w:pos="-1260"/>
              </w:tabs>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0"/>
                <w:szCs w:val="21"/>
              </w:rPr>
              <w:pict>
                <v:shape id="_x0000_s1538" o:spid="_x0000_s1538" o:spt="202" type="#_x0000_t202" style="position:absolute;left:0pt;margin-left:33.8pt;margin-top:0.3pt;height:20.25pt;width:40.8pt;z-index:252284928;mso-width-relative:page;mso-height-relative:page;" fillcolor="#FF0000" filled="f" stroked="f" coordsize="21600,21600">
                  <v:path/>
                  <v:fill on="f" opacity="26214f" focussize="0,0"/>
                  <v:stroke on="f" joinstyle="miter"/>
                  <v:imagedata o:title=""/>
                  <o:lock v:ext="edit"/>
                  <v:textbox>
                    <w:txbxContent>
                      <w:p>
                        <w:r>
                          <w:rPr>
                            <w:rFonts w:hint="eastAsia"/>
                          </w:rPr>
                          <w:t>点位</w:t>
                        </w:r>
                      </w:p>
                    </w:txbxContent>
                  </v:textbox>
                </v:shape>
              </w:pict>
            </w:r>
            <w:r>
              <w:rPr>
                <w:rFonts w:ascii="Times New Roman" w:hAnsi="Times New Roman" w:eastAsia="宋体" w:cs="Times New Roman"/>
                <w:kern w:val="0"/>
                <w:sz w:val="20"/>
                <w:szCs w:val="21"/>
              </w:rPr>
              <w:pict>
                <v:shape id="_x0000_s1537" o:spid="_x0000_s1537" o:spt="202" type="#_x0000_t202" style="position:absolute;left:0pt;margin-left:-7pt;margin-top:8.85pt;height:20.25pt;width:40.8pt;z-index:252283904;mso-width-relative:page;mso-height-relative:page;" fillcolor="#FF0000" filled="f" stroked="f" coordsize="21600,21600">
                  <v:path/>
                  <v:fill on="f" opacity="26214f" focussize="0,0"/>
                  <v:stroke on="f" joinstyle="miter"/>
                  <v:imagedata o:title=""/>
                  <o:lock v:ext="edit"/>
                  <v:textbox>
                    <w:txbxContent>
                      <w:p>
                        <w:r>
                          <w:rPr>
                            <w:rFonts w:hint="eastAsia"/>
                          </w:rPr>
                          <w:t>项目</w:t>
                        </w:r>
                      </w:p>
                    </w:txbxContent>
                  </v:textbox>
                </v:shape>
              </w:pict>
            </w:r>
            <w:r>
              <w:rPr>
                <w:rFonts w:ascii="Times New Roman" w:hAnsi="Times New Roman" w:eastAsia="宋体" w:cs="Times New Roman"/>
                <w:kern w:val="0"/>
                <w:sz w:val="20"/>
                <w:szCs w:val="21"/>
              </w:rPr>
              <w:pict>
                <v:shape id="_x0000_s1536" o:spid="_x0000_s1536" o:spt="32" type="#_x0000_t32" style="position:absolute;left:0pt;margin-left:-7pt;margin-top:0.3pt;height:24.45pt;width:61.85pt;z-index:252282880;mso-width-relative:page;mso-height-relative:page;" o:connectortype="straight" filled="f" stroked="t" coordsize="21600,21600">
                  <v:path arrowok="t"/>
                  <v:fill on="f" focussize="0,0"/>
                  <v:stroke color="#000000"/>
                  <v:imagedata o:title=""/>
                  <o:lock v:ext="edit"/>
                </v:shape>
              </w:pict>
            </w:r>
          </w:p>
        </w:tc>
        <w:tc>
          <w:tcPr>
            <w:tcW w:w="2434" w:type="dxa"/>
            <w:gridSpan w:val="2"/>
          </w:tcPr>
          <w:p>
            <w:pPr>
              <w:tabs>
                <w:tab w:val="left" w:pos="-1260"/>
              </w:tabs>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bCs/>
                <w:kern w:val="0"/>
                <w:sz w:val="21"/>
                <w:szCs w:val="21"/>
              </w:rPr>
              <w:t>文景苑小区</w:t>
            </w:r>
            <w:r>
              <w:rPr>
                <w:rFonts w:ascii="Times New Roman" w:hAnsi="Times New Roman" w:eastAsia="宋体" w:cs="Times New Roman"/>
                <w:kern w:val="0"/>
                <w:sz w:val="21"/>
                <w:szCs w:val="21"/>
              </w:rPr>
              <w:t>1</w:t>
            </w:r>
            <w:r>
              <w:rPr>
                <w:rFonts w:ascii="Times New Roman" w:hAnsi="Times New Roman" w:eastAsia="宋体" w:cs="Times New Roman"/>
                <w:kern w:val="0"/>
                <w:sz w:val="21"/>
                <w:szCs w:val="21"/>
                <w:vertAlign w:val="superscript"/>
              </w:rPr>
              <w:t>＃</w:t>
            </w:r>
          </w:p>
        </w:tc>
        <w:tc>
          <w:tcPr>
            <w:tcW w:w="2436" w:type="dxa"/>
            <w:gridSpan w:val="2"/>
          </w:tcPr>
          <w:p>
            <w:pPr>
              <w:tabs>
                <w:tab w:val="left" w:pos="-1260"/>
              </w:tabs>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bCs/>
                <w:kern w:val="0"/>
                <w:sz w:val="21"/>
                <w:szCs w:val="21"/>
              </w:rPr>
              <w:t>项目所在位置</w:t>
            </w:r>
            <w:r>
              <w:rPr>
                <w:rFonts w:ascii="Times New Roman" w:hAnsi="Times New Roman" w:eastAsia="宋体" w:cs="Times New Roman"/>
                <w:kern w:val="0"/>
                <w:sz w:val="21"/>
                <w:szCs w:val="21"/>
              </w:rPr>
              <w:t>2</w:t>
            </w:r>
            <w:r>
              <w:rPr>
                <w:rFonts w:ascii="Times New Roman" w:hAnsi="Times New Roman" w:eastAsia="宋体" w:cs="Times New Roman"/>
                <w:kern w:val="0"/>
                <w:sz w:val="21"/>
                <w:szCs w:val="21"/>
                <w:vertAlign w:val="superscript"/>
              </w:rPr>
              <w:t>＃</w:t>
            </w:r>
          </w:p>
        </w:tc>
        <w:tc>
          <w:tcPr>
            <w:tcW w:w="2438" w:type="dxa"/>
            <w:gridSpan w:val="2"/>
          </w:tcPr>
          <w:p>
            <w:pPr>
              <w:tabs>
                <w:tab w:val="left" w:pos="-1260"/>
              </w:tabs>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bCs/>
                <w:kern w:val="0"/>
                <w:sz w:val="21"/>
                <w:szCs w:val="21"/>
              </w:rPr>
              <w:t>中央司法警官学校</w:t>
            </w:r>
            <w:r>
              <w:rPr>
                <w:rFonts w:ascii="Times New Roman" w:hAnsi="Times New Roman" w:eastAsia="宋体" w:cs="Times New Roman"/>
                <w:kern w:val="0"/>
                <w:sz w:val="21"/>
                <w:szCs w:val="21"/>
              </w:rPr>
              <w:t>3</w:t>
            </w:r>
            <w:r>
              <w:rPr>
                <w:rFonts w:ascii="Times New Roman" w:hAnsi="Times New Roman" w:eastAsia="宋体" w:cs="Times New Roman"/>
                <w:kern w:val="0"/>
                <w:sz w:val="21"/>
                <w:szCs w:val="21"/>
                <w:vertAlign w:val="superscrip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tcPr>
          <w:p>
            <w:pPr>
              <w:tabs>
                <w:tab w:val="left" w:pos="-1260"/>
              </w:tabs>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日期</w:t>
            </w:r>
          </w:p>
        </w:tc>
        <w:tc>
          <w:tcPr>
            <w:tcW w:w="1217" w:type="dxa"/>
          </w:tcPr>
          <w:p>
            <w:pPr>
              <w:tabs>
                <w:tab w:val="left" w:pos="-1260"/>
              </w:tabs>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2019.04.17</w:t>
            </w:r>
          </w:p>
        </w:tc>
        <w:tc>
          <w:tcPr>
            <w:tcW w:w="1217" w:type="dxa"/>
          </w:tcPr>
          <w:p>
            <w:pPr>
              <w:tabs>
                <w:tab w:val="left" w:pos="-1260"/>
              </w:tabs>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2019.04.18</w:t>
            </w:r>
          </w:p>
        </w:tc>
        <w:tc>
          <w:tcPr>
            <w:tcW w:w="1218" w:type="dxa"/>
          </w:tcPr>
          <w:p>
            <w:pPr>
              <w:tabs>
                <w:tab w:val="left" w:pos="-1260"/>
              </w:tabs>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2019.04.17</w:t>
            </w:r>
          </w:p>
        </w:tc>
        <w:tc>
          <w:tcPr>
            <w:tcW w:w="1218" w:type="dxa"/>
          </w:tcPr>
          <w:p>
            <w:pPr>
              <w:tabs>
                <w:tab w:val="left" w:pos="-1260"/>
              </w:tabs>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2019.04.18</w:t>
            </w:r>
          </w:p>
        </w:tc>
        <w:tc>
          <w:tcPr>
            <w:tcW w:w="1219" w:type="dxa"/>
          </w:tcPr>
          <w:p>
            <w:pPr>
              <w:tabs>
                <w:tab w:val="left" w:pos="-1260"/>
              </w:tabs>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2019.04.17</w:t>
            </w:r>
          </w:p>
        </w:tc>
        <w:tc>
          <w:tcPr>
            <w:tcW w:w="1219" w:type="dxa"/>
          </w:tcPr>
          <w:p>
            <w:pPr>
              <w:tabs>
                <w:tab w:val="left" w:pos="-1260"/>
              </w:tabs>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2019.04.18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jc w:val="center"/>
              <w:rPr>
                <w:rFonts w:ascii="Times New Roman" w:hAnsi="Times New Roman" w:eastAsia="宋体" w:cs="Times New Roman"/>
                <w:kern w:val="0"/>
                <w:sz w:val="21"/>
                <w:szCs w:val="21"/>
                <w:vertAlign w:val="superscript"/>
              </w:rPr>
            </w:pPr>
            <w:r>
              <w:rPr>
                <w:rFonts w:ascii="Times New Roman" w:hAnsi="Times New Roman" w:eastAsia="宋体" w:cs="Times New Roman"/>
                <w:kern w:val="0"/>
                <w:sz w:val="21"/>
                <w:szCs w:val="21"/>
              </w:rPr>
              <w:t>K</w:t>
            </w:r>
            <w:r>
              <w:rPr>
                <w:rFonts w:ascii="Times New Roman" w:hAnsi="Times New Roman" w:eastAsia="宋体" w:cs="Times New Roman"/>
                <w:kern w:val="0"/>
                <w:sz w:val="21"/>
                <w:szCs w:val="21"/>
                <w:vertAlign w:val="superscript"/>
              </w:rPr>
              <w:t>+</w:t>
            </w:r>
          </w:p>
          <w:p>
            <w:pPr>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（mg/L）</w:t>
            </w:r>
          </w:p>
        </w:tc>
        <w:tc>
          <w:tcPr>
            <w:tcW w:w="1217"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0.686</w:t>
            </w:r>
          </w:p>
        </w:tc>
        <w:tc>
          <w:tcPr>
            <w:tcW w:w="1217"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0.523</w:t>
            </w:r>
          </w:p>
        </w:tc>
        <w:tc>
          <w:tcPr>
            <w:tcW w:w="1218"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0.444</w:t>
            </w:r>
          </w:p>
        </w:tc>
        <w:tc>
          <w:tcPr>
            <w:tcW w:w="1218"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0.455</w:t>
            </w:r>
          </w:p>
        </w:tc>
        <w:tc>
          <w:tcPr>
            <w:tcW w:w="1219"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1.22</w:t>
            </w:r>
          </w:p>
        </w:tc>
        <w:tc>
          <w:tcPr>
            <w:tcW w:w="1219"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Ca</w:t>
            </w:r>
            <w:r>
              <w:rPr>
                <w:rFonts w:ascii="Times New Roman" w:hAnsi="Times New Roman" w:eastAsia="宋体" w:cs="Times New Roman"/>
                <w:kern w:val="0"/>
                <w:sz w:val="21"/>
                <w:szCs w:val="21"/>
                <w:vertAlign w:val="superscript"/>
              </w:rPr>
              <w:t>2+</w:t>
            </w:r>
            <w:r>
              <w:rPr>
                <w:rFonts w:ascii="Times New Roman" w:hAnsi="Times New Roman" w:eastAsia="宋体" w:cs="Times New Roman"/>
                <w:kern w:val="0"/>
                <w:sz w:val="21"/>
                <w:szCs w:val="21"/>
              </w:rPr>
              <w:t>（</w:t>
            </w:r>
            <w:r>
              <w:rPr>
                <w:rFonts w:ascii="Times New Roman" w:hAnsi="Times New Roman" w:eastAsia="仿宋" w:cs="Times New Roman"/>
                <w:kern w:val="0"/>
                <w:sz w:val="21"/>
                <w:szCs w:val="21"/>
              </w:rPr>
              <w:t>mg/L</w:t>
            </w:r>
            <w:r>
              <w:rPr>
                <w:rFonts w:ascii="Times New Roman" w:hAnsi="Times New Roman" w:eastAsia="宋体" w:cs="Times New Roman"/>
                <w:kern w:val="0"/>
                <w:sz w:val="21"/>
                <w:szCs w:val="21"/>
              </w:rPr>
              <w:t>）</w:t>
            </w:r>
          </w:p>
        </w:tc>
        <w:tc>
          <w:tcPr>
            <w:tcW w:w="1217"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150</w:t>
            </w:r>
          </w:p>
        </w:tc>
        <w:tc>
          <w:tcPr>
            <w:tcW w:w="1217"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149</w:t>
            </w:r>
          </w:p>
        </w:tc>
        <w:tc>
          <w:tcPr>
            <w:tcW w:w="1218"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99.8</w:t>
            </w:r>
          </w:p>
        </w:tc>
        <w:tc>
          <w:tcPr>
            <w:tcW w:w="1218"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99.7</w:t>
            </w:r>
          </w:p>
        </w:tc>
        <w:tc>
          <w:tcPr>
            <w:tcW w:w="1219"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98.0</w:t>
            </w:r>
          </w:p>
        </w:tc>
        <w:tc>
          <w:tcPr>
            <w:tcW w:w="1219"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ind w:firstLine="315" w:firstLineChars="150"/>
              <w:rPr>
                <w:rFonts w:ascii="Times New Roman" w:hAnsi="Times New Roman" w:eastAsia="宋体" w:cs="Times New Roman"/>
                <w:kern w:val="0"/>
                <w:sz w:val="21"/>
                <w:szCs w:val="21"/>
              </w:rPr>
            </w:pPr>
            <w:r>
              <w:rPr>
                <w:rFonts w:ascii="Times New Roman" w:hAnsi="Times New Roman" w:eastAsia="宋体" w:cs="Times New Roman"/>
                <w:kern w:val="0"/>
                <w:sz w:val="21"/>
                <w:szCs w:val="21"/>
              </w:rPr>
              <w:t>Na</w:t>
            </w:r>
            <w:r>
              <w:rPr>
                <w:rFonts w:ascii="Times New Roman" w:hAnsi="Times New Roman" w:eastAsia="宋体" w:cs="Times New Roman"/>
                <w:kern w:val="0"/>
                <w:sz w:val="21"/>
                <w:szCs w:val="21"/>
                <w:vertAlign w:val="superscript"/>
              </w:rPr>
              <w:t>+</w:t>
            </w:r>
            <w:r>
              <w:rPr>
                <w:rFonts w:ascii="Times New Roman" w:hAnsi="Times New Roman" w:eastAsia="宋体" w:cs="Times New Roman"/>
                <w:kern w:val="0"/>
                <w:sz w:val="21"/>
                <w:szCs w:val="21"/>
              </w:rPr>
              <w:t>（mg/L）</w:t>
            </w:r>
          </w:p>
        </w:tc>
        <w:tc>
          <w:tcPr>
            <w:tcW w:w="1217"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87.1</w:t>
            </w:r>
          </w:p>
        </w:tc>
        <w:tc>
          <w:tcPr>
            <w:tcW w:w="1217"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86.7</w:t>
            </w:r>
          </w:p>
        </w:tc>
        <w:tc>
          <w:tcPr>
            <w:tcW w:w="1218"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59.5</w:t>
            </w:r>
          </w:p>
        </w:tc>
        <w:tc>
          <w:tcPr>
            <w:tcW w:w="1218"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58.7</w:t>
            </w:r>
          </w:p>
        </w:tc>
        <w:tc>
          <w:tcPr>
            <w:tcW w:w="1219"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41.0</w:t>
            </w:r>
          </w:p>
        </w:tc>
        <w:tc>
          <w:tcPr>
            <w:tcW w:w="1219"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rPr>
                <w:rFonts w:ascii="Times New Roman" w:hAnsi="Times New Roman" w:eastAsia="宋体" w:cs="Times New Roman"/>
                <w:kern w:val="0"/>
                <w:sz w:val="21"/>
                <w:szCs w:val="21"/>
              </w:rPr>
            </w:pPr>
            <w:r>
              <w:rPr>
                <w:rFonts w:ascii="Times New Roman" w:hAnsi="Times New Roman" w:eastAsia="宋体" w:cs="Times New Roman"/>
                <w:kern w:val="0"/>
                <w:sz w:val="21"/>
                <w:szCs w:val="21"/>
              </w:rPr>
              <w:t>Mg</w:t>
            </w:r>
            <w:r>
              <w:rPr>
                <w:rFonts w:ascii="Times New Roman" w:hAnsi="Times New Roman" w:eastAsia="宋体" w:cs="Times New Roman"/>
                <w:kern w:val="0"/>
                <w:sz w:val="21"/>
                <w:szCs w:val="21"/>
                <w:vertAlign w:val="superscript"/>
              </w:rPr>
              <w:t>2+</w:t>
            </w:r>
            <w:r>
              <w:rPr>
                <w:rFonts w:ascii="Times New Roman" w:hAnsi="Times New Roman" w:eastAsia="宋体" w:cs="Times New Roman"/>
                <w:kern w:val="0"/>
                <w:sz w:val="21"/>
                <w:szCs w:val="21"/>
              </w:rPr>
              <w:t>（mg/L）</w:t>
            </w:r>
          </w:p>
        </w:tc>
        <w:tc>
          <w:tcPr>
            <w:tcW w:w="1217"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93.8</w:t>
            </w:r>
          </w:p>
        </w:tc>
        <w:tc>
          <w:tcPr>
            <w:tcW w:w="1217"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93.1</w:t>
            </w:r>
          </w:p>
        </w:tc>
        <w:tc>
          <w:tcPr>
            <w:tcW w:w="1218"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84.0</w:t>
            </w:r>
          </w:p>
        </w:tc>
        <w:tc>
          <w:tcPr>
            <w:tcW w:w="1218"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84.0</w:t>
            </w:r>
          </w:p>
        </w:tc>
        <w:tc>
          <w:tcPr>
            <w:tcW w:w="1219"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59.5</w:t>
            </w:r>
          </w:p>
        </w:tc>
        <w:tc>
          <w:tcPr>
            <w:tcW w:w="1219"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CO</w:t>
            </w:r>
            <w:r>
              <w:rPr>
                <w:rFonts w:ascii="Times New Roman" w:hAnsi="Times New Roman" w:eastAsia="宋体" w:cs="Times New Roman"/>
                <w:kern w:val="0"/>
                <w:sz w:val="21"/>
                <w:szCs w:val="21"/>
                <w:vertAlign w:val="subscript"/>
              </w:rPr>
              <w:t>3</w:t>
            </w:r>
            <w:r>
              <w:rPr>
                <w:rFonts w:ascii="Times New Roman" w:hAnsi="Times New Roman" w:eastAsia="宋体" w:cs="Times New Roman"/>
                <w:kern w:val="0"/>
                <w:sz w:val="21"/>
                <w:szCs w:val="21"/>
                <w:vertAlign w:val="superscript"/>
              </w:rPr>
              <w:t>2-</w:t>
            </w:r>
            <w:r>
              <w:rPr>
                <w:rFonts w:ascii="Times New Roman" w:hAnsi="Times New Roman" w:eastAsia="宋体" w:cs="Times New Roman"/>
                <w:kern w:val="0"/>
                <w:sz w:val="21"/>
                <w:szCs w:val="21"/>
              </w:rPr>
              <w:t>（mg/L）</w:t>
            </w:r>
          </w:p>
        </w:tc>
        <w:tc>
          <w:tcPr>
            <w:tcW w:w="1217"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0</w:t>
            </w:r>
          </w:p>
        </w:tc>
        <w:tc>
          <w:tcPr>
            <w:tcW w:w="1217"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0</w:t>
            </w:r>
          </w:p>
        </w:tc>
        <w:tc>
          <w:tcPr>
            <w:tcW w:w="1218"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0</w:t>
            </w:r>
          </w:p>
        </w:tc>
        <w:tc>
          <w:tcPr>
            <w:tcW w:w="1218"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0</w:t>
            </w:r>
          </w:p>
        </w:tc>
        <w:tc>
          <w:tcPr>
            <w:tcW w:w="1219"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0</w:t>
            </w:r>
          </w:p>
        </w:tc>
        <w:tc>
          <w:tcPr>
            <w:tcW w:w="1219"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ind w:firstLine="210" w:firstLineChars="100"/>
              <w:rPr>
                <w:rFonts w:ascii="Times New Roman" w:hAnsi="Times New Roman" w:eastAsia="宋体" w:cs="Times New Roman"/>
                <w:kern w:val="0"/>
                <w:sz w:val="21"/>
                <w:szCs w:val="21"/>
              </w:rPr>
            </w:pPr>
            <w:r>
              <w:rPr>
                <w:rFonts w:ascii="Times New Roman" w:hAnsi="Times New Roman" w:eastAsia="宋体" w:cs="Times New Roman"/>
                <w:kern w:val="0"/>
                <w:sz w:val="21"/>
                <w:szCs w:val="21"/>
              </w:rPr>
              <w:t>HCO</w:t>
            </w:r>
            <w:r>
              <w:rPr>
                <w:rFonts w:ascii="Times New Roman" w:hAnsi="Times New Roman" w:eastAsia="宋体" w:cs="Times New Roman"/>
                <w:kern w:val="0"/>
                <w:sz w:val="21"/>
                <w:szCs w:val="21"/>
                <w:vertAlign w:val="subscript"/>
              </w:rPr>
              <w:t>3</w:t>
            </w:r>
            <w:r>
              <w:rPr>
                <w:rFonts w:ascii="Times New Roman" w:hAnsi="Times New Roman" w:eastAsia="宋体" w:cs="Times New Roman"/>
                <w:kern w:val="0"/>
                <w:sz w:val="21"/>
                <w:szCs w:val="21"/>
                <w:vertAlign w:val="superscript"/>
              </w:rPr>
              <w:t>-</w:t>
            </w:r>
            <w:r>
              <w:rPr>
                <w:rFonts w:ascii="Times New Roman" w:hAnsi="Times New Roman" w:eastAsia="宋体" w:cs="Times New Roman"/>
                <w:kern w:val="0"/>
                <w:sz w:val="21"/>
                <w:szCs w:val="21"/>
              </w:rPr>
              <w:t>（mg/L）</w:t>
            </w:r>
          </w:p>
        </w:tc>
        <w:tc>
          <w:tcPr>
            <w:tcW w:w="1217"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583</w:t>
            </w:r>
          </w:p>
        </w:tc>
        <w:tc>
          <w:tcPr>
            <w:tcW w:w="1217"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583</w:t>
            </w:r>
          </w:p>
        </w:tc>
        <w:tc>
          <w:tcPr>
            <w:tcW w:w="1218"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558</w:t>
            </w:r>
          </w:p>
        </w:tc>
        <w:tc>
          <w:tcPr>
            <w:tcW w:w="1218"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562</w:t>
            </w:r>
          </w:p>
        </w:tc>
        <w:tc>
          <w:tcPr>
            <w:tcW w:w="1219"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471</w:t>
            </w:r>
          </w:p>
        </w:tc>
        <w:tc>
          <w:tcPr>
            <w:tcW w:w="1219"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jc w:val="center"/>
              <w:rPr>
                <w:rFonts w:ascii="Times New Roman" w:hAnsi="Times New Roman" w:eastAsia="宋体" w:cs="Times New Roman"/>
                <w:kern w:val="0"/>
                <w:sz w:val="21"/>
                <w:szCs w:val="21"/>
                <w:vertAlign w:val="superscript"/>
              </w:rPr>
            </w:pPr>
            <w:r>
              <w:rPr>
                <w:rFonts w:ascii="Times New Roman" w:hAnsi="Times New Roman" w:eastAsia="宋体" w:cs="Times New Roman"/>
                <w:kern w:val="0"/>
                <w:sz w:val="21"/>
                <w:szCs w:val="21"/>
              </w:rPr>
              <w:t>Cl</w:t>
            </w:r>
            <w:r>
              <w:rPr>
                <w:rFonts w:ascii="Times New Roman" w:hAnsi="Times New Roman" w:eastAsia="宋体" w:cs="Times New Roman"/>
                <w:kern w:val="0"/>
                <w:sz w:val="21"/>
                <w:szCs w:val="21"/>
                <w:vertAlign w:val="superscript"/>
              </w:rPr>
              <w:t>-</w:t>
            </w:r>
            <w:r>
              <w:rPr>
                <w:rFonts w:ascii="Times New Roman" w:hAnsi="Times New Roman" w:eastAsia="宋体" w:cs="Times New Roman"/>
                <w:kern w:val="0"/>
                <w:sz w:val="21"/>
                <w:szCs w:val="21"/>
              </w:rPr>
              <w:t>（mg/L）</w:t>
            </w:r>
          </w:p>
        </w:tc>
        <w:tc>
          <w:tcPr>
            <w:tcW w:w="1217"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143</w:t>
            </w:r>
          </w:p>
        </w:tc>
        <w:tc>
          <w:tcPr>
            <w:tcW w:w="1217"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140</w:t>
            </w:r>
          </w:p>
        </w:tc>
        <w:tc>
          <w:tcPr>
            <w:tcW w:w="1218"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78.3</w:t>
            </w:r>
          </w:p>
        </w:tc>
        <w:tc>
          <w:tcPr>
            <w:tcW w:w="1218"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78.7</w:t>
            </w:r>
          </w:p>
        </w:tc>
        <w:tc>
          <w:tcPr>
            <w:tcW w:w="1219"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59.3</w:t>
            </w:r>
          </w:p>
        </w:tc>
        <w:tc>
          <w:tcPr>
            <w:tcW w:w="1219"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SO</w:t>
            </w:r>
            <w:r>
              <w:rPr>
                <w:rFonts w:ascii="Times New Roman" w:hAnsi="Times New Roman" w:eastAsia="宋体" w:cs="Times New Roman"/>
                <w:color w:val="000000"/>
                <w:kern w:val="0"/>
                <w:sz w:val="21"/>
                <w:szCs w:val="21"/>
                <w:vertAlign w:val="subscript"/>
              </w:rPr>
              <w:t>4</w:t>
            </w:r>
            <w:r>
              <w:rPr>
                <w:rFonts w:ascii="Times New Roman" w:hAnsi="Times New Roman" w:eastAsia="宋体" w:cs="Times New Roman"/>
                <w:color w:val="000000"/>
                <w:kern w:val="0"/>
                <w:sz w:val="21"/>
                <w:szCs w:val="21"/>
                <w:vertAlign w:val="superscript"/>
              </w:rPr>
              <w:t>2-</w:t>
            </w:r>
            <w:r>
              <w:rPr>
                <w:rFonts w:ascii="Times New Roman" w:hAnsi="Times New Roman" w:eastAsia="宋体" w:cs="Times New Roman"/>
                <w:kern w:val="0"/>
                <w:sz w:val="21"/>
                <w:szCs w:val="21"/>
              </w:rPr>
              <w:t>（mg/L）</w:t>
            </w:r>
          </w:p>
        </w:tc>
        <w:tc>
          <w:tcPr>
            <w:tcW w:w="1217"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109</w:t>
            </w:r>
          </w:p>
        </w:tc>
        <w:tc>
          <w:tcPr>
            <w:tcW w:w="1217"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110</w:t>
            </w:r>
          </w:p>
        </w:tc>
        <w:tc>
          <w:tcPr>
            <w:tcW w:w="1218"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63.6</w:t>
            </w:r>
          </w:p>
        </w:tc>
        <w:tc>
          <w:tcPr>
            <w:tcW w:w="1218"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63.6</w:t>
            </w:r>
          </w:p>
        </w:tc>
        <w:tc>
          <w:tcPr>
            <w:tcW w:w="1219"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47.5</w:t>
            </w:r>
          </w:p>
        </w:tc>
        <w:tc>
          <w:tcPr>
            <w:tcW w:w="1219"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pH（无量纲）</w:t>
            </w:r>
          </w:p>
        </w:tc>
        <w:tc>
          <w:tcPr>
            <w:tcW w:w="1217"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7.38</w:t>
            </w:r>
          </w:p>
        </w:tc>
        <w:tc>
          <w:tcPr>
            <w:tcW w:w="1217"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7.37</w:t>
            </w:r>
          </w:p>
        </w:tc>
        <w:tc>
          <w:tcPr>
            <w:tcW w:w="1218"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7.46</w:t>
            </w:r>
          </w:p>
        </w:tc>
        <w:tc>
          <w:tcPr>
            <w:tcW w:w="1218"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7.45</w:t>
            </w:r>
          </w:p>
        </w:tc>
        <w:tc>
          <w:tcPr>
            <w:tcW w:w="1219"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7.50</w:t>
            </w:r>
          </w:p>
        </w:tc>
        <w:tc>
          <w:tcPr>
            <w:tcW w:w="1219"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氨氮</w:t>
            </w:r>
          </w:p>
          <w:p>
            <w:pPr>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（以N计）（mg/L）</w:t>
            </w:r>
          </w:p>
        </w:tc>
        <w:tc>
          <w:tcPr>
            <w:tcW w:w="1217"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未检出</w:t>
            </w:r>
          </w:p>
        </w:tc>
        <w:tc>
          <w:tcPr>
            <w:tcW w:w="1217"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未检出</w:t>
            </w:r>
          </w:p>
        </w:tc>
        <w:tc>
          <w:tcPr>
            <w:tcW w:w="1218"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未检出</w:t>
            </w:r>
          </w:p>
        </w:tc>
        <w:tc>
          <w:tcPr>
            <w:tcW w:w="1218"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未检出</w:t>
            </w:r>
          </w:p>
        </w:tc>
        <w:tc>
          <w:tcPr>
            <w:tcW w:w="1219"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未检出</w:t>
            </w:r>
          </w:p>
        </w:tc>
        <w:tc>
          <w:tcPr>
            <w:tcW w:w="1219"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硫化物（mg/L）</w:t>
            </w:r>
          </w:p>
        </w:tc>
        <w:tc>
          <w:tcPr>
            <w:tcW w:w="1217"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未检出</w:t>
            </w:r>
          </w:p>
        </w:tc>
        <w:tc>
          <w:tcPr>
            <w:tcW w:w="1217"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未检出</w:t>
            </w:r>
          </w:p>
        </w:tc>
        <w:tc>
          <w:tcPr>
            <w:tcW w:w="1218"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未检出</w:t>
            </w:r>
          </w:p>
        </w:tc>
        <w:tc>
          <w:tcPr>
            <w:tcW w:w="1218"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未检出</w:t>
            </w:r>
          </w:p>
        </w:tc>
        <w:tc>
          <w:tcPr>
            <w:tcW w:w="1219"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未检出</w:t>
            </w:r>
          </w:p>
        </w:tc>
        <w:tc>
          <w:tcPr>
            <w:tcW w:w="1219"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硝酸盐</w:t>
            </w:r>
          </w:p>
          <w:p>
            <w:pPr>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（以N计）（mg/L）</w:t>
            </w:r>
          </w:p>
        </w:tc>
        <w:tc>
          <w:tcPr>
            <w:tcW w:w="1217"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15.1</w:t>
            </w:r>
          </w:p>
        </w:tc>
        <w:tc>
          <w:tcPr>
            <w:tcW w:w="1217"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15.2</w:t>
            </w:r>
          </w:p>
        </w:tc>
        <w:tc>
          <w:tcPr>
            <w:tcW w:w="1218"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9.86</w:t>
            </w:r>
          </w:p>
        </w:tc>
        <w:tc>
          <w:tcPr>
            <w:tcW w:w="1218"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9.77</w:t>
            </w:r>
          </w:p>
        </w:tc>
        <w:tc>
          <w:tcPr>
            <w:tcW w:w="1219"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8.90</w:t>
            </w:r>
          </w:p>
        </w:tc>
        <w:tc>
          <w:tcPr>
            <w:tcW w:w="1219"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亚硝酸盐</w:t>
            </w:r>
          </w:p>
          <w:p>
            <w:pPr>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（以N计）</w:t>
            </w:r>
          </w:p>
          <w:p>
            <w:pPr>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（mg/L）</w:t>
            </w:r>
          </w:p>
        </w:tc>
        <w:tc>
          <w:tcPr>
            <w:tcW w:w="1217"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0.003</w:t>
            </w:r>
          </w:p>
        </w:tc>
        <w:tc>
          <w:tcPr>
            <w:tcW w:w="1217"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0.003</w:t>
            </w:r>
          </w:p>
        </w:tc>
        <w:tc>
          <w:tcPr>
            <w:tcW w:w="1218"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0.016</w:t>
            </w:r>
          </w:p>
        </w:tc>
        <w:tc>
          <w:tcPr>
            <w:tcW w:w="1218"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0.013</w:t>
            </w:r>
          </w:p>
        </w:tc>
        <w:tc>
          <w:tcPr>
            <w:tcW w:w="1219"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c>
          <w:tcPr>
            <w:tcW w:w="1219"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ind w:firstLine="105" w:firstLineChars="50"/>
              <w:rPr>
                <w:rFonts w:ascii="Times New Roman" w:hAnsi="Times New Roman" w:eastAsia="宋体" w:cs="Times New Roman"/>
                <w:kern w:val="0"/>
                <w:sz w:val="21"/>
                <w:szCs w:val="21"/>
              </w:rPr>
            </w:pPr>
            <w:r>
              <w:rPr>
                <w:rFonts w:ascii="Times New Roman" w:hAnsi="Times New Roman" w:eastAsia="宋体" w:cs="Times New Roman"/>
                <w:kern w:val="0"/>
                <w:sz w:val="21"/>
                <w:szCs w:val="21"/>
              </w:rPr>
              <w:t>挥发性酚类</w:t>
            </w:r>
          </w:p>
          <w:p>
            <w:pPr>
              <w:spacing w:line="240" w:lineRule="exact"/>
              <w:ind w:left="210" w:leftChars="50" w:hanging="105" w:hangingChars="50"/>
              <w:rPr>
                <w:rFonts w:ascii="Times New Roman" w:hAnsi="Times New Roman" w:eastAsia="宋体" w:cs="Times New Roman"/>
                <w:kern w:val="0"/>
                <w:sz w:val="21"/>
                <w:szCs w:val="21"/>
              </w:rPr>
            </w:pPr>
            <w:r>
              <w:rPr>
                <w:rFonts w:ascii="Times New Roman" w:hAnsi="Times New Roman" w:eastAsia="宋体" w:cs="Times New Roman"/>
                <w:kern w:val="0"/>
                <w:sz w:val="21"/>
                <w:szCs w:val="21"/>
              </w:rPr>
              <w:t>（以苯酚计）（mg/L）</w:t>
            </w:r>
          </w:p>
        </w:tc>
        <w:tc>
          <w:tcPr>
            <w:tcW w:w="1217"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未检出</w:t>
            </w:r>
          </w:p>
        </w:tc>
        <w:tc>
          <w:tcPr>
            <w:tcW w:w="1217"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未检出</w:t>
            </w:r>
          </w:p>
        </w:tc>
        <w:tc>
          <w:tcPr>
            <w:tcW w:w="1218"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c>
          <w:tcPr>
            <w:tcW w:w="1218"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c>
          <w:tcPr>
            <w:tcW w:w="1219"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c>
          <w:tcPr>
            <w:tcW w:w="1219"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氰化物（mg/L）</w:t>
            </w:r>
          </w:p>
        </w:tc>
        <w:tc>
          <w:tcPr>
            <w:tcW w:w="1217"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未检出</w:t>
            </w:r>
          </w:p>
        </w:tc>
        <w:tc>
          <w:tcPr>
            <w:tcW w:w="1217"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未检出</w:t>
            </w:r>
          </w:p>
        </w:tc>
        <w:tc>
          <w:tcPr>
            <w:tcW w:w="1218"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c>
          <w:tcPr>
            <w:tcW w:w="1218"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c>
          <w:tcPr>
            <w:tcW w:w="1219"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c>
          <w:tcPr>
            <w:tcW w:w="1219"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jc w:val="center"/>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砷</w:t>
            </w:r>
            <w:r>
              <w:rPr>
                <w:rFonts w:ascii="Times New Roman" w:hAnsi="Times New Roman" w:eastAsia="宋体" w:cs="Times New Roman"/>
                <w:kern w:val="0"/>
                <w:sz w:val="21"/>
                <w:szCs w:val="21"/>
              </w:rPr>
              <w:t>（mg/L）</w:t>
            </w:r>
          </w:p>
        </w:tc>
        <w:tc>
          <w:tcPr>
            <w:tcW w:w="1217"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未检出</w:t>
            </w:r>
          </w:p>
        </w:tc>
        <w:tc>
          <w:tcPr>
            <w:tcW w:w="1217"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未检出</w:t>
            </w:r>
          </w:p>
        </w:tc>
        <w:tc>
          <w:tcPr>
            <w:tcW w:w="1218"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c>
          <w:tcPr>
            <w:tcW w:w="1218"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c>
          <w:tcPr>
            <w:tcW w:w="1219"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c>
          <w:tcPr>
            <w:tcW w:w="1219"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汞（mg/L）</w:t>
            </w:r>
          </w:p>
        </w:tc>
        <w:tc>
          <w:tcPr>
            <w:tcW w:w="1217"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未检出</w:t>
            </w:r>
          </w:p>
        </w:tc>
        <w:tc>
          <w:tcPr>
            <w:tcW w:w="1217"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未检出</w:t>
            </w:r>
          </w:p>
        </w:tc>
        <w:tc>
          <w:tcPr>
            <w:tcW w:w="1218"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c>
          <w:tcPr>
            <w:tcW w:w="1218"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c>
          <w:tcPr>
            <w:tcW w:w="1219"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c>
          <w:tcPr>
            <w:tcW w:w="1219"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铬（mg/L）</w:t>
            </w:r>
          </w:p>
        </w:tc>
        <w:tc>
          <w:tcPr>
            <w:tcW w:w="1217"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未检出</w:t>
            </w:r>
          </w:p>
        </w:tc>
        <w:tc>
          <w:tcPr>
            <w:tcW w:w="1217"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未检出</w:t>
            </w:r>
          </w:p>
        </w:tc>
        <w:tc>
          <w:tcPr>
            <w:tcW w:w="1218"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c>
          <w:tcPr>
            <w:tcW w:w="1218"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c>
          <w:tcPr>
            <w:tcW w:w="1219"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c>
          <w:tcPr>
            <w:tcW w:w="1219"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总硬度（以CaCO</w:t>
            </w:r>
            <w:r>
              <w:rPr>
                <w:rFonts w:ascii="Times New Roman" w:hAnsi="Times New Roman" w:eastAsia="宋体" w:cs="Times New Roman"/>
                <w:kern w:val="0"/>
                <w:sz w:val="21"/>
                <w:szCs w:val="21"/>
                <w:vertAlign w:val="subscript"/>
              </w:rPr>
              <w:t>3</w:t>
            </w:r>
            <w:r>
              <w:rPr>
                <w:rFonts w:ascii="Times New Roman" w:hAnsi="Times New Roman" w:eastAsia="宋体" w:cs="Times New Roman"/>
                <w:kern w:val="0"/>
                <w:sz w:val="21"/>
                <w:szCs w:val="21"/>
              </w:rPr>
              <w:t>计）（mg/L）</w:t>
            </w:r>
          </w:p>
        </w:tc>
        <w:tc>
          <w:tcPr>
            <w:tcW w:w="1217"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772</w:t>
            </w:r>
          </w:p>
        </w:tc>
        <w:tc>
          <w:tcPr>
            <w:tcW w:w="1217"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769</w:t>
            </w:r>
          </w:p>
        </w:tc>
        <w:tc>
          <w:tcPr>
            <w:tcW w:w="1218"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596</w:t>
            </w:r>
          </w:p>
        </w:tc>
        <w:tc>
          <w:tcPr>
            <w:tcW w:w="1218"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597</w:t>
            </w:r>
          </w:p>
        </w:tc>
        <w:tc>
          <w:tcPr>
            <w:tcW w:w="1219"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498</w:t>
            </w:r>
          </w:p>
        </w:tc>
        <w:tc>
          <w:tcPr>
            <w:tcW w:w="1219"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铅（mg/L）</w:t>
            </w:r>
          </w:p>
        </w:tc>
        <w:tc>
          <w:tcPr>
            <w:tcW w:w="1217"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未检出</w:t>
            </w:r>
          </w:p>
        </w:tc>
        <w:tc>
          <w:tcPr>
            <w:tcW w:w="1217"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未检出</w:t>
            </w:r>
          </w:p>
        </w:tc>
        <w:tc>
          <w:tcPr>
            <w:tcW w:w="1218"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c>
          <w:tcPr>
            <w:tcW w:w="1218"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c>
          <w:tcPr>
            <w:tcW w:w="1219"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c>
          <w:tcPr>
            <w:tcW w:w="1219"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氟化物（mg/L）</w:t>
            </w:r>
          </w:p>
        </w:tc>
        <w:tc>
          <w:tcPr>
            <w:tcW w:w="1217"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0.29</w:t>
            </w:r>
          </w:p>
        </w:tc>
        <w:tc>
          <w:tcPr>
            <w:tcW w:w="1217"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0.31</w:t>
            </w:r>
          </w:p>
        </w:tc>
        <w:tc>
          <w:tcPr>
            <w:tcW w:w="1218"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0.37</w:t>
            </w:r>
          </w:p>
        </w:tc>
        <w:tc>
          <w:tcPr>
            <w:tcW w:w="1218"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0.44</w:t>
            </w:r>
          </w:p>
        </w:tc>
        <w:tc>
          <w:tcPr>
            <w:tcW w:w="1219"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0.15</w:t>
            </w:r>
          </w:p>
        </w:tc>
        <w:tc>
          <w:tcPr>
            <w:tcW w:w="1219"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碘化物（mg/L）</w:t>
            </w:r>
          </w:p>
        </w:tc>
        <w:tc>
          <w:tcPr>
            <w:tcW w:w="1217"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未检出</w:t>
            </w:r>
          </w:p>
        </w:tc>
        <w:tc>
          <w:tcPr>
            <w:tcW w:w="1217"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未检出</w:t>
            </w:r>
          </w:p>
        </w:tc>
        <w:tc>
          <w:tcPr>
            <w:tcW w:w="1218"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c>
          <w:tcPr>
            <w:tcW w:w="1218"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c>
          <w:tcPr>
            <w:tcW w:w="1219"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c>
          <w:tcPr>
            <w:tcW w:w="1219"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镉（mg/L）</w:t>
            </w:r>
          </w:p>
        </w:tc>
        <w:tc>
          <w:tcPr>
            <w:tcW w:w="1217"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未检出</w:t>
            </w:r>
          </w:p>
        </w:tc>
        <w:tc>
          <w:tcPr>
            <w:tcW w:w="1217"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未检出</w:t>
            </w:r>
          </w:p>
        </w:tc>
        <w:tc>
          <w:tcPr>
            <w:tcW w:w="1218"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c>
          <w:tcPr>
            <w:tcW w:w="1218"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c>
          <w:tcPr>
            <w:tcW w:w="1219"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c>
          <w:tcPr>
            <w:tcW w:w="1219"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铁（mg/L）</w:t>
            </w:r>
          </w:p>
        </w:tc>
        <w:tc>
          <w:tcPr>
            <w:tcW w:w="1217"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未检出</w:t>
            </w:r>
          </w:p>
        </w:tc>
        <w:tc>
          <w:tcPr>
            <w:tcW w:w="1217"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未检出</w:t>
            </w:r>
          </w:p>
        </w:tc>
        <w:tc>
          <w:tcPr>
            <w:tcW w:w="1218"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未检出</w:t>
            </w:r>
          </w:p>
        </w:tc>
        <w:tc>
          <w:tcPr>
            <w:tcW w:w="1218"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未检出</w:t>
            </w:r>
          </w:p>
        </w:tc>
        <w:tc>
          <w:tcPr>
            <w:tcW w:w="1219"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未检出</w:t>
            </w:r>
          </w:p>
        </w:tc>
        <w:tc>
          <w:tcPr>
            <w:tcW w:w="1219"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锰（mg/L）</w:t>
            </w:r>
          </w:p>
        </w:tc>
        <w:tc>
          <w:tcPr>
            <w:tcW w:w="1217"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0.0158</w:t>
            </w:r>
          </w:p>
        </w:tc>
        <w:tc>
          <w:tcPr>
            <w:tcW w:w="1217"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0.0135</w:t>
            </w:r>
          </w:p>
        </w:tc>
        <w:tc>
          <w:tcPr>
            <w:tcW w:w="1218"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0.0218</w:t>
            </w:r>
          </w:p>
        </w:tc>
        <w:tc>
          <w:tcPr>
            <w:tcW w:w="1218"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0.0324</w:t>
            </w:r>
          </w:p>
        </w:tc>
        <w:tc>
          <w:tcPr>
            <w:tcW w:w="1219"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 xml:space="preserve">未检出 </w:t>
            </w:r>
          </w:p>
        </w:tc>
        <w:tc>
          <w:tcPr>
            <w:tcW w:w="1219"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 xml:space="preserve">未检出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铜（mg/L）</w:t>
            </w:r>
          </w:p>
        </w:tc>
        <w:tc>
          <w:tcPr>
            <w:tcW w:w="1217"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未检出</w:t>
            </w:r>
          </w:p>
        </w:tc>
        <w:tc>
          <w:tcPr>
            <w:tcW w:w="1217"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未检出</w:t>
            </w:r>
          </w:p>
        </w:tc>
        <w:tc>
          <w:tcPr>
            <w:tcW w:w="1218"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未检出</w:t>
            </w:r>
          </w:p>
        </w:tc>
        <w:tc>
          <w:tcPr>
            <w:tcW w:w="1218"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未检出</w:t>
            </w:r>
          </w:p>
        </w:tc>
        <w:tc>
          <w:tcPr>
            <w:tcW w:w="1219"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c>
          <w:tcPr>
            <w:tcW w:w="1219"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锌（mg/L）</w:t>
            </w:r>
          </w:p>
        </w:tc>
        <w:tc>
          <w:tcPr>
            <w:tcW w:w="1217"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 xml:space="preserve">未检出 </w:t>
            </w:r>
          </w:p>
        </w:tc>
        <w:tc>
          <w:tcPr>
            <w:tcW w:w="1217"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 xml:space="preserve">未检出 </w:t>
            </w:r>
          </w:p>
        </w:tc>
        <w:tc>
          <w:tcPr>
            <w:tcW w:w="1218"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未检出</w:t>
            </w:r>
          </w:p>
        </w:tc>
        <w:tc>
          <w:tcPr>
            <w:tcW w:w="1218"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未检出</w:t>
            </w:r>
          </w:p>
        </w:tc>
        <w:tc>
          <w:tcPr>
            <w:tcW w:w="1219"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未检出</w:t>
            </w:r>
          </w:p>
        </w:tc>
        <w:tc>
          <w:tcPr>
            <w:tcW w:w="1219"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钼（mg/L）</w:t>
            </w:r>
          </w:p>
        </w:tc>
        <w:tc>
          <w:tcPr>
            <w:tcW w:w="1217"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未检出</w:t>
            </w:r>
          </w:p>
        </w:tc>
        <w:tc>
          <w:tcPr>
            <w:tcW w:w="1217"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未检出</w:t>
            </w:r>
          </w:p>
        </w:tc>
        <w:tc>
          <w:tcPr>
            <w:tcW w:w="1218"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c>
          <w:tcPr>
            <w:tcW w:w="1218"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c>
          <w:tcPr>
            <w:tcW w:w="1219"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 xml:space="preserve">未检出 </w:t>
            </w:r>
          </w:p>
        </w:tc>
        <w:tc>
          <w:tcPr>
            <w:tcW w:w="1219"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 xml:space="preserve">未检出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硒（mg/L）</w:t>
            </w:r>
          </w:p>
        </w:tc>
        <w:tc>
          <w:tcPr>
            <w:tcW w:w="1217"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0.0026</w:t>
            </w:r>
          </w:p>
        </w:tc>
        <w:tc>
          <w:tcPr>
            <w:tcW w:w="1217"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0.0026</w:t>
            </w:r>
          </w:p>
        </w:tc>
        <w:tc>
          <w:tcPr>
            <w:tcW w:w="1218"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0.0016</w:t>
            </w:r>
          </w:p>
        </w:tc>
        <w:tc>
          <w:tcPr>
            <w:tcW w:w="1218"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0.0016</w:t>
            </w:r>
          </w:p>
        </w:tc>
        <w:tc>
          <w:tcPr>
            <w:tcW w:w="1219"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0.0015</w:t>
            </w:r>
          </w:p>
        </w:tc>
        <w:tc>
          <w:tcPr>
            <w:tcW w:w="1219" w:type="dxa"/>
            <w:vAlign w:val="center"/>
          </w:tcPr>
          <w:p>
            <w:pPr>
              <w:spacing w:line="240" w:lineRule="exact"/>
              <w:jc w:val="center"/>
              <w:rPr>
                <w:rFonts w:ascii="Times New Roman" w:hAnsi="Times New Roman" w:cs="Times New Roman" w:eastAsiaTheme="majorEastAsia"/>
                <w:color w:val="000000"/>
                <w:kern w:val="0"/>
                <w:sz w:val="21"/>
                <w:szCs w:val="21"/>
              </w:rPr>
            </w:pPr>
            <w:r>
              <w:rPr>
                <w:rFonts w:ascii="Times New Roman" w:hAnsi="Times New Roman" w:cs="Times New Roman" w:eastAsiaTheme="majorEastAsia"/>
                <w:color w:val="000000"/>
                <w:kern w:val="0"/>
                <w:sz w:val="21"/>
                <w:szCs w:val="21"/>
              </w:rPr>
              <w:t>0.0016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阴离子表面活性剂（mg/L）</w:t>
            </w:r>
          </w:p>
        </w:tc>
        <w:tc>
          <w:tcPr>
            <w:tcW w:w="1217"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未检出</w:t>
            </w:r>
          </w:p>
        </w:tc>
        <w:tc>
          <w:tcPr>
            <w:tcW w:w="1217"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未检出</w:t>
            </w:r>
          </w:p>
        </w:tc>
        <w:tc>
          <w:tcPr>
            <w:tcW w:w="1218"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c>
          <w:tcPr>
            <w:tcW w:w="1218"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c>
          <w:tcPr>
            <w:tcW w:w="1219"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c>
          <w:tcPr>
            <w:tcW w:w="1219" w:type="dxa"/>
            <w:vAlign w:val="center"/>
          </w:tcPr>
          <w:p>
            <w:pPr>
              <w:spacing w:line="240" w:lineRule="exact"/>
              <w:jc w:val="center"/>
              <w:rPr>
                <w:rFonts w:ascii="Times New Roman" w:hAnsi="Times New Roman" w:cs="Times New Roman" w:eastAsiaTheme="majorEastAsia"/>
                <w:kern w:val="0"/>
                <w:sz w:val="21"/>
                <w:szCs w:val="21"/>
              </w:rPr>
            </w:pPr>
            <w:r>
              <w:rPr>
                <w:rFonts w:ascii="Times New Roman" w:hAnsi="Times New Roman" w:cs="Times New Roman" w:eastAsiaTheme="majorEastAsia"/>
                <w:kern w:val="0"/>
                <w:sz w:val="21"/>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溶解性总固体（mg/L）</w:t>
            </w:r>
          </w:p>
        </w:tc>
        <w:tc>
          <w:tcPr>
            <w:tcW w:w="1217"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902</w:t>
            </w:r>
          </w:p>
        </w:tc>
        <w:tc>
          <w:tcPr>
            <w:tcW w:w="1217"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896</w:t>
            </w:r>
          </w:p>
        </w:tc>
        <w:tc>
          <w:tcPr>
            <w:tcW w:w="1218"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694</w:t>
            </w:r>
          </w:p>
        </w:tc>
        <w:tc>
          <w:tcPr>
            <w:tcW w:w="1218"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690</w:t>
            </w:r>
          </w:p>
        </w:tc>
        <w:tc>
          <w:tcPr>
            <w:tcW w:w="1219"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563</w:t>
            </w:r>
          </w:p>
        </w:tc>
        <w:tc>
          <w:tcPr>
            <w:tcW w:w="1219"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耗氧量（COD</w:t>
            </w:r>
            <w:r>
              <w:rPr>
                <w:rFonts w:ascii="Times New Roman" w:hAnsi="Times New Roman" w:eastAsia="宋体" w:cs="Times New Roman"/>
                <w:kern w:val="0"/>
                <w:sz w:val="21"/>
                <w:szCs w:val="21"/>
                <w:vertAlign w:val="subscript"/>
              </w:rPr>
              <w:t>Mn</w:t>
            </w:r>
            <w:r>
              <w:rPr>
                <w:rFonts w:ascii="Times New Roman" w:hAnsi="Times New Roman" w:eastAsia="宋体" w:cs="Times New Roman"/>
                <w:kern w:val="0"/>
                <w:sz w:val="21"/>
                <w:szCs w:val="21"/>
              </w:rPr>
              <w:t>法，以O</w:t>
            </w:r>
            <w:r>
              <w:rPr>
                <w:rFonts w:ascii="Times New Roman" w:hAnsi="Times New Roman" w:eastAsia="宋体" w:cs="Times New Roman"/>
                <w:kern w:val="0"/>
                <w:sz w:val="21"/>
                <w:szCs w:val="21"/>
                <w:vertAlign w:val="subscript"/>
              </w:rPr>
              <w:t>2</w:t>
            </w:r>
            <w:r>
              <w:rPr>
                <w:rFonts w:ascii="Times New Roman" w:hAnsi="Times New Roman" w:eastAsia="宋体" w:cs="Times New Roman"/>
                <w:kern w:val="0"/>
                <w:sz w:val="21"/>
                <w:szCs w:val="21"/>
              </w:rPr>
              <w:t>计）mg/L</w:t>
            </w:r>
          </w:p>
        </w:tc>
        <w:tc>
          <w:tcPr>
            <w:tcW w:w="1217"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0.44</w:t>
            </w:r>
          </w:p>
        </w:tc>
        <w:tc>
          <w:tcPr>
            <w:tcW w:w="1217"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0.51</w:t>
            </w:r>
          </w:p>
        </w:tc>
        <w:tc>
          <w:tcPr>
            <w:tcW w:w="1218"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0.76</w:t>
            </w:r>
          </w:p>
        </w:tc>
        <w:tc>
          <w:tcPr>
            <w:tcW w:w="1218"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0.86</w:t>
            </w:r>
          </w:p>
        </w:tc>
        <w:tc>
          <w:tcPr>
            <w:tcW w:w="1219"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0.32</w:t>
            </w:r>
          </w:p>
        </w:tc>
        <w:tc>
          <w:tcPr>
            <w:tcW w:w="1219"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总大肠菌群MPN/100mL</w:t>
            </w:r>
          </w:p>
        </w:tc>
        <w:tc>
          <w:tcPr>
            <w:tcW w:w="1217"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＜2</w:t>
            </w:r>
          </w:p>
        </w:tc>
        <w:tc>
          <w:tcPr>
            <w:tcW w:w="1217"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＜2</w:t>
            </w:r>
          </w:p>
        </w:tc>
        <w:tc>
          <w:tcPr>
            <w:tcW w:w="1218"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＜2</w:t>
            </w:r>
          </w:p>
        </w:tc>
        <w:tc>
          <w:tcPr>
            <w:tcW w:w="1218"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＜2</w:t>
            </w:r>
          </w:p>
        </w:tc>
        <w:tc>
          <w:tcPr>
            <w:tcW w:w="1219"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＜2</w:t>
            </w:r>
          </w:p>
        </w:tc>
        <w:tc>
          <w:tcPr>
            <w:tcW w:w="1219"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2" w:type="dxa"/>
            <w:vAlign w:val="center"/>
          </w:tcPr>
          <w:p>
            <w:pPr>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细菌总数</w:t>
            </w:r>
          </w:p>
          <w:p>
            <w:pPr>
              <w:spacing w:line="240" w:lineRule="exact"/>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（CFU/mL）</w:t>
            </w:r>
          </w:p>
        </w:tc>
        <w:tc>
          <w:tcPr>
            <w:tcW w:w="1217"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75</w:t>
            </w:r>
          </w:p>
        </w:tc>
        <w:tc>
          <w:tcPr>
            <w:tcW w:w="1217"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73</w:t>
            </w:r>
          </w:p>
        </w:tc>
        <w:tc>
          <w:tcPr>
            <w:tcW w:w="1218"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86</w:t>
            </w:r>
          </w:p>
        </w:tc>
        <w:tc>
          <w:tcPr>
            <w:tcW w:w="1218"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89</w:t>
            </w:r>
          </w:p>
        </w:tc>
        <w:tc>
          <w:tcPr>
            <w:tcW w:w="1219"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49</w:t>
            </w:r>
          </w:p>
        </w:tc>
        <w:tc>
          <w:tcPr>
            <w:tcW w:w="1219"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44</w:t>
            </w:r>
          </w:p>
        </w:tc>
      </w:tr>
    </w:tbl>
    <w:p>
      <w:pPr>
        <w:pStyle w:val="5"/>
        <w:spacing w:before="0" w:after="0" w:line="36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4.3.2.2地下水环境质量现状评价</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（1）评价因子</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现状评价因子同监测项目。</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（2）评价标准</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采用《地下水质量标准》（GB/T14848-</w:t>
      </w:r>
      <w:r>
        <w:rPr>
          <w:rFonts w:hint="eastAsia" w:ascii="Times New Roman" w:hAnsi="Times New Roman" w:cs="Times New Roman"/>
          <w:sz w:val="24"/>
          <w:szCs w:val="24"/>
        </w:rPr>
        <w:t>2017</w:t>
      </w:r>
      <w:r>
        <w:rPr>
          <w:rFonts w:ascii="Times New Roman" w:hAnsi="Times New Roman" w:cs="Times New Roman"/>
          <w:sz w:val="24"/>
          <w:szCs w:val="24"/>
        </w:rPr>
        <w:t>）</w:t>
      </w:r>
      <w:r>
        <w:rPr>
          <w:rFonts w:hint="eastAsia" w:ascii="宋体" w:hAnsi="宋体" w:eastAsia="宋体" w:cs="宋体"/>
          <w:sz w:val="24"/>
          <w:szCs w:val="24"/>
        </w:rPr>
        <w:t>Ⅲ</w:t>
      </w:r>
      <w:r>
        <w:rPr>
          <w:rFonts w:ascii="Times New Roman" w:hAnsi="Times New Roman" w:cs="Times New Roman"/>
          <w:sz w:val="24"/>
          <w:szCs w:val="24"/>
        </w:rPr>
        <w:t>类标准。</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（3）评价方法</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评价方法采</w:t>
      </w:r>
      <w:r>
        <w:rPr>
          <w:rFonts w:ascii="Times New Roman" w:hAnsi="Times New Roman" w:cs="Times New Roman"/>
          <w:color w:val="000000" w:themeColor="text1"/>
          <w:sz w:val="24"/>
          <w:szCs w:val="24"/>
        </w:rPr>
        <w:t>用标准指数法，</w:t>
      </w:r>
      <w:r>
        <w:rPr>
          <w:rFonts w:ascii="Times New Roman" w:hAnsi="Times New Roman" w:cs="Times New Roman"/>
          <w:sz w:val="24"/>
          <w:szCs w:val="24"/>
        </w:rPr>
        <w:t>其模式如下：</w:t>
      </w:r>
    </w:p>
    <w:p>
      <w:pPr>
        <w:spacing w:line="360" w:lineRule="auto"/>
        <w:ind w:firstLine="480" w:firstLineChars="200"/>
        <w:rPr>
          <w:rFonts w:ascii="Times New Roman" w:hAnsi="Times New Roman" w:cs="Times New Roman"/>
          <w:sz w:val="24"/>
          <w:szCs w:val="24"/>
        </w:rPr>
      </w:pPr>
      <w:r>
        <w:rPr>
          <w:rFonts w:hint="eastAsia" w:ascii="宋体" w:hAnsi="宋体" w:eastAsia="宋体" w:cs="宋体"/>
          <w:sz w:val="24"/>
          <w:szCs w:val="24"/>
        </w:rPr>
        <w:t>①</w:t>
      </w:r>
      <w:r>
        <w:rPr>
          <w:rFonts w:ascii="Times New Roman" w:hAnsi="Times New Roman" w:cs="Times New Roman"/>
          <w:sz w:val="24"/>
          <w:szCs w:val="24"/>
        </w:rPr>
        <w:t>一般因子标准指数评价模式：</w:t>
      </w:r>
    </w:p>
    <w:p>
      <w:pPr>
        <w:spacing w:line="360" w:lineRule="auto"/>
        <w:ind w:firstLine="480" w:firstLineChars="200"/>
        <w:jc w:val="center"/>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ij</w:t>
      </w:r>
      <w:r>
        <w:rPr>
          <w:rFonts w:ascii="Times New Roman" w:hAnsi="Times New Roman" w:cs="Times New Roman"/>
          <w:sz w:val="24"/>
          <w:szCs w:val="24"/>
        </w:rPr>
        <w:t>=C</w:t>
      </w:r>
      <w:r>
        <w:rPr>
          <w:rFonts w:ascii="Times New Roman" w:hAnsi="Times New Roman" w:cs="Times New Roman"/>
          <w:sz w:val="24"/>
          <w:szCs w:val="24"/>
          <w:vertAlign w:val="subscript"/>
        </w:rPr>
        <w:t>ij</w:t>
      </w:r>
      <w:r>
        <w:rPr>
          <w:rFonts w:ascii="Times New Roman" w:hAnsi="Times New Roman" w:cs="Times New Roman"/>
          <w:sz w:val="24"/>
          <w:szCs w:val="24"/>
        </w:rPr>
        <w:t>/C</w:t>
      </w:r>
      <w:r>
        <w:rPr>
          <w:rFonts w:ascii="Times New Roman" w:hAnsi="Times New Roman" w:cs="Times New Roman"/>
          <w:sz w:val="24"/>
          <w:szCs w:val="24"/>
          <w:vertAlign w:val="subscript"/>
        </w:rPr>
        <w:t>si</w:t>
      </w:r>
    </w:p>
    <w:p>
      <w:pPr>
        <w:spacing w:line="360" w:lineRule="auto"/>
        <w:ind w:firstLine="720" w:firstLineChars="300"/>
        <w:rPr>
          <w:rFonts w:ascii="Times New Roman" w:hAnsi="Times New Roman" w:cs="Times New Roman"/>
          <w:sz w:val="24"/>
          <w:szCs w:val="24"/>
        </w:rPr>
      </w:pPr>
      <w:r>
        <w:rPr>
          <w:rFonts w:ascii="Times New Roman" w:hAnsi="Times New Roman" w:cs="Times New Roman"/>
          <w:sz w:val="24"/>
          <w:szCs w:val="24"/>
        </w:rPr>
        <w:t>式中：</w:t>
      </w:r>
      <w:r>
        <w:rPr>
          <w:rFonts w:ascii="Times New Roman" w:hAnsi="Times New Roman" w:cs="Times New Roman"/>
          <w:sz w:val="24"/>
          <w:szCs w:val="24"/>
        </w:rPr>
        <w:object>
          <v:shape id="_x0000_i1025" o:spt="75" type="#_x0000_t75" style="height:21pt;width:15pt;" o:ole="t" filled="f" o:preferrelative="t" stroked="f" coordsize="21600,21600">
            <v:path/>
            <v:fill on="f" focussize="0,0"/>
            <v:stroke on="f" joinstyle="miter"/>
            <v:imagedata r:id="rId12" o:title=""/>
            <o:lock v:ext="edit" aspectratio="t"/>
            <w10:wrap type="none"/>
            <w10:anchorlock/>
          </v:shape>
          <o:OLEObject Type="Embed" ProgID="Equations" ShapeID="_x0000_i1025" DrawAspect="Content" ObjectID="_1468075725" r:id="rId11">
            <o:LockedField>false</o:LockedField>
          </o:OLEObject>
        </w:object>
      </w:r>
      <w:r>
        <w:rPr>
          <w:rFonts w:ascii="Times New Roman" w:hAnsi="Times New Roman" w:cs="Times New Roman"/>
          <w:sz w:val="24"/>
          <w:szCs w:val="24"/>
        </w:rPr>
        <w:t>—单项水质参数</w:t>
      </w:r>
      <w:r>
        <w:rPr>
          <w:rFonts w:ascii="Times New Roman" w:hAnsi="Times New Roman" w:cs="Times New Roman"/>
          <w:sz w:val="24"/>
          <w:szCs w:val="24"/>
        </w:rPr>
        <w:object>
          <v:shape id="_x0000_i1026" o:spt="75" type="#_x0000_t75" style="height:13.5pt;width:6pt;" o:ole="t" filled="f" o:preferrelative="t" stroked="f" coordsize="21600,21600">
            <v:path/>
            <v:fill on="f" focussize="0,0"/>
            <v:stroke on="f" joinstyle="miter"/>
            <v:imagedata r:id="rId14" o:title=""/>
            <o:lock v:ext="edit" aspectratio="t"/>
            <w10:wrap type="none"/>
            <w10:anchorlock/>
          </v:shape>
          <o:OLEObject Type="Embed" ProgID="Equations" ShapeID="_x0000_i1026" DrawAspect="Content" ObjectID="_1468075726" r:id="rId13">
            <o:LockedField>false</o:LockedField>
          </o:OLEObject>
        </w:object>
      </w:r>
      <w:r>
        <w:rPr>
          <w:rFonts w:ascii="Times New Roman" w:hAnsi="Times New Roman" w:cs="Times New Roman"/>
          <w:sz w:val="24"/>
          <w:szCs w:val="24"/>
        </w:rPr>
        <w:t>在</w:t>
      </w:r>
      <w:r>
        <w:rPr>
          <w:rFonts w:ascii="Times New Roman" w:hAnsi="Times New Roman" w:cs="Times New Roman"/>
          <w:sz w:val="24"/>
          <w:szCs w:val="24"/>
        </w:rPr>
        <w:object>
          <v:shape id="_x0000_i1027" o:spt="75" type="#_x0000_t75" style="height:15pt;width:7.5pt;" o:ole="t" filled="f" o:preferrelative="t" stroked="f" coordsize="21600,21600">
            <v:path/>
            <v:fill on="f" focussize="0,0"/>
            <v:stroke on="f" joinstyle="miter"/>
            <v:imagedata r:id="rId16" o:title=""/>
            <o:lock v:ext="edit" aspectratio="t"/>
            <w10:wrap type="none"/>
            <w10:anchorlock/>
          </v:shape>
          <o:OLEObject Type="Embed" ProgID="Equations" ShapeID="_x0000_i1027" DrawAspect="Content" ObjectID="_1468075727" r:id="rId15">
            <o:LockedField>false</o:LockedField>
          </o:OLEObject>
        </w:object>
      </w:r>
      <w:r>
        <w:rPr>
          <w:rFonts w:ascii="Times New Roman" w:hAnsi="Times New Roman" w:cs="Times New Roman"/>
          <w:sz w:val="24"/>
          <w:szCs w:val="24"/>
        </w:rPr>
        <w:t>监测点的标准指数；</w:t>
      </w:r>
    </w:p>
    <w:p>
      <w:pPr>
        <w:spacing w:line="360" w:lineRule="auto"/>
        <w:ind w:firstLine="1440" w:firstLineChars="600"/>
        <w:rPr>
          <w:rFonts w:ascii="Times New Roman" w:hAnsi="Times New Roman" w:cs="Times New Roman"/>
          <w:sz w:val="24"/>
          <w:szCs w:val="24"/>
        </w:rPr>
      </w:pPr>
      <w:r>
        <w:rPr>
          <w:rFonts w:ascii="Times New Roman" w:hAnsi="Times New Roman" w:cs="Times New Roman"/>
          <w:sz w:val="24"/>
          <w:szCs w:val="24"/>
        </w:rPr>
        <w:object>
          <v:shape id="_x0000_i1028" o:spt="75" type="#_x0000_t75" style="height:21pt;width:15pt;" o:ole="t" filled="f" o:preferrelative="t" stroked="f" coordsize="21600,21600">
            <v:path/>
            <v:fill on="f" focussize="0,0"/>
            <v:stroke on="f" joinstyle="miter"/>
            <v:imagedata r:id="rId18" o:title=""/>
            <o:lock v:ext="edit" aspectratio="t"/>
            <w10:wrap type="none"/>
            <w10:anchorlock/>
          </v:shape>
          <o:OLEObject Type="Embed" ProgID="Equations" ShapeID="_x0000_i1028" DrawAspect="Content" ObjectID="_1468075728" r:id="rId17">
            <o:LockedField>false</o:LockedField>
          </o:OLEObject>
        </w:object>
      </w:r>
      <w:r>
        <w:rPr>
          <w:rFonts w:ascii="Times New Roman" w:hAnsi="Times New Roman" w:cs="Times New Roman"/>
          <w:sz w:val="24"/>
          <w:szCs w:val="24"/>
        </w:rPr>
        <w:t>—</w:t>
      </w:r>
      <w:r>
        <w:rPr>
          <w:rFonts w:ascii="Times New Roman" w:hAnsi="Times New Roman" w:cs="Times New Roman"/>
          <w:sz w:val="24"/>
          <w:szCs w:val="24"/>
        </w:rPr>
        <w:object>
          <v:shape id="_x0000_i1029" o:spt="75" type="#_x0000_t75" style="height:13.5pt;width:6pt;" o:ole="t" filled="f" o:preferrelative="t" stroked="f" coordsize="21600,21600">
            <v:path/>
            <v:fill on="f" focussize="0,0"/>
            <v:stroke on="f" joinstyle="miter"/>
            <v:imagedata r:id="rId20" o:title=""/>
            <o:lock v:ext="edit" aspectratio="t"/>
            <w10:wrap type="none"/>
            <w10:anchorlock/>
          </v:shape>
          <o:OLEObject Type="Embed" ProgID="Equations" ShapeID="_x0000_i1029" DrawAspect="Content" ObjectID="_1468075729" r:id="rId19">
            <o:LockedField>false</o:LockedField>
          </o:OLEObject>
        </w:object>
      </w:r>
      <w:r>
        <w:rPr>
          <w:rFonts w:ascii="Times New Roman" w:hAnsi="Times New Roman" w:cs="Times New Roman"/>
          <w:sz w:val="24"/>
          <w:szCs w:val="24"/>
        </w:rPr>
        <w:t>污染物在</w:t>
      </w:r>
      <w:r>
        <w:rPr>
          <w:rFonts w:ascii="Times New Roman" w:hAnsi="Times New Roman" w:cs="Times New Roman"/>
          <w:sz w:val="24"/>
          <w:szCs w:val="24"/>
        </w:rPr>
        <w:object>
          <v:shape id="_x0000_i1030" o:spt="75" type="#_x0000_t75" style="height:15pt;width:7.5pt;" o:ole="t" filled="f" o:preferrelative="t" stroked="f" coordsize="21600,21600">
            <v:path/>
            <v:fill on="f" focussize="0,0"/>
            <v:stroke on="f" joinstyle="miter"/>
            <v:imagedata r:id="rId22" o:title=""/>
            <o:lock v:ext="edit" aspectratio="t"/>
            <w10:wrap type="none"/>
            <w10:anchorlock/>
          </v:shape>
          <o:OLEObject Type="Embed" ProgID="Equations" ShapeID="_x0000_i1030" DrawAspect="Content" ObjectID="_1468075730" r:id="rId21">
            <o:LockedField>false</o:LockedField>
          </o:OLEObject>
        </w:object>
      </w:r>
      <w:r>
        <w:rPr>
          <w:rFonts w:ascii="Times New Roman" w:hAnsi="Times New Roman" w:cs="Times New Roman"/>
          <w:sz w:val="24"/>
          <w:szCs w:val="24"/>
        </w:rPr>
        <w:t>点的浓度，mg/L；</w:t>
      </w:r>
    </w:p>
    <w:p>
      <w:pPr>
        <w:spacing w:line="360" w:lineRule="auto"/>
        <w:ind w:firstLine="1440" w:firstLineChars="600"/>
        <w:rPr>
          <w:rFonts w:ascii="Times New Roman" w:hAnsi="Times New Roman" w:cs="Times New Roman"/>
          <w:sz w:val="24"/>
          <w:szCs w:val="24"/>
        </w:rPr>
      </w:pPr>
      <w:r>
        <w:rPr>
          <w:rFonts w:ascii="Times New Roman" w:hAnsi="Times New Roman" w:cs="Times New Roman"/>
          <w:sz w:val="24"/>
          <w:szCs w:val="24"/>
        </w:rPr>
        <w:object>
          <v:shape id="_x0000_i1031" o:spt="75" type="#_x0000_t75" style="height:21pt;width:15pt;" o:ole="t" filled="f" o:preferrelative="t" stroked="f" coordsize="21600,21600">
            <v:path/>
            <v:fill on="f" focussize="0,0"/>
            <v:stroke on="f" joinstyle="miter"/>
            <v:imagedata r:id="rId24" o:title=""/>
            <o:lock v:ext="edit" aspectratio="t"/>
            <w10:wrap type="none"/>
            <w10:anchorlock/>
          </v:shape>
          <o:OLEObject Type="Embed" ProgID="Equations" ShapeID="_x0000_i1031" DrawAspect="Content" ObjectID="_1468075731" r:id="rId23">
            <o:LockedField>false</o:LockedField>
          </o:OLEObject>
        </w:object>
      </w:r>
      <w:r>
        <w:rPr>
          <w:rFonts w:ascii="Times New Roman" w:hAnsi="Times New Roman" w:cs="Times New Roman"/>
          <w:sz w:val="24"/>
          <w:szCs w:val="24"/>
        </w:rPr>
        <w:t>—</w:t>
      </w:r>
      <w:r>
        <w:rPr>
          <w:rFonts w:ascii="Times New Roman" w:hAnsi="Times New Roman" w:cs="Times New Roman"/>
          <w:sz w:val="24"/>
          <w:szCs w:val="24"/>
        </w:rPr>
        <w:object>
          <v:shape id="_x0000_i1032" o:spt="75" type="#_x0000_t75" style="height:13.5pt;width:6pt;" o:ole="t" filled="f" o:preferrelative="t" stroked="f" coordsize="21600,21600">
            <v:path/>
            <v:fill on="f" focussize="0,0"/>
            <v:stroke on="f" joinstyle="miter"/>
            <v:imagedata r:id="rId26" o:title=""/>
            <o:lock v:ext="edit" aspectratio="t"/>
            <w10:wrap type="none"/>
            <w10:anchorlock/>
          </v:shape>
          <o:OLEObject Type="Embed" ProgID="Equations" ShapeID="_x0000_i1032" DrawAspect="Content" ObjectID="_1468075732" r:id="rId25">
            <o:LockedField>false</o:LockedField>
          </o:OLEObject>
        </w:object>
      </w:r>
      <w:r>
        <w:rPr>
          <w:rFonts w:ascii="Times New Roman" w:hAnsi="Times New Roman" w:cs="Times New Roman"/>
          <w:sz w:val="24"/>
          <w:szCs w:val="24"/>
        </w:rPr>
        <w:t>污染物评价标准，mg/L。</w:t>
      </w:r>
    </w:p>
    <w:p>
      <w:pPr>
        <w:spacing w:line="360" w:lineRule="auto"/>
        <w:ind w:firstLine="480" w:firstLineChars="200"/>
        <w:rPr>
          <w:rFonts w:ascii="Times New Roman" w:hAnsi="Times New Roman" w:cs="Times New Roman"/>
          <w:sz w:val="24"/>
          <w:szCs w:val="24"/>
        </w:rPr>
      </w:pPr>
      <w:r>
        <w:rPr>
          <w:rFonts w:hint="eastAsia" w:ascii="宋体" w:hAnsi="宋体" w:eastAsia="宋体" w:cs="宋体"/>
          <w:sz w:val="24"/>
          <w:szCs w:val="24"/>
        </w:rPr>
        <w:t>②</w:t>
      </w:r>
      <w:r>
        <w:rPr>
          <w:rFonts w:ascii="Times New Roman" w:hAnsi="Times New Roman" w:cs="Times New Roman"/>
          <w:sz w:val="24"/>
          <w:szCs w:val="24"/>
        </w:rPr>
        <w:t>pH的标准指数评价模式：</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pict>
          <v:shape id="Text Box 1552" o:spid="_x0000_s1324" o:spt="202" type="#_x0000_t202" style="position:absolute;left:0pt;margin-left:153.9pt;margin-top:12pt;height:15.05pt;width:25.8pt;z-index:25217843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">
            <v:path/>
            <v:fill on="f" focussize="0,0"/>
            <v:stroke on="f" joinstyle="miter"/>
            <v:imagedata o:title=""/>
            <o:lock v:ext="edit"/>
            <v:textbox inset="0mm,0mm,0mm,0mm">
              <w:txbxContent>
                <w:p>
                  <w:r>
                    <w:rPr>
                      <w:rFonts w:hint="eastAsia"/>
                      <w:sz w:val="24"/>
                    </w:rPr>
                    <w:t>S</w:t>
                  </w:r>
                  <w:r>
                    <w:rPr>
                      <w:rFonts w:hint="eastAsia"/>
                      <w:sz w:val="24"/>
                      <w:vertAlign w:val="subscript"/>
                    </w:rPr>
                    <w:t>pHj</w:t>
                  </w:r>
                  <w:r>
                    <w:rPr>
                      <w:rFonts w:hint="eastAsia"/>
                      <w:sz w:val="24"/>
                    </w:rPr>
                    <w:t>=</w:t>
                  </w:r>
                </w:p>
              </w:txbxContent>
            </v:textbox>
          </v:shape>
        </w:pict>
      </w:r>
      <w:r>
        <w:rPr>
          <w:rFonts w:ascii="Times New Roman" w:hAnsi="Times New Roman" w:cs="Times New Roman"/>
          <w:sz w:val="24"/>
          <w:szCs w:val="24"/>
        </w:rPr>
        <w:pict>
          <v:line id="Line 1555" o:spid="_x0000_s1327" o:spt="20" style="position:absolute;left:0pt;margin-left:183.1pt;margin-top:18.7pt;height:0pt;width:55.8pt;z-index:25218150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">
            <v:path arrowok="t"/>
            <v:fill focussize="0,0"/>
            <v:stroke weight="0.5pt"/>
            <v:imagedata o:title=""/>
            <o:lock v:ext="edit"/>
          </v:line>
        </w:pict>
      </w:r>
      <w:r>
        <w:rPr>
          <w:rFonts w:ascii="Times New Roman" w:hAnsi="Times New Roman" w:cs="Times New Roman"/>
          <w:sz w:val="24"/>
          <w:szCs w:val="24"/>
        </w:rPr>
        <w:pict>
          <v:shape id="Text Box 1553" o:spid="_x0000_s1325" o:spt="202" type="#_x0000_t202" style="position:absolute;left:0pt;margin-left:186.1pt;margin-top:0.9pt;height:15.05pt;width:46pt;z-index:25217945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">
            <v:path/>
            <v:fill on="f" focussize="0,0"/>
            <v:stroke on="f" joinstyle="miter"/>
            <v:imagedata o:title=""/>
            <o:lock v:ext="edit"/>
            <v:textbox inset="0mm,0mm,0mm,0mm">
              <w:txbxContent>
                <w:p>
                  <w:r>
                    <w:rPr>
                      <w:rFonts w:hint="eastAsia"/>
                      <w:sz w:val="24"/>
                    </w:rPr>
                    <w:t>7.0－pH</w:t>
                  </w:r>
                  <w:r>
                    <w:rPr>
                      <w:rFonts w:hint="eastAsia"/>
                      <w:sz w:val="24"/>
                      <w:vertAlign w:val="subscript"/>
                    </w:rPr>
                    <w:t>j</w:t>
                  </w:r>
                </w:p>
              </w:txbxContent>
            </v:textbox>
          </v:shape>
        </w:pict>
      </w:r>
      <w:r>
        <w:rPr>
          <w:rFonts w:ascii="Times New Roman" w:hAnsi="Times New Roman" w:cs="Times New Roman"/>
          <w:sz w:val="24"/>
          <w:szCs w:val="24"/>
        </w:rPr>
        <w:pict>
          <v:shape id="Text Box 1556" o:spid="_x0000_s1328" o:spt="202" type="#_x0000_t202" style="position:absolute;left:0pt;margin-left:253.4pt;margin-top:11.2pt;height:15.05pt;width:47.5pt;z-index:25218252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D9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">
            <v:path/>
            <v:fill on="f" focussize="0,0"/>
            <v:stroke on="f" joinstyle="miter"/>
            <v:imagedata o:title=""/>
            <o:lock v:ext="edit"/>
            <v:textbox inset="0mm,0mm,0mm,0mm">
              <w:txbxContent>
                <w:p>
                  <w:r>
                    <w:rPr>
                      <w:rFonts w:hint="eastAsia"/>
                      <w:sz w:val="24"/>
                    </w:rPr>
                    <w:t>pH</w:t>
                  </w:r>
                  <w:r>
                    <w:rPr>
                      <w:rFonts w:hint="eastAsia"/>
                      <w:sz w:val="24"/>
                      <w:vertAlign w:val="subscript"/>
                    </w:rPr>
                    <w:t>j</w:t>
                  </w:r>
                  <w:r>
                    <w:rPr>
                      <w:rFonts w:hint="eastAsia"/>
                      <w:sz w:val="24"/>
                    </w:rPr>
                    <w:t>≤7.0</w:t>
                  </w:r>
                </w:p>
              </w:txbxContent>
            </v:textbox>
          </v:shape>
        </w:pic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pict>
          <v:shape id="Text Box 1554" o:spid="_x0000_s1326" o:spt="202" type="#_x0000_t202" style="position:absolute;left:0pt;margin-left:185.7pt;margin-top:0.4pt;height:15.05pt;width:49.6pt;z-index:25218048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s9y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">
            <v:path/>
            <v:fill on="f" focussize="0,0"/>
            <v:stroke on="f" joinstyle="miter"/>
            <v:imagedata o:title=""/>
            <o:lock v:ext="edit"/>
            <v:textbox inset="0mm,0mm,0mm,0mm">
              <w:txbxContent>
                <w:p>
                  <w:r>
                    <w:rPr>
                      <w:rFonts w:hint="eastAsia"/>
                      <w:sz w:val="24"/>
                    </w:rPr>
                    <w:t>7.0－pH</w:t>
                  </w:r>
                  <w:r>
                    <w:rPr>
                      <w:rFonts w:hint="eastAsia"/>
                      <w:sz w:val="24"/>
                      <w:vertAlign w:val="subscript"/>
                    </w:rPr>
                    <w:t>sd</w:t>
                  </w:r>
                </w:p>
              </w:txbxContent>
            </v:textbox>
          </v:shape>
        </w:pict>
      </w:r>
    </w:p>
    <w:p>
      <w:pPr>
        <w:spacing w:line="360" w:lineRule="auto"/>
        <w:ind w:firstLine="480" w:firstLineChars="200"/>
        <w:rPr>
          <w:rFonts w:ascii="Times New Roman" w:hAnsi="Times New Roman" w:cs="Times New Roman"/>
          <w:sz w:val="24"/>
          <w:szCs w:val="24"/>
          <w:vertAlign w:val="subscript"/>
        </w:rPr>
      </w:pPr>
      <w:r>
        <w:rPr>
          <w:rFonts w:ascii="Times New Roman" w:hAnsi="Times New Roman" w:cs="Times New Roman"/>
          <w:sz w:val="24"/>
          <w:szCs w:val="24"/>
        </w:rPr>
        <w:pict>
          <v:shape id="Text Box 1558" o:spid="_x0000_s1330" o:spt="202" type="#_x0000_t202" style="position:absolute;left:0pt;margin-left:186.3pt;margin-top:4.7pt;height:15.05pt;width:46pt;z-index:25218457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">
            <v:path/>
            <v:fill on="f" focussize="0,0"/>
            <v:stroke on="f" joinstyle="miter"/>
            <v:imagedata o:title=""/>
            <o:lock v:ext="edit"/>
            <v:textbox inset="0mm,0mm,0mm,0mm">
              <w:txbxContent>
                <w:p>
                  <w:r>
                    <w:rPr>
                      <w:rFonts w:hint="eastAsia"/>
                      <w:sz w:val="24"/>
                    </w:rPr>
                    <w:t>pH</w:t>
                  </w:r>
                  <w:r>
                    <w:rPr>
                      <w:rFonts w:hint="eastAsia"/>
                      <w:sz w:val="24"/>
                      <w:vertAlign w:val="subscript"/>
                    </w:rPr>
                    <w:t>j</w:t>
                  </w:r>
                  <w:r>
                    <w:rPr>
                      <w:rFonts w:hint="eastAsia"/>
                      <w:sz w:val="24"/>
                    </w:rPr>
                    <w:t>－7.0</w:t>
                  </w:r>
                </w:p>
              </w:txbxContent>
            </v:textbox>
          </v:shape>
        </w:pict>
      </w:r>
      <w:r>
        <w:rPr>
          <w:rFonts w:ascii="Times New Roman" w:hAnsi="Times New Roman" w:cs="Times New Roman"/>
          <w:sz w:val="24"/>
          <w:szCs w:val="24"/>
        </w:rPr>
        <w:pict>
          <v:shape id="Text Box 1557" o:spid="_x0000_s1329" o:spt="202" type="#_x0000_t202" style="position:absolute;left:0pt;margin-left:154.1pt;margin-top:15.8pt;height:15.05pt;width:25.8pt;z-index:25218355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uttswIAALY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">
            <v:path/>
            <v:fill on="f" focussize="0,0"/>
            <v:stroke on="f" joinstyle="miter"/>
            <v:imagedata o:title=""/>
            <o:lock v:ext="edit"/>
            <v:textbox inset="0mm,0mm,0mm,0mm">
              <w:txbxContent>
                <w:p>
                  <w:r>
                    <w:rPr>
                      <w:rFonts w:hint="eastAsia"/>
                      <w:sz w:val="24"/>
                    </w:rPr>
                    <w:t>S</w:t>
                  </w:r>
                  <w:r>
                    <w:rPr>
                      <w:rFonts w:hint="eastAsia"/>
                      <w:sz w:val="24"/>
                      <w:vertAlign w:val="subscript"/>
                    </w:rPr>
                    <w:t>pHj</w:t>
                  </w:r>
                  <w:r>
                    <w:rPr>
                      <w:rFonts w:hint="eastAsia"/>
                      <w:sz w:val="24"/>
                    </w:rPr>
                    <w:t>=</w:t>
                  </w:r>
                </w:p>
              </w:txbxContent>
            </v:textbox>
          </v:shape>
        </w:pict>
      </w:r>
      <w:r>
        <w:rPr>
          <w:rFonts w:ascii="Times New Roman" w:hAnsi="Times New Roman" w:cs="Times New Roman"/>
          <w:sz w:val="24"/>
          <w:szCs w:val="24"/>
        </w:rPr>
        <w:pict>
          <v:shape id="Text Box 1561" o:spid="_x0000_s1333" o:spt="202" type="#_x0000_t202" style="position:absolute;left:0pt;margin-left:253.6pt;margin-top:15pt;height:15.05pt;width:47.5pt;z-index:25218764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6ItAIAALY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">
            <v:path/>
            <v:fill on="f" focussize="0,0"/>
            <v:stroke on="f" joinstyle="miter"/>
            <v:imagedata o:title=""/>
            <o:lock v:ext="edit"/>
            <v:textbox inset="0mm,0mm,0mm,0mm">
              <w:txbxContent>
                <w:p>
                  <w:r>
                    <w:rPr>
                      <w:rFonts w:hint="eastAsia"/>
                      <w:sz w:val="24"/>
                    </w:rPr>
                    <w:t>pH</w:t>
                  </w:r>
                  <w:r>
                    <w:rPr>
                      <w:rFonts w:hint="eastAsia"/>
                      <w:sz w:val="24"/>
                      <w:vertAlign w:val="subscript"/>
                    </w:rPr>
                    <w:t>j</w:t>
                  </w:r>
                  <w:r>
                    <w:rPr>
                      <w:rFonts w:hint="eastAsia"/>
                      <w:sz w:val="24"/>
                    </w:rPr>
                    <w:t>＞7.0</w:t>
                  </w:r>
                </w:p>
              </w:txbxContent>
            </v:textbox>
          </v:shape>
        </w:pict>
      </w:r>
      <w:r>
        <w:rPr>
          <w:rFonts w:ascii="Times New Roman" w:hAnsi="Times New Roman" w:cs="Times New Roman"/>
          <w:sz w:val="24"/>
          <w:szCs w:val="24"/>
        </w:rPr>
        <w:pict>
          <v:line id="Line 1560" o:spid="_x0000_s1332" o:spt="20" style="position:absolute;left:0pt;margin-left:183.3pt;margin-top:22.5pt;height:0pt;width:55.8pt;z-index:25218662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">
            <v:path arrowok="t"/>
            <v:fill focussize="0,0"/>
            <v:stroke weight="0.5pt"/>
            <v:imagedata o:title=""/>
            <o:lock v:ext="edit"/>
          </v:line>
        </w:pict>
      </w:r>
      <w:r>
        <w:rPr>
          <w:rFonts w:ascii="Times New Roman" w:hAnsi="Times New Roman" w:cs="Times New Roman"/>
          <w:sz w:val="24"/>
          <w:szCs w:val="24"/>
        </w:rPr>
        <w:pict>
          <v:shape id="Text Box 1559" o:spid="_x0000_s1331" o:spt="202" type="#_x0000_t202" style="position:absolute;left:0pt;margin-left:185.9pt;margin-top:24.9pt;height:15.05pt;width:49.6pt;z-index:25218560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">
            <v:path/>
            <v:fill on="f" focussize="0,0"/>
            <v:stroke on="f" joinstyle="miter"/>
            <v:imagedata o:title=""/>
            <o:lock v:ext="edit"/>
            <v:textbox inset="0mm,0mm,0mm,0mm">
              <w:txbxContent>
                <w:p>
                  <w:r>
                    <w:rPr>
                      <w:rFonts w:hint="eastAsia"/>
                      <w:sz w:val="24"/>
                    </w:rPr>
                    <w:t>pH</w:t>
                  </w:r>
                  <w:r>
                    <w:rPr>
                      <w:rFonts w:hint="eastAsia"/>
                      <w:sz w:val="24"/>
                      <w:vertAlign w:val="subscript"/>
                    </w:rPr>
                    <w:t>sd</w:t>
                  </w:r>
                  <w:r>
                    <w:rPr>
                      <w:rFonts w:hint="eastAsia"/>
                      <w:sz w:val="24"/>
                    </w:rPr>
                    <w:t>－7.0</w:t>
                  </w:r>
                </w:p>
              </w:txbxContent>
            </v:textbox>
          </v:shape>
        </w:pict>
      </w:r>
    </w:p>
    <w:p>
      <w:pPr>
        <w:spacing w:line="360" w:lineRule="auto"/>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式中：</w:t>
      </w:r>
      <w:r>
        <w:rPr>
          <w:rFonts w:ascii="Times New Roman" w:hAnsi="Times New Roman" w:cs="Times New Roman"/>
          <w:sz w:val="24"/>
          <w:szCs w:val="24"/>
        </w:rPr>
        <w:object>
          <v:shape id="_x0000_i1033" o:spt="75" type="#_x0000_t75" style="height:21pt;width:22.5pt;" o:ole="t" filled="f" o:preferrelative="t" stroked="f" coordsize="21600,21600">
            <v:path/>
            <v:fill on="f" focussize="0,0"/>
            <v:stroke on="f" joinstyle="miter"/>
            <v:imagedata r:id="rId28" o:title=""/>
            <o:lock v:ext="edit" aspectratio="t"/>
            <w10:wrap type="none"/>
            <w10:anchorlock/>
          </v:shape>
          <o:OLEObject Type="Embed" ProgID="Equations" ShapeID="_x0000_i1033" DrawAspect="Content" ObjectID="_1468075733" r:id="rId27">
            <o:LockedField>false</o:LockedField>
          </o:OLEObject>
        </w:object>
      </w:r>
      <w:r>
        <w:rPr>
          <w:rFonts w:ascii="Times New Roman" w:hAnsi="Times New Roman" w:cs="Times New Roman"/>
          <w:sz w:val="24"/>
          <w:szCs w:val="24"/>
        </w:rPr>
        <w:t>—</w:t>
      </w:r>
      <w:r>
        <w:rPr>
          <w:rFonts w:ascii="Times New Roman" w:hAnsi="Times New Roman" w:cs="Times New Roman"/>
          <w:sz w:val="24"/>
          <w:szCs w:val="24"/>
        </w:rPr>
        <w:object>
          <v:shape id="_x0000_i1034" o:spt="75" type="#_x0000_t75" style="height:15pt;width:22.5pt;" o:ole="t" filled="f" o:preferrelative="t" stroked="f" coordsize="21600,21600">
            <v:path/>
            <v:fill on="f" focussize="0,0"/>
            <v:stroke on="f" joinstyle="miter"/>
            <v:imagedata r:id="rId30" o:title=""/>
            <o:lock v:ext="edit" aspectratio="t"/>
            <w10:wrap type="none"/>
            <w10:anchorlock/>
          </v:shape>
          <o:OLEObject Type="Embed" ProgID="Equations" ShapeID="_x0000_i1034" DrawAspect="Content" ObjectID="_1468075734" r:id="rId29">
            <o:LockedField>false</o:LockedField>
          </o:OLEObject>
        </w:object>
      </w:r>
      <w:r>
        <w:rPr>
          <w:rFonts w:ascii="Times New Roman" w:hAnsi="Times New Roman" w:cs="Times New Roman"/>
          <w:sz w:val="24"/>
          <w:szCs w:val="24"/>
        </w:rPr>
        <w:t>在第</w:t>
      </w:r>
      <w:r>
        <w:rPr>
          <w:rFonts w:ascii="Times New Roman" w:hAnsi="Times New Roman" w:cs="Times New Roman"/>
          <w:sz w:val="24"/>
          <w:szCs w:val="24"/>
        </w:rPr>
        <w:object>
          <v:shape id="_x0000_i1035" o:spt="75" type="#_x0000_t75" style="height:13.5pt;width:6pt;" o:ole="t" filled="f" o:preferrelative="t" stroked="f" coordsize="21600,21600">
            <v:path/>
            <v:fill on="f" focussize="0,0"/>
            <v:stroke on="f" joinstyle="miter"/>
            <v:imagedata r:id="rId32" o:title=""/>
            <o:lock v:ext="edit" aspectratio="t"/>
            <w10:wrap type="none"/>
            <w10:anchorlock/>
          </v:shape>
          <o:OLEObject Type="Embed" ProgID="Equations" ShapeID="_x0000_i1035" DrawAspect="Content" ObjectID="_1468075735" r:id="rId31">
            <o:LockedField>false</o:LockedField>
          </o:OLEObject>
        </w:object>
      </w:r>
      <w:r>
        <w:rPr>
          <w:rFonts w:ascii="Times New Roman" w:hAnsi="Times New Roman" w:cs="Times New Roman"/>
          <w:sz w:val="24"/>
          <w:szCs w:val="24"/>
        </w:rPr>
        <w:t>监测</w:t>
      </w:r>
      <w:r>
        <w:rPr>
          <w:rFonts w:hint="eastAsia" w:ascii="Times New Roman" w:hAnsi="Times New Roman" w:cs="Times New Roman"/>
          <w:sz w:val="24"/>
          <w:szCs w:val="24"/>
        </w:rPr>
        <w:t>点</w:t>
      </w:r>
      <w:r>
        <w:rPr>
          <w:rFonts w:ascii="Times New Roman" w:hAnsi="Times New Roman" w:cs="Times New Roman"/>
          <w:sz w:val="24"/>
          <w:szCs w:val="24"/>
        </w:rPr>
        <w:t>的标准指数；</w:t>
      </w:r>
    </w:p>
    <w:p>
      <w:pPr>
        <w:spacing w:line="360" w:lineRule="auto"/>
        <w:ind w:firstLine="1200" w:firstLineChars="500"/>
        <w:rPr>
          <w:rFonts w:ascii="Times New Roman" w:hAnsi="Times New Roman" w:cs="Times New Roman"/>
          <w:sz w:val="24"/>
          <w:szCs w:val="24"/>
        </w:rPr>
      </w:pPr>
      <w:r>
        <w:rPr>
          <w:rFonts w:ascii="Times New Roman" w:hAnsi="Times New Roman" w:cs="Times New Roman"/>
          <w:sz w:val="24"/>
          <w:szCs w:val="24"/>
        </w:rPr>
        <w:object>
          <v:shape id="_x0000_i1036" o:spt="75" type="#_x0000_t75" style="height:21pt;width:27pt;" o:ole="t" filled="f" o:preferrelative="t" stroked="f" coordsize="21600,21600">
            <v:path/>
            <v:fill on="f" focussize="0,0"/>
            <v:stroke on="f" joinstyle="miter"/>
            <v:imagedata r:id="rId34" o:title=""/>
            <o:lock v:ext="edit" aspectratio="t"/>
            <w10:wrap type="none"/>
            <w10:anchorlock/>
          </v:shape>
          <o:OLEObject Type="Embed" ProgID="Equations" ShapeID="_x0000_i1036" DrawAspect="Content" ObjectID="_1468075736" r:id="rId33">
            <o:LockedField>false</o:LockedField>
          </o:OLEObject>
        </w:object>
      </w:r>
      <w:r>
        <w:rPr>
          <w:rFonts w:ascii="Times New Roman" w:hAnsi="Times New Roman" w:cs="Times New Roman"/>
          <w:sz w:val="24"/>
          <w:szCs w:val="24"/>
        </w:rPr>
        <w:t>—</w:t>
      </w:r>
      <w:r>
        <w:rPr>
          <w:rFonts w:ascii="Times New Roman" w:hAnsi="Times New Roman" w:cs="Times New Roman"/>
          <w:sz w:val="24"/>
          <w:szCs w:val="24"/>
        </w:rPr>
        <w:object>
          <v:shape id="_x0000_i1037" o:spt="75" type="#_x0000_t75" style="height:15pt;width:7.5pt;" o:ole="t" filled="f" o:preferrelative="t" stroked="f" coordsize="21600,21600">
            <v:path/>
            <v:fill on="f" focussize="0,0"/>
            <v:stroke on="f" joinstyle="miter"/>
            <v:imagedata r:id="rId36" o:title=""/>
            <o:lock v:ext="edit" aspectratio="t"/>
            <w10:wrap type="none"/>
            <w10:anchorlock/>
          </v:shape>
          <o:OLEObject Type="Embed" ProgID="Equations" ShapeID="_x0000_i1037" DrawAspect="Content" ObjectID="_1468075737" r:id="rId35">
            <o:LockedField>false</o:LockedField>
          </o:OLEObject>
        </w:object>
      </w:r>
      <w:r>
        <w:rPr>
          <w:rFonts w:hint="eastAsia" w:ascii="Times New Roman" w:hAnsi="Times New Roman" w:cs="Times New Roman"/>
          <w:sz w:val="24"/>
          <w:szCs w:val="24"/>
        </w:rPr>
        <w:t>点</w:t>
      </w:r>
      <w:r>
        <w:rPr>
          <w:rFonts w:ascii="Times New Roman" w:hAnsi="Times New Roman" w:cs="Times New Roman"/>
          <w:sz w:val="24"/>
          <w:szCs w:val="24"/>
        </w:rPr>
        <w:t>实测的</w:t>
      </w:r>
      <w:r>
        <w:rPr>
          <w:rFonts w:ascii="Times New Roman" w:hAnsi="Times New Roman" w:cs="Times New Roman"/>
          <w:sz w:val="24"/>
          <w:szCs w:val="24"/>
        </w:rPr>
        <w:object>
          <v:shape id="_x0000_i1038" o:spt="75" type="#_x0000_t75" style="height:15pt;width:22.5pt;" o:ole="t" filled="f" o:preferrelative="t" stroked="f" coordsize="21600,21600">
            <v:path/>
            <v:fill on="f" focussize="0,0"/>
            <v:stroke on="f" joinstyle="miter"/>
            <v:imagedata r:id="rId38" o:title=""/>
            <o:lock v:ext="edit" aspectratio="t"/>
            <w10:wrap type="none"/>
            <w10:anchorlock/>
          </v:shape>
          <o:OLEObject Type="Embed" ProgID="Equations" ShapeID="_x0000_i1038" DrawAspect="Content" ObjectID="_1468075738" r:id="rId37">
            <o:LockedField>false</o:LockedField>
          </o:OLEObject>
        </w:object>
      </w:r>
      <w:r>
        <w:rPr>
          <w:rFonts w:ascii="Times New Roman" w:hAnsi="Times New Roman" w:cs="Times New Roman"/>
          <w:sz w:val="24"/>
          <w:szCs w:val="24"/>
        </w:rPr>
        <w:t>值；</w:t>
      </w:r>
    </w:p>
    <w:p>
      <w:pPr>
        <w:spacing w:line="360" w:lineRule="auto"/>
        <w:ind w:firstLine="1200" w:firstLineChars="500"/>
        <w:rPr>
          <w:rFonts w:ascii="Times New Roman" w:hAnsi="Times New Roman" w:cs="Times New Roman"/>
          <w:sz w:val="24"/>
          <w:szCs w:val="24"/>
        </w:rPr>
      </w:pPr>
      <w:r>
        <w:rPr>
          <w:rFonts w:ascii="Times New Roman" w:hAnsi="Times New Roman" w:cs="Times New Roman"/>
          <w:sz w:val="24"/>
          <w:szCs w:val="24"/>
        </w:rPr>
        <w:object>
          <v:shape id="_x0000_i1039" o:spt="75" type="#_x0000_t75" style="height:21pt;width:28.5pt;" o:ole="t" filled="f" o:preferrelative="t" stroked="f" coordsize="21600,21600">
            <v:path/>
            <v:fill on="f" focussize="0,0"/>
            <v:stroke on="f" joinstyle="miter"/>
            <v:imagedata r:id="rId40" o:title=""/>
            <o:lock v:ext="edit" aspectratio="t"/>
            <w10:wrap type="none"/>
            <w10:anchorlock/>
          </v:shape>
          <o:OLEObject Type="Embed" ProgID="Equations" ShapeID="_x0000_i1039" DrawAspect="Content" ObjectID="_1468075739" r:id="rId39">
            <o:LockedField>false</o:LockedField>
          </o:OLEObject>
        </w:object>
      </w:r>
      <w:r>
        <w:rPr>
          <w:rFonts w:ascii="Times New Roman" w:hAnsi="Times New Roman" w:cs="Times New Roman"/>
          <w:sz w:val="24"/>
          <w:szCs w:val="24"/>
        </w:rPr>
        <w:t>—评价标准规定的</w:t>
      </w:r>
      <w:r>
        <w:rPr>
          <w:rFonts w:ascii="Times New Roman" w:hAnsi="Times New Roman" w:cs="Times New Roman"/>
          <w:sz w:val="24"/>
          <w:szCs w:val="24"/>
        </w:rPr>
        <w:object>
          <v:shape id="_x0000_i1040" o:spt="75" type="#_x0000_t75" style="height:15pt;width:22.5pt;" o:ole="t" filled="f" o:preferrelative="t" stroked="f" coordsize="21600,21600">
            <v:path/>
            <v:fill on="f" focussize="0,0"/>
            <v:stroke on="f" joinstyle="miter"/>
            <v:imagedata r:id="rId42" o:title=""/>
            <o:lock v:ext="edit" aspectratio="t"/>
            <w10:wrap type="none"/>
            <w10:anchorlock/>
          </v:shape>
          <o:OLEObject Type="Embed" ProgID="Equations" ShapeID="_x0000_i1040" DrawAspect="Content" ObjectID="_1468075740" r:id="rId41">
            <o:LockedField>false</o:LockedField>
          </o:OLEObject>
        </w:object>
      </w:r>
      <w:r>
        <w:rPr>
          <w:rFonts w:ascii="Times New Roman" w:hAnsi="Times New Roman" w:cs="Times New Roman"/>
          <w:sz w:val="24"/>
          <w:szCs w:val="24"/>
        </w:rPr>
        <w:t>下</w:t>
      </w:r>
      <w:r>
        <w:rPr>
          <w:rFonts w:hint="eastAsia" w:ascii="Times New Roman" w:hAnsi="Times New Roman" w:cs="Times New Roman"/>
          <w:sz w:val="24"/>
          <w:szCs w:val="24"/>
        </w:rPr>
        <w:t>限</w:t>
      </w:r>
      <w:r>
        <w:rPr>
          <w:rFonts w:ascii="Times New Roman" w:hAnsi="Times New Roman" w:cs="Times New Roman"/>
          <w:sz w:val="24"/>
          <w:szCs w:val="24"/>
        </w:rPr>
        <w:t>；</w:t>
      </w:r>
    </w:p>
    <w:p>
      <w:pPr>
        <w:spacing w:line="360" w:lineRule="auto"/>
        <w:ind w:firstLine="1200" w:firstLineChars="500"/>
        <w:rPr>
          <w:rFonts w:ascii="Times New Roman" w:hAnsi="Times New Roman" w:cs="Times New Roman"/>
          <w:sz w:val="24"/>
          <w:szCs w:val="24"/>
        </w:rPr>
      </w:pPr>
      <w:r>
        <w:rPr>
          <w:rFonts w:ascii="Times New Roman" w:hAnsi="Times New Roman" w:cs="Times New Roman"/>
          <w:sz w:val="24"/>
          <w:szCs w:val="24"/>
        </w:rPr>
        <w:object>
          <v:shape id="_x0000_i1041" o:spt="75" type="#_x0000_t75" style="height:21pt;width:28.5pt;" o:ole="t" filled="f" o:preferrelative="t" stroked="f" coordsize="21600,21600">
            <v:path/>
            <v:fill on="f" focussize="0,0"/>
            <v:stroke on="f" joinstyle="miter"/>
            <v:imagedata r:id="rId44" o:title=""/>
            <o:lock v:ext="edit" aspectratio="t"/>
            <w10:wrap type="none"/>
            <w10:anchorlock/>
          </v:shape>
          <o:OLEObject Type="Embed" ProgID="Equations" ShapeID="_x0000_i1041" DrawAspect="Content" ObjectID="_1468075741" r:id="rId43">
            <o:LockedField>false</o:LockedField>
          </o:OLEObject>
        </w:object>
      </w:r>
      <w:r>
        <w:rPr>
          <w:rFonts w:ascii="Times New Roman" w:hAnsi="Times New Roman" w:cs="Times New Roman"/>
          <w:sz w:val="24"/>
          <w:szCs w:val="24"/>
        </w:rPr>
        <w:t>—评价标准规定的</w:t>
      </w:r>
      <w:r>
        <w:rPr>
          <w:rFonts w:ascii="Times New Roman" w:hAnsi="Times New Roman" w:cs="Times New Roman"/>
          <w:sz w:val="24"/>
          <w:szCs w:val="24"/>
        </w:rPr>
        <w:object>
          <v:shape id="_x0000_i1042" o:spt="75" type="#_x0000_t75" style="height:15pt;width:22.5pt;" o:ole="t" filled="f" o:preferrelative="t" stroked="f" coordsize="21600,21600">
            <v:path/>
            <v:fill on="f" focussize="0,0"/>
            <v:stroke on="f" joinstyle="miter"/>
            <v:imagedata r:id="rId46" o:title=""/>
            <o:lock v:ext="edit" aspectratio="t"/>
            <w10:wrap type="none"/>
            <w10:anchorlock/>
          </v:shape>
          <o:OLEObject Type="Embed" ProgID="Equations" ShapeID="_x0000_i1042" DrawAspect="Content" ObjectID="_1468075742" r:id="rId45">
            <o:LockedField>false</o:LockedField>
          </o:OLEObject>
        </w:object>
      </w:r>
      <w:r>
        <w:rPr>
          <w:rFonts w:ascii="Times New Roman" w:hAnsi="Times New Roman" w:cs="Times New Roman"/>
          <w:sz w:val="24"/>
          <w:szCs w:val="24"/>
        </w:rPr>
        <w:t>上</w:t>
      </w:r>
      <w:r>
        <w:rPr>
          <w:rFonts w:hint="eastAsia" w:ascii="Times New Roman" w:hAnsi="Times New Roman" w:cs="Times New Roman"/>
          <w:sz w:val="24"/>
          <w:szCs w:val="24"/>
        </w:rPr>
        <w:t>限</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（4）评价结果</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根据评价方法及评价标准，对现状监测结果进行评价，并对评价结果进行分析，</w:t>
      </w:r>
      <w:r>
        <w:rPr>
          <w:rFonts w:hint="eastAsia" w:ascii="Times New Roman" w:hAnsi="Times New Roman" w:cs="Times New Roman"/>
          <w:sz w:val="24"/>
          <w:szCs w:val="24"/>
        </w:rPr>
        <w:t>地下水环境质量现状评价结果见表</w:t>
      </w:r>
      <w:r>
        <w:rPr>
          <w:rFonts w:ascii="Times New Roman" w:hAnsi="Times New Roman" w:cs="Times New Roman"/>
          <w:sz w:val="24"/>
          <w:szCs w:val="24"/>
        </w:rPr>
        <w:t>4-</w:t>
      </w:r>
      <w:r>
        <w:rPr>
          <w:rFonts w:hint="eastAsia" w:ascii="Times New Roman" w:hAnsi="Times New Roman" w:cs="Times New Roman"/>
          <w:sz w:val="24"/>
          <w:szCs w:val="24"/>
        </w:rPr>
        <w:t>8</w:t>
      </w:r>
      <w:r>
        <w:rPr>
          <w:rFonts w:ascii="Times New Roman" w:hAnsi="Times New Roman" w:cs="Times New Roman"/>
          <w:sz w:val="24"/>
          <w:szCs w:val="24"/>
        </w:rPr>
        <w:t>。</w:t>
      </w: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r>
        <w:rPr>
          <w:rFonts w:ascii="Times New Roman" w:hAnsi="Times New Roman" w:cs="Times New Roman"/>
          <w:b/>
          <w:sz w:val="24"/>
          <w:szCs w:val="24"/>
        </w:rPr>
        <w:t>表4-</w:t>
      </w:r>
      <w:r>
        <w:rPr>
          <w:rFonts w:hint="eastAsia" w:ascii="Times New Roman" w:hAnsi="Times New Roman" w:cs="Times New Roman"/>
          <w:b/>
          <w:sz w:val="24"/>
          <w:szCs w:val="24"/>
        </w:rPr>
        <w:t>8</w:t>
      </w:r>
      <w:r>
        <w:rPr>
          <w:rFonts w:ascii="Times New Roman" w:hAnsi="Times New Roman" w:cs="Times New Roman"/>
          <w:b/>
          <w:sz w:val="24"/>
          <w:szCs w:val="24"/>
        </w:rPr>
        <w:t xml:space="preserve">  水质监测及评价结果  单位：mg/L，pH除外</w:t>
      </w:r>
    </w:p>
    <w:tbl>
      <w:tblPr>
        <w:tblStyle w:val="60"/>
        <w:tblW w:w="8981" w:type="dxa"/>
        <w:jc w:val="center"/>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812"/>
        <w:gridCol w:w="1054"/>
        <w:gridCol w:w="992"/>
        <w:gridCol w:w="1276"/>
        <w:gridCol w:w="1275"/>
        <w:gridCol w:w="1134"/>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95" w:type="dxa"/>
            <w:vMerge w:val="restart"/>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ascii="Times New Roman" w:hAnsi="Times New Roman" w:eastAsia="宋体" w:cs="Times New Roman"/>
                <w:kern w:val="0"/>
                <w:sz w:val="20"/>
                <w:szCs w:val="21"/>
              </w:rPr>
              <w:pict>
                <v:shape id="_x0000_s1527" o:spid="_x0000_s1527" o:spt="202" type="#_x0000_t202" style="position:absolute;left:0pt;margin-left:18.7pt;margin-top:0.15pt;height:23.8pt;width:42.8pt;z-index:252274688;mso-width-relative:page;mso-height-relative:page;" fillcolor="#FF0000" filled="f" stroked="f" coordsize="21600,21600">
                  <v:path/>
                  <v:fill on="f" opacity="26214f" focussize="0,0"/>
                  <v:stroke on="f" joinstyle="miter"/>
                  <v:imagedata o:title=""/>
                  <o:lock v:ext="edit"/>
                  <v:textbox>
                    <w:txbxContent>
                      <w:p>
                        <w:r>
                          <w:rPr>
                            <w:rFonts w:hint="eastAsia"/>
                          </w:rPr>
                          <w:t>点位</w:t>
                        </w:r>
                      </w:p>
                    </w:txbxContent>
                  </v:textbox>
                </v:shape>
              </w:pict>
            </w:r>
            <w:r>
              <w:rPr>
                <w:rFonts w:ascii="Times New Roman" w:hAnsi="Times New Roman" w:eastAsia="宋体" w:cs="Times New Roman"/>
                <w:kern w:val="0"/>
                <w:sz w:val="20"/>
                <w:szCs w:val="21"/>
              </w:rPr>
              <w:pict>
                <v:shape id="_x0000_s1529" o:spid="_x0000_s1529" o:spt="202" type="#_x0000_t202" style="position:absolute;left:0pt;margin-left:-5.85pt;margin-top:23.9pt;height:23.8pt;width:42.8pt;z-index:252276736;mso-width-relative:page;mso-height-relative:page;" fillcolor="#FF0000" filled="f" stroked="f" coordsize="21600,21600">
                  <v:path/>
                  <v:fill on="f" opacity="26214f" focussize="0,0"/>
                  <v:stroke on="f" joinstyle="miter"/>
                  <v:imagedata o:title=""/>
                  <o:lock v:ext="edit"/>
                  <v:textbox>
                    <w:txbxContent>
                      <w:p>
                        <w:r>
                          <w:rPr>
                            <w:rFonts w:hint="eastAsia"/>
                          </w:rPr>
                          <w:t>项目</w:t>
                        </w:r>
                      </w:p>
                    </w:txbxContent>
                  </v:textbox>
                </v:shape>
              </w:pict>
            </w:r>
            <w:r>
              <w:rPr>
                <w:rFonts w:ascii="Times New Roman" w:hAnsi="Times New Roman" w:eastAsia="宋体" w:cs="Times New Roman"/>
                <w:kern w:val="0"/>
                <w:sz w:val="20"/>
                <w:szCs w:val="21"/>
              </w:rPr>
              <w:pict>
                <v:shape id="_x0000_s1528" o:spid="_x0000_s1528" o:spt="32" type="#_x0000_t32" style="position:absolute;left:0pt;margin-left:-4.65pt;margin-top:0pt;height:45pt;width:58.45pt;z-index:252275712;mso-width-relative:page;mso-height-relative:page;" o:connectortype="straight" filled="f" stroked="t" coordsize="21600,21600">
                  <v:path arrowok="t"/>
                  <v:fill on="f" focussize="0,0"/>
                  <v:stroke color="#000000"/>
                  <v:imagedata o:title=""/>
                  <o:lock v:ext="edit"/>
                </v:shape>
              </w:pict>
            </w:r>
          </w:p>
        </w:tc>
        <w:tc>
          <w:tcPr>
            <w:tcW w:w="812" w:type="dxa"/>
            <w:vMerge w:val="restart"/>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评价</w:t>
            </w:r>
          </w:p>
          <w:p>
            <w:pPr>
              <w:tabs>
                <w:tab w:val="left" w:pos="-1260"/>
              </w:tabs>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标准</w:t>
            </w:r>
          </w:p>
        </w:tc>
        <w:tc>
          <w:tcPr>
            <w:tcW w:w="2046" w:type="dxa"/>
            <w:gridSpan w:val="2"/>
          </w:tcPr>
          <w:p>
            <w:pPr>
              <w:tabs>
                <w:tab w:val="left" w:pos="-1260"/>
              </w:tabs>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bCs/>
                <w:kern w:val="0"/>
                <w:sz w:val="21"/>
                <w:szCs w:val="21"/>
              </w:rPr>
              <w:t>文景苑小区</w:t>
            </w:r>
            <w:r>
              <w:rPr>
                <w:rFonts w:ascii="Times New Roman" w:hAnsi="Times New Roman" w:cs="Times New Roman" w:eastAsiaTheme="minorEastAsia"/>
                <w:kern w:val="0"/>
                <w:sz w:val="21"/>
                <w:szCs w:val="21"/>
              </w:rPr>
              <w:t>1</w:t>
            </w:r>
            <w:r>
              <w:rPr>
                <w:rFonts w:ascii="Times New Roman" w:hAnsi="Times New Roman" w:cs="Times New Roman" w:eastAsiaTheme="minorEastAsia"/>
                <w:kern w:val="0"/>
                <w:sz w:val="21"/>
                <w:szCs w:val="21"/>
                <w:vertAlign w:val="superscript"/>
              </w:rPr>
              <w:t>＃</w:t>
            </w:r>
          </w:p>
        </w:tc>
        <w:tc>
          <w:tcPr>
            <w:tcW w:w="2551" w:type="dxa"/>
            <w:gridSpan w:val="2"/>
          </w:tcPr>
          <w:p>
            <w:pPr>
              <w:tabs>
                <w:tab w:val="left" w:pos="-1260"/>
              </w:tabs>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bCs/>
                <w:kern w:val="0"/>
                <w:sz w:val="21"/>
                <w:szCs w:val="21"/>
              </w:rPr>
              <w:t>项目所在位置</w:t>
            </w:r>
            <w:r>
              <w:rPr>
                <w:rFonts w:ascii="Times New Roman" w:hAnsi="Times New Roman" w:cs="Times New Roman" w:eastAsiaTheme="minorEastAsia"/>
                <w:kern w:val="0"/>
                <w:sz w:val="21"/>
                <w:szCs w:val="21"/>
              </w:rPr>
              <w:t>2</w:t>
            </w:r>
            <w:r>
              <w:rPr>
                <w:rFonts w:ascii="Times New Roman" w:hAnsi="Times New Roman" w:cs="Times New Roman" w:eastAsiaTheme="minorEastAsia"/>
                <w:kern w:val="0"/>
                <w:sz w:val="21"/>
                <w:szCs w:val="21"/>
                <w:vertAlign w:val="superscript"/>
              </w:rPr>
              <w:t>＃</w:t>
            </w:r>
          </w:p>
        </w:tc>
        <w:tc>
          <w:tcPr>
            <w:tcW w:w="2177" w:type="dxa"/>
            <w:gridSpan w:val="2"/>
          </w:tcPr>
          <w:p>
            <w:pPr>
              <w:tabs>
                <w:tab w:val="left" w:pos="-1260"/>
              </w:tabs>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bCs/>
                <w:kern w:val="0"/>
                <w:sz w:val="21"/>
                <w:szCs w:val="21"/>
              </w:rPr>
              <w:t>中央司法警官学校</w:t>
            </w:r>
            <w:r>
              <w:rPr>
                <w:rFonts w:ascii="Times New Roman" w:hAnsi="Times New Roman" w:cs="Times New Roman" w:eastAsiaTheme="minorEastAsia"/>
                <w:kern w:val="0"/>
                <w:sz w:val="21"/>
                <w:szCs w:val="21"/>
              </w:rPr>
              <w:t>3</w:t>
            </w:r>
            <w:r>
              <w:rPr>
                <w:rFonts w:ascii="Times New Roman" w:hAnsi="Times New Roman" w:cs="Times New Roman" w:eastAsiaTheme="minorEastAsia"/>
                <w:kern w:val="0"/>
                <w:sz w:val="21"/>
                <w:szCs w:val="21"/>
                <w:vertAlign w:val="superscrip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1395" w:type="dxa"/>
            <w:vMerge w:val="continue"/>
            <w:vAlign w:val="center"/>
          </w:tcPr>
          <w:p>
            <w:pPr>
              <w:tabs>
                <w:tab w:val="left" w:pos="-1260"/>
              </w:tabs>
              <w:spacing w:line="240" w:lineRule="exact"/>
              <w:jc w:val="center"/>
              <w:rPr>
                <w:rFonts w:ascii="Times New Roman" w:hAnsi="Times New Roman" w:cs="Times New Roman" w:eastAsiaTheme="minorEastAsia"/>
                <w:kern w:val="0"/>
                <w:sz w:val="21"/>
                <w:szCs w:val="21"/>
              </w:rPr>
            </w:pPr>
          </w:p>
        </w:tc>
        <w:tc>
          <w:tcPr>
            <w:tcW w:w="812" w:type="dxa"/>
            <w:vMerge w:val="continue"/>
            <w:vAlign w:val="center"/>
          </w:tcPr>
          <w:p>
            <w:pPr>
              <w:tabs>
                <w:tab w:val="left" w:pos="-1260"/>
              </w:tabs>
              <w:spacing w:line="240" w:lineRule="exact"/>
              <w:jc w:val="center"/>
              <w:rPr>
                <w:rFonts w:ascii="Times New Roman" w:hAnsi="Times New Roman" w:cs="Times New Roman" w:eastAsiaTheme="minorEastAsia"/>
                <w:kern w:val="0"/>
                <w:sz w:val="21"/>
                <w:szCs w:val="21"/>
              </w:rPr>
            </w:pPr>
          </w:p>
        </w:tc>
        <w:tc>
          <w:tcPr>
            <w:tcW w:w="1054" w:type="dxa"/>
          </w:tcPr>
          <w:p>
            <w:pPr>
              <w:tabs>
                <w:tab w:val="left" w:pos="-1260"/>
              </w:tabs>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监测</w:t>
            </w:r>
          </w:p>
          <w:p>
            <w:pPr>
              <w:tabs>
                <w:tab w:val="left" w:pos="-1260"/>
              </w:tabs>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结果</w:t>
            </w:r>
          </w:p>
        </w:tc>
        <w:tc>
          <w:tcPr>
            <w:tcW w:w="992" w:type="dxa"/>
          </w:tcPr>
          <w:p>
            <w:pPr>
              <w:tabs>
                <w:tab w:val="left" w:pos="-1260"/>
              </w:tabs>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标准</w:t>
            </w:r>
          </w:p>
          <w:p>
            <w:pPr>
              <w:tabs>
                <w:tab w:val="left" w:pos="-1260"/>
              </w:tabs>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指数</w:t>
            </w:r>
          </w:p>
        </w:tc>
        <w:tc>
          <w:tcPr>
            <w:tcW w:w="1276" w:type="dxa"/>
          </w:tcPr>
          <w:p>
            <w:pPr>
              <w:tabs>
                <w:tab w:val="left" w:pos="-1260"/>
              </w:tabs>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监测</w:t>
            </w:r>
          </w:p>
          <w:p>
            <w:pPr>
              <w:tabs>
                <w:tab w:val="left" w:pos="-1260"/>
              </w:tabs>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结果</w:t>
            </w:r>
          </w:p>
        </w:tc>
        <w:tc>
          <w:tcPr>
            <w:tcW w:w="1275" w:type="dxa"/>
          </w:tcPr>
          <w:p>
            <w:pPr>
              <w:tabs>
                <w:tab w:val="left" w:pos="-1260"/>
              </w:tabs>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标准</w:t>
            </w:r>
          </w:p>
          <w:p>
            <w:pPr>
              <w:tabs>
                <w:tab w:val="left" w:pos="-1260"/>
              </w:tabs>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指数</w:t>
            </w:r>
          </w:p>
        </w:tc>
        <w:tc>
          <w:tcPr>
            <w:tcW w:w="1134" w:type="dxa"/>
          </w:tcPr>
          <w:p>
            <w:pPr>
              <w:tabs>
                <w:tab w:val="left" w:pos="-1260"/>
              </w:tabs>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监测</w:t>
            </w:r>
          </w:p>
          <w:p>
            <w:pPr>
              <w:tabs>
                <w:tab w:val="left" w:pos="-1260"/>
              </w:tabs>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结果</w:t>
            </w:r>
          </w:p>
        </w:tc>
        <w:tc>
          <w:tcPr>
            <w:tcW w:w="1043" w:type="dxa"/>
          </w:tcPr>
          <w:p>
            <w:pPr>
              <w:tabs>
                <w:tab w:val="left" w:pos="-1260"/>
              </w:tabs>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标准</w:t>
            </w:r>
          </w:p>
          <w:p>
            <w:pPr>
              <w:tabs>
                <w:tab w:val="left" w:pos="-1260"/>
              </w:tabs>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5"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pH（无量纲）</w:t>
            </w:r>
          </w:p>
        </w:tc>
        <w:tc>
          <w:tcPr>
            <w:tcW w:w="81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6.5-8.5</w:t>
            </w:r>
          </w:p>
        </w:tc>
        <w:tc>
          <w:tcPr>
            <w:tcW w:w="105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7.37-7.38</w:t>
            </w:r>
          </w:p>
        </w:tc>
        <w:tc>
          <w:tcPr>
            <w:tcW w:w="99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0.25</w:t>
            </w:r>
          </w:p>
        </w:tc>
        <w:tc>
          <w:tcPr>
            <w:tcW w:w="1276"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7.45-7.46</w:t>
            </w:r>
          </w:p>
        </w:tc>
        <w:tc>
          <w:tcPr>
            <w:tcW w:w="1275"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0.3-0.31</w:t>
            </w:r>
          </w:p>
        </w:tc>
        <w:tc>
          <w:tcPr>
            <w:tcW w:w="113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7.50</w:t>
            </w:r>
          </w:p>
        </w:tc>
        <w:tc>
          <w:tcPr>
            <w:tcW w:w="1043"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5"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氨氮</w:t>
            </w:r>
          </w:p>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（以N计）（mg/L）</w:t>
            </w:r>
          </w:p>
        </w:tc>
        <w:tc>
          <w:tcPr>
            <w:tcW w:w="81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0.50</w:t>
            </w:r>
          </w:p>
        </w:tc>
        <w:tc>
          <w:tcPr>
            <w:tcW w:w="105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99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c>
          <w:tcPr>
            <w:tcW w:w="1276"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1275"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c>
          <w:tcPr>
            <w:tcW w:w="113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1043"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5"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硫化物（mg/L）</w:t>
            </w:r>
          </w:p>
        </w:tc>
        <w:tc>
          <w:tcPr>
            <w:tcW w:w="81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0.0</w:t>
            </w:r>
            <w:r>
              <w:rPr>
                <w:rFonts w:hint="eastAsia" w:ascii="Times New Roman" w:hAnsi="Times New Roman" w:cs="Times New Roman" w:eastAsiaTheme="minorEastAsia"/>
                <w:kern w:val="0"/>
                <w:sz w:val="21"/>
                <w:szCs w:val="21"/>
              </w:rPr>
              <w:t>2</w:t>
            </w:r>
          </w:p>
        </w:tc>
        <w:tc>
          <w:tcPr>
            <w:tcW w:w="105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99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c>
          <w:tcPr>
            <w:tcW w:w="1276"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1275"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c>
          <w:tcPr>
            <w:tcW w:w="113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1043"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5"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硝酸盐</w:t>
            </w:r>
          </w:p>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（以N计）（mg/L）</w:t>
            </w:r>
          </w:p>
        </w:tc>
        <w:tc>
          <w:tcPr>
            <w:tcW w:w="81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20.0</w:t>
            </w:r>
          </w:p>
        </w:tc>
        <w:tc>
          <w:tcPr>
            <w:tcW w:w="105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15.1-15.2</w:t>
            </w:r>
          </w:p>
        </w:tc>
        <w:tc>
          <w:tcPr>
            <w:tcW w:w="99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0.755-0.760</w:t>
            </w:r>
          </w:p>
        </w:tc>
        <w:tc>
          <w:tcPr>
            <w:tcW w:w="1276"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9.77-9.86</w:t>
            </w:r>
          </w:p>
        </w:tc>
        <w:tc>
          <w:tcPr>
            <w:tcW w:w="1275"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0.489-0.493</w:t>
            </w:r>
          </w:p>
        </w:tc>
        <w:tc>
          <w:tcPr>
            <w:tcW w:w="113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8.90-9.00</w:t>
            </w:r>
          </w:p>
        </w:tc>
        <w:tc>
          <w:tcPr>
            <w:tcW w:w="1043"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0.445-0.450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5"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亚硝酸盐（以N计）</w:t>
            </w:r>
          </w:p>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（mg/L）</w:t>
            </w:r>
          </w:p>
        </w:tc>
        <w:tc>
          <w:tcPr>
            <w:tcW w:w="81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1.00</w:t>
            </w:r>
          </w:p>
        </w:tc>
        <w:tc>
          <w:tcPr>
            <w:tcW w:w="105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0.003</w:t>
            </w:r>
          </w:p>
        </w:tc>
        <w:tc>
          <w:tcPr>
            <w:tcW w:w="99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0.003</w:t>
            </w:r>
          </w:p>
        </w:tc>
        <w:tc>
          <w:tcPr>
            <w:tcW w:w="1276"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0.013-0.016</w:t>
            </w:r>
          </w:p>
        </w:tc>
        <w:tc>
          <w:tcPr>
            <w:tcW w:w="1275"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0.013-0.016</w:t>
            </w:r>
          </w:p>
        </w:tc>
        <w:tc>
          <w:tcPr>
            <w:tcW w:w="113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0.003</w:t>
            </w:r>
          </w:p>
        </w:tc>
        <w:tc>
          <w:tcPr>
            <w:tcW w:w="1043"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5" w:type="dxa"/>
            <w:vAlign w:val="center"/>
          </w:tcPr>
          <w:p>
            <w:pPr>
              <w:spacing w:line="240" w:lineRule="exact"/>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挥发性酚类</w:t>
            </w:r>
          </w:p>
          <w:p>
            <w:pPr>
              <w:spacing w:line="240" w:lineRule="exact"/>
              <w:ind w:firstLine="105" w:firstLineChars="50"/>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（以苯酚计）（mg/L）</w:t>
            </w:r>
          </w:p>
        </w:tc>
        <w:tc>
          <w:tcPr>
            <w:tcW w:w="81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0.0</w:t>
            </w:r>
            <w:r>
              <w:rPr>
                <w:rFonts w:hint="eastAsia" w:ascii="Times New Roman" w:hAnsi="Times New Roman" w:cs="Times New Roman" w:eastAsiaTheme="minorEastAsia"/>
                <w:kern w:val="0"/>
                <w:sz w:val="21"/>
                <w:szCs w:val="21"/>
              </w:rPr>
              <w:t>02</w:t>
            </w:r>
          </w:p>
        </w:tc>
        <w:tc>
          <w:tcPr>
            <w:tcW w:w="105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99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c>
          <w:tcPr>
            <w:tcW w:w="1276"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1275"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c>
          <w:tcPr>
            <w:tcW w:w="113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1043"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5"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氰化物（mg/L）</w:t>
            </w:r>
          </w:p>
        </w:tc>
        <w:tc>
          <w:tcPr>
            <w:tcW w:w="81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0.0</w:t>
            </w:r>
            <w:r>
              <w:rPr>
                <w:rFonts w:hint="eastAsia" w:ascii="Times New Roman" w:hAnsi="Times New Roman" w:cs="Times New Roman" w:eastAsiaTheme="minorEastAsia"/>
                <w:kern w:val="0"/>
                <w:sz w:val="21"/>
                <w:szCs w:val="21"/>
              </w:rPr>
              <w:t>5</w:t>
            </w:r>
          </w:p>
        </w:tc>
        <w:tc>
          <w:tcPr>
            <w:tcW w:w="105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99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c>
          <w:tcPr>
            <w:tcW w:w="1276"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1275"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c>
          <w:tcPr>
            <w:tcW w:w="113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1043"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5" w:type="dxa"/>
            <w:vAlign w:val="center"/>
          </w:tcPr>
          <w:p>
            <w:pPr>
              <w:spacing w:line="240" w:lineRule="exact"/>
              <w:jc w:val="center"/>
              <w:rPr>
                <w:rFonts w:ascii="Times New Roman" w:hAnsi="Times New Roman" w:cs="Times New Roman" w:eastAsiaTheme="minorEastAsia"/>
                <w:color w:val="000000"/>
                <w:kern w:val="0"/>
                <w:sz w:val="21"/>
                <w:szCs w:val="21"/>
              </w:rPr>
            </w:pPr>
            <w:r>
              <w:rPr>
                <w:rFonts w:ascii="Times New Roman" w:hAnsi="Times New Roman" w:cs="Times New Roman" w:eastAsiaTheme="minorEastAsia"/>
                <w:color w:val="000000"/>
                <w:kern w:val="0"/>
                <w:sz w:val="21"/>
                <w:szCs w:val="21"/>
              </w:rPr>
              <w:t>砷</w:t>
            </w:r>
            <w:r>
              <w:rPr>
                <w:rFonts w:ascii="Times New Roman" w:hAnsi="Times New Roman" w:cs="Times New Roman" w:eastAsiaTheme="minorEastAsia"/>
                <w:kern w:val="0"/>
                <w:sz w:val="21"/>
                <w:szCs w:val="21"/>
              </w:rPr>
              <w:t>（mg/L）</w:t>
            </w:r>
          </w:p>
        </w:tc>
        <w:tc>
          <w:tcPr>
            <w:tcW w:w="81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0.</w:t>
            </w:r>
            <w:r>
              <w:rPr>
                <w:rFonts w:hint="eastAsia" w:ascii="Times New Roman" w:hAnsi="Times New Roman" w:cs="Times New Roman" w:eastAsiaTheme="minorEastAsia"/>
                <w:kern w:val="0"/>
                <w:sz w:val="21"/>
                <w:szCs w:val="21"/>
              </w:rPr>
              <w:t>01</w:t>
            </w:r>
          </w:p>
        </w:tc>
        <w:tc>
          <w:tcPr>
            <w:tcW w:w="105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99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c>
          <w:tcPr>
            <w:tcW w:w="1276"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1275"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c>
          <w:tcPr>
            <w:tcW w:w="113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1043"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5"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汞（mg/L）</w:t>
            </w:r>
          </w:p>
        </w:tc>
        <w:tc>
          <w:tcPr>
            <w:tcW w:w="81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0.</w:t>
            </w:r>
            <w:r>
              <w:rPr>
                <w:rFonts w:hint="eastAsia" w:ascii="Times New Roman" w:hAnsi="Times New Roman" w:cs="Times New Roman" w:eastAsiaTheme="minorEastAsia"/>
                <w:kern w:val="0"/>
                <w:sz w:val="21"/>
                <w:szCs w:val="21"/>
              </w:rPr>
              <w:t>001</w:t>
            </w:r>
          </w:p>
        </w:tc>
        <w:tc>
          <w:tcPr>
            <w:tcW w:w="105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99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c>
          <w:tcPr>
            <w:tcW w:w="1276"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1275"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c>
          <w:tcPr>
            <w:tcW w:w="113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1043"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5"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铬（mg/L）</w:t>
            </w:r>
          </w:p>
        </w:tc>
        <w:tc>
          <w:tcPr>
            <w:tcW w:w="81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0.05</w:t>
            </w:r>
          </w:p>
        </w:tc>
        <w:tc>
          <w:tcPr>
            <w:tcW w:w="105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99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c>
          <w:tcPr>
            <w:tcW w:w="1276"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1275"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c>
          <w:tcPr>
            <w:tcW w:w="113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1043"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5"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总硬度（以CaCO</w:t>
            </w:r>
            <w:r>
              <w:rPr>
                <w:rFonts w:ascii="Times New Roman" w:hAnsi="Times New Roman" w:cs="Times New Roman" w:eastAsiaTheme="minorEastAsia"/>
                <w:kern w:val="0"/>
                <w:sz w:val="21"/>
                <w:szCs w:val="21"/>
                <w:vertAlign w:val="subscript"/>
              </w:rPr>
              <w:t>3</w:t>
            </w:r>
            <w:r>
              <w:rPr>
                <w:rFonts w:ascii="Times New Roman" w:hAnsi="Times New Roman" w:cs="Times New Roman" w:eastAsiaTheme="minorEastAsia"/>
                <w:kern w:val="0"/>
                <w:sz w:val="21"/>
                <w:szCs w:val="21"/>
              </w:rPr>
              <w:t>计）（mg/L）</w:t>
            </w:r>
          </w:p>
        </w:tc>
        <w:tc>
          <w:tcPr>
            <w:tcW w:w="81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450</w:t>
            </w:r>
          </w:p>
        </w:tc>
        <w:tc>
          <w:tcPr>
            <w:tcW w:w="105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769-772</w:t>
            </w:r>
          </w:p>
        </w:tc>
        <w:tc>
          <w:tcPr>
            <w:tcW w:w="99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1.709-1.716</w:t>
            </w:r>
          </w:p>
        </w:tc>
        <w:tc>
          <w:tcPr>
            <w:tcW w:w="1276"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596-597</w:t>
            </w:r>
          </w:p>
        </w:tc>
        <w:tc>
          <w:tcPr>
            <w:tcW w:w="1275"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1.324-1.327</w:t>
            </w:r>
          </w:p>
        </w:tc>
        <w:tc>
          <w:tcPr>
            <w:tcW w:w="113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497-498</w:t>
            </w:r>
          </w:p>
        </w:tc>
        <w:tc>
          <w:tcPr>
            <w:tcW w:w="1043"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1.104-1.107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5"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铅（mg/L）</w:t>
            </w:r>
          </w:p>
        </w:tc>
        <w:tc>
          <w:tcPr>
            <w:tcW w:w="81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0.01</w:t>
            </w:r>
          </w:p>
        </w:tc>
        <w:tc>
          <w:tcPr>
            <w:tcW w:w="105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99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c>
          <w:tcPr>
            <w:tcW w:w="1276"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1275"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c>
          <w:tcPr>
            <w:tcW w:w="113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1043"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5"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氟化物（mg/L）</w:t>
            </w:r>
          </w:p>
        </w:tc>
        <w:tc>
          <w:tcPr>
            <w:tcW w:w="81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1.0</w:t>
            </w:r>
          </w:p>
        </w:tc>
        <w:tc>
          <w:tcPr>
            <w:tcW w:w="105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0.29-0.31</w:t>
            </w:r>
          </w:p>
        </w:tc>
        <w:tc>
          <w:tcPr>
            <w:tcW w:w="99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0.29-0.31</w:t>
            </w:r>
          </w:p>
        </w:tc>
        <w:tc>
          <w:tcPr>
            <w:tcW w:w="1276"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0.39-0.44</w:t>
            </w:r>
          </w:p>
        </w:tc>
        <w:tc>
          <w:tcPr>
            <w:tcW w:w="1275"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0.39-0.44</w:t>
            </w:r>
          </w:p>
        </w:tc>
        <w:tc>
          <w:tcPr>
            <w:tcW w:w="113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0.15</w:t>
            </w:r>
          </w:p>
        </w:tc>
        <w:tc>
          <w:tcPr>
            <w:tcW w:w="1043"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5"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碘化物（mg/L）</w:t>
            </w:r>
          </w:p>
        </w:tc>
        <w:tc>
          <w:tcPr>
            <w:tcW w:w="81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0.08</w:t>
            </w:r>
          </w:p>
        </w:tc>
        <w:tc>
          <w:tcPr>
            <w:tcW w:w="105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99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c>
          <w:tcPr>
            <w:tcW w:w="1276"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1275"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c>
          <w:tcPr>
            <w:tcW w:w="113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1043"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5"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镉（mg/L）</w:t>
            </w:r>
          </w:p>
        </w:tc>
        <w:tc>
          <w:tcPr>
            <w:tcW w:w="81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0.005</w:t>
            </w:r>
          </w:p>
        </w:tc>
        <w:tc>
          <w:tcPr>
            <w:tcW w:w="105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99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c>
          <w:tcPr>
            <w:tcW w:w="1276"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1275"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c>
          <w:tcPr>
            <w:tcW w:w="113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1043"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5"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铁（mg/L）</w:t>
            </w:r>
          </w:p>
        </w:tc>
        <w:tc>
          <w:tcPr>
            <w:tcW w:w="81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0.3</w:t>
            </w:r>
          </w:p>
        </w:tc>
        <w:tc>
          <w:tcPr>
            <w:tcW w:w="105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99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c>
          <w:tcPr>
            <w:tcW w:w="1276"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1275"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c>
          <w:tcPr>
            <w:tcW w:w="113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1043"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5"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锰（mg/L）</w:t>
            </w:r>
          </w:p>
        </w:tc>
        <w:tc>
          <w:tcPr>
            <w:tcW w:w="81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0.10</w:t>
            </w:r>
          </w:p>
        </w:tc>
        <w:tc>
          <w:tcPr>
            <w:tcW w:w="105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0.0135-0.0158</w:t>
            </w:r>
          </w:p>
        </w:tc>
        <w:tc>
          <w:tcPr>
            <w:tcW w:w="99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0.0135-0.0158</w:t>
            </w:r>
          </w:p>
        </w:tc>
        <w:tc>
          <w:tcPr>
            <w:tcW w:w="1276"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0.0218-0.0324</w:t>
            </w:r>
          </w:p>
        </w:tc>
        <w:tc>
          <w:tcPr>
            <w:tcW w:w="1275"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0.0218-0.0324</w:t>
            </w:r>
          </w:p>
        </w:tc>
        <w:tc>
          <w:tcPr>
            <w:tcW w:w="113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1043"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5"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铜（mg/L）</w:t>
            </w:r>
          </w:p>
        </w:tc>
        <w:tc>
          <w:tcPr>
            <w:tcW w:w="81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1.00</w:t>
            </w:r>
          </w:p>
        </w:tc>
        <w:tc>
          <w:tcPr>
            <w:tcW w:w="105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99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c>
          <w:tcPr>
            <w:tcW w:w="1276"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1275"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c>
          <w:tcPr>
            <w:tcW w:w="113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1043"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5"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锌（mg/L）</w:t>
            </w:r>
          </w:p>
        </w:tc>
        <w:tc>
          <w:tcPr>
            <w:tcW w:w="81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1.00</w:t>
            </w:r>
          </w:p>
        </w:tc>
        <w:tc>
          <w:tcPr>
            <w:tcW w:w="105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99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c>
          <w:tcPr>
            <w:tcW w:w="1276"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1275"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c>
          <w:tcPr>
            <w:tcW w:w="113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1043"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5"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钼（mg/L）</w:t>
            </w:r>
          </w:p>
        </w:tc>
        <w:tc>
          <w:tcPr>
            <w:tcW w:w="81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0.20</w:t>
            </w:r>
          </w:p>
        </w:tc>
        <w:tc>
          <w:tcPr>
            <w:tcW w:w="105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99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c>
          <w:tcPr>
            <w:tcW w:w="1276"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1275"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c>
          <w:tcPr>
            <w:tcW w:w="113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1043"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5"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硒（mg/L）</w:t>
            </w:r>
          </w:p>
        </w:tc>
        <w:tc>
          <w:tcPr>
            <w:tcW w:w="81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0.01</w:t>
            </w:r>
          </w:p>
        </w:tc>
        <w:tc>
          <w:tcPr>
            <w:tcW w:w="105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0.0026</w:t>
            </w:r>
          </w:p>
        </w:tc>
        <w:tc>
          <w:tcPr>
            <w:tcW w:w="99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0.026</w:t>
            </w:r>
          </w:p>
        </w:tc>
        <w:tc>
          <w:tcPr>
            <w:tcW w:w="1276"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0.016</w:t>
            </w:r>
          </w:p>
        </w:tc>
        <w:tc>
          <w:tcPr>
            <w:tcW w:w="1275"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0.16</w:t>
            </w:r>
          </w:p>
        </w:tc>
        <w:tc>
          <w:tcPr>
            <w:tcW w:w="113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0.0015-0.0016</w:t>
            </w:r>
          </w:p>
        </w:tc>
        <w:tc>
          <w:tcPr>
            <w:tcW w:w="1043"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0.015-0.016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5"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阴离子表面活性剂（mg/L）</w:t>
            </w:r>
          </w:p>
        </w:tc>
        <w:tc>
          <w:tcPr>
            <w:tcW w:w="81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0.3</w:t>
            </w:r>
          </w:p>
        </w:tc>
        <w:tc>
          <w:tcPr>
            <w:tcW w:w="105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99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c>
          <w:tcPr>
            <w:tcW w:w="1276"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1275"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c>
          <w:tcPr>
            <w:tcW w:w="113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未检出</w:t>
            </w:r>
          </w:p>
        </w:tc>
        <w:tc>
          <w:tcPr>
            <w:tcW w:w="1043"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5"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溶解性总固体（mg/L）</w:t>
            </w:r>
          </w:p>
        </w:tc>
        <w:tc>
          <w:tcPr>
            <w:tcW w:w="81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1000</w:t>
            </w:r>
          </w:p>
        </w:tc>
        <w:tc>
          <w:tcPr>
            <w:tcW w:w="105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896-902</w:t>
            </w:r>
          </w:p>
        </w:tc>
        <w:tc>
          <w:tcPr>
            <w:tcW w:w="99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0.896-0.902</w:t>
            </w:r>
          </w:p>
        </w:tc>
        <w:tc>
          <w:tcPr>
            <w:tcW w:w="1276"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690-694</w:t>
            </w:r>
          </w:p>
        </w:tc>
        <w:tc>
          <w:tcPr>
            <w:tcW w:w="1275"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0.690-0.694</w:t>
            </w:r>
          </w:p>
        </w:tc>
        <w:tc>
          <w:tcPr>
            <w:tcW w:w="113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563-567</w:t>
            </w:r>
          </w:p>
        </w:tc>
        <w:tc>
          <w:tcPr>
            <w:tcW w:w="1043"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0.563-0.567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5"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耗氧量（COD</w:t>
            </w:r>
            <w:r>
              <w:rPr>
                <w:rFonts w:ascii="Times New Roman" w:hAnsi="Times New Roman" w:cs="Times New Roman" w:eastAsiaTheme="minorEastAsia"/>
                <w:kern w:val="0"/>
                <w:sz w:val="21"/>
                <w:szCs w:val="21"/>
                <w:vertAlign w:val="subscript"/>
              </w:rPr>
              <w:t>Mn</w:t>
            </w:r>
            <w:r>
              <w:rPr>
                <w:rFonts w:ascii="Times New Roman" w:hAnsi="Times New Roman" w:cs="Times New Roman" w:eastAsiaTheme="minorEastAsia"/>
                <w:kern w:val="0"/>
                <w:sz w:val="21"/>
                <w:szCs w:val="21"/>
              </w:rPr>
              <w:t>法，以O</w:t>
            </w:r>
            <w:r>
              <w:rPr>
                <w:rFonts w:ascii="Times New Roman" w:hAnsi="Times New Roman" w:cs="Times New Roman" w:eastAsiaTheme="minorEastAsia"/>
                <w:kern w:val="0"/>
                <w:sz w:val="21"/>
                <w:szCs w:val="21"/>
                <w:vertAlign w:val="subscript"/>
              </w:rPr>
              <w:t>2</w:t>
            </w:r>
            <w:r>
              <w:rPr>
                <w:rFonts w:ascii="Times New Roman" w:hAnsi="Times New Roman" w:cs="Times New Roman" w:eastAsiaTheme="minorEastAsia"/>
                <w:kern w:val="0"/>
                <w:sz w:val="21"/>
                <w:szCs w:val="21"/>
              </w:rPr>
              <w:t>计）mg/L</w:t>
            </w:r>
          </w:p>
        </w:tc>
        <w:tc>
          <w:tcPr>
            <w:tcW w:w="81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3.0</w:t>
            </w:r>
          </w:p>
        </w:tc>
        <w:tc>
          <w:tcPr>
            <w:tcW w:w="105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0.44-0.51</w:t>
            </w:r>
          </w:p>
        </w:tc>
        <w:tc>
          <w:tcPr>
            <w:tcW w:w="99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0.147-0.170</w:t>
            </w:r>
          </w:p>
        </w:tc>
        <w:tc>
          <w:tcPr>
            <w:tcW w:w="1276"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0.76-0.86</w:t>
            </w:r>
          </w:p>
        </w:tc>
        <w:tc>
          <w:tcPr>
            <w:tcW w:w="1275"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0.253-0.287</w:t>
            </w:r>
          </w:p>
        </w:tc>
        <w:tc>
          <w:tcPr>
            <w:tcW w:w="113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0.32-0.35</w:t>
            </w:r>
          </w:p>
        </w:tc>
        <w:tc>
          <w:tcPr>
            <w:tcW w:w="1043"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0.107-0.117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5"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总大肠菌群MPN/100mL</w:t>
            </w:r>
          </w:p>
        </w:tc>
        <w:tc>
          <w:tcPr>
            <w:tcW w:w="81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3.0</w:t>
            </w:r>
          </w:p>
        </w:tc>
        <w:tc>
          <w:tcPr>
            <w:tcW w:w="105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w:t>
            </w:r>
            <w:r>
              <w:rPr>
                <w:rFonts w:ascii="Times New Roman" w:hAnsi="Times New Roman" w:cs="Times New Roman" w:eastAsiaTheme="minorEastAsia"/>
                <w:kern w:val="0"/>
                <w:sz w:val="21"/>
                <w:szCs w:val="21"/>
              </w:rPr>
              <w:t>2</w:t>
            </w:r>
          </w:p>
        </w:tc>
        <w:tc>
          <w:tcPr>
            <w:tcW w:w="99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c>
          <w:tcPr>
            <w:tcW w:w="1276"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w:t>
            </w:r>
            <w:r>
              <w:rPr>
                <w:rFonts w:ascii="Times New Roman" w:hAnsi="Times New Roman" w:cs="Times New Roman" w:eastAsiaTheme="minorEastAsia"/>
                <w:kern w:val="0"/>
                <w:sz w:val="21"/>
                <w:szCs w:val="21"/>
              </w:rPr>
              <w:t>2</w:t>
            </w:r>
          </w:p>
        </w:tc>
        <w:tc>
          <w:tcPr>
            <w:tcW w:w="1275"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c>
          <w:tcPr>
            <w:tcW w:w="113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w:t>
            </w:r>
            <w:r>
              <w:rPr>
                <w:rFonts w:ascii="Times New Roman" w:hAnsi="Times New Roman" w:cs="Times New Roman" w:eastAsiaTheme="minorEastAsia"/>
                <w:kern w:val="0"/>
                <w:sz w:val="21"/>
                <w:szCs w:val="21"/>
              </w:rPr>
              <w:t>2</w:t>
            </w:r>
          </w:p>
        </w:tc>
        <w:tc>
          <w:tcPr>
            <w:tcW w:w="1043"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cs="Times New Roman" w:asciiTheme="minorEastAsia" w:hAnsiTheme="minorEastAsia" w:eastAsiaTheme="minor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5" w:type="dxa"/>
            <w:vAlign w:val="center"/>
          </w:tcPr>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细菌总数</w:t>
            </w:r>
          </w:p>
          <w:p>
            <w:pPr>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（CFU/mL）</w:t>
            </w:r>
          </w:p>
        </w:tc>
        <w:tc>
          <w:tcPr>
            <w:tcW w:w="81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ascii="Times New Roman" w:hAnsi="Times New Roman" w:cs="Times New Roman" w:eastAsiaTheme="minorEastAsia"/>
                <w:kern w:val="0"/>
                <w:sz w:val="21"/>
                <w:szCs w:val="21"/>
              </w:rPr>
              <w:t>100</w:t>
            </w:r>
          </w:p>
        </w:tc>
        <w:tc>
          <w:tcPr>
            <w:tcW w:w="105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73-75</w:t>
            </w:r>
          </w:p>
        </w:tc>
        <w:tc>
          <w:tcPr>
            <w:tcW w:w="992"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0.73-0.75</w:t>
            </w:r>
          </w:p>
        </w:tc>
        <w:tc>
          <w:tcPr>
            <w:tcW w:w="1276"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86-89</w:t>
            </w:r>
          </w:p>
        </w:tc>
        <w:tc>
          <w:tcPr>
            <w:tcW w:w="1275"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0.86-0.89</w:t>
            </w:r>
          </w:p>
        </w:tc>
        <w:tc>
          <w:tcPr>
            <w:tcW w:w="1134"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44-49</w:t>
            </w:r>
          </w:p>
        </w:tc>
        <w:tc>
          <w:tcPr>
            <w:tcW w:w="1043" w:type="dxa"/>
            <w:vAlign w:val="center"/>
          </w:tcPr>
          <w:p>
            <w:pPr>
              <w:tabs>
                <w:tab w:val="left" w:pos="-1260"/>
              </w:tabs>
              <w:spacing w:line="240" w:lineRule="exact"/>
              <w:jc w:val="center"/>
              <w:rPr>
                <w:rFonts w:ascii="Times New Roman" w:hAnsi="Times New Roman" w:cs="Times New Roman" w:eastAsiaTheme="minorEastAsia"/>
                <w:kern w:val="0"/>
                <w:sz w:val="21"/>
                <w:szCs w:val="21"/>
              </w:rPr>
            </w:pPr>
            <w:r>
              <w:rPr>
                <w:rFonts w:hint="eastAsia" w:ascii="Times New Roman" w:hAnsi="Times New Roman" w:cs="Times New Roman" w:eastAsiaTheme="minorEastAsia"/>
                <w:kern w:val="0"/>
                <w:sz w:val="21"/>
                <w:szCs w:val="21"/>
              </w:rPr>
              <w:t>0.44-0.49</w:t>
            </w:r>
          </w:p>
        </w:tc>
      </w:tr>
    </w:tbl>
    <w:p>
      <w:pPr>
        <w:spacing w:line="360" w:lineRule="auto"/>
        <w:ind w:firstLine="480" w:firstLineChars="200"/>
        <w:rPr>
          <w:rFonts w:ascii="Times New Roman" w:hAnsi="Times New Roman" w:cs="Times New Roman"/>
          <w:color w:val="FF0000"/>
          <w:sz w:val="24"/>
          <w:szCs w:val="24"/>
        </w:rPr>
      </w:pPr>
    </w:p>
    <w:p>
      <w:pPr>
        <w:spacing w:line="360" w:lineRule="auto"/>
        <w:ind w:firstLine="482" w:firstLineChars="200"/>
        <w:jc w:val="center"/>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表4-9     水质化学类型分析结果   单位：%</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990"/>
        <w:gridCol w:w="849"/>
        <w:gridCol w:w="711"/>
        <w:gridCol w:w="707"/>
        <w:gridCol w:w="850"/>
        <w:gridCol w:w="709"/>
        <w:gridCol w:w="707"/>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7" w:hRule="atLeast"/>
        </w:trPr>
        <w:tc>
          <w:tcPr>
            <w:tcW w:w="1388" w:type="dxa"/>
            <w:vAlign w:val="center"/>
          </w:tcPr>
          <w:p>
            <w:pPr>
              <w:spacing w:line="32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pict>
                <v:shape id="_x0000_s1784" o:spid="_x0000_s1784" o:spt="202" type="#_x0000_t202" style="position:absolute;left:0pt;margin-left:-6.55pt;margin-top:26.65pt;height:21pt;width:50.25pt;z-index:252412928;mso-width-relative:page;mso-height-relative:page;" filled="f" stroked="f" coordsize="21600,21600">
                  <v:path/>
                  <v:fill on="f" focussize="0,0"/>
                  <v:stroke on="f" joinstyle="miter"/>
                  <v:imagedata o:title=""/>
                  <o:lock v:ext="edit"/>
                  <v:textbox>
                    <w:txbxContent>
                      <w:p>
                        <w:r>
                          <w:rPr>
                            <w:rFonts w:hint="eastAsia"/>
                          </w:rPr>
                          <w:t>点位</w:t>
                        </w:r>
                      </w:p>
                    </w:txbxContent>
                  </v:textbox>
                </v:shape>
              </w:pict>
            </w:r>
            <w:r>
              <w:rPr>
                <w:rFonts w:ascii="Times New Roman" w:hAnsi="Times New Roman" w:cs="Times New Roman"/>
                <w:color w:val="000000" w:themeColor="text1"/>
                <w:szCs w:val="21"/>
              </w:rPr>
              <w:pict>
                <v:shape id="_x0000_s1783" o:spid="_x0000_s1783" o:spt="202" type="#_x0000_t202" style="position:absolute;left:0pt;margin-left:19.05pt;margin-top:-0.05pt;height:21pt;width:50.25pt;z-index:252411904;mso-width-relative:page;mso-height-relative:page;" filled="f" stroked="f" coordsize="21600,21600">
                  <v:path/>
                  <v:fill on="f" focussize="0,0"/>
                  <v:stroke on="f" joinstyle="miter"/>
                  <v:imagedata o:title=""/>
                  <o:lock v:ext="edit"/>
                  <v:textbox>
                    <w:txbxContent>
                      <w:p>
                        <w:r>
                          <w:rPr>
                            <w:rFonts w:hint="eastAsia"/>
                          </w:rPr>
                          <w:t>项目</w:t>
                        </w:r>
                      </w:p>
                    </w:txbxContent>
                  </v:textbox>
                </v:shape>
              </w:pict>
            </w:r>
            <w:r>
              <w:rPr>
                <w:rFonts w:ascii="Times New Roman" w:hAnsi="Times New Roman" w:cs="Times New Roman"/>
                <w:color w:val="000000" w:themeColor="text1"/>
                <w:szCs w:val="21"/>
              </w:rPr>
              <w:pict>
                <v:shape id="_x0000_s1782" o:spid="_x0000_s1782" o:spt="32" type="#_x0000_t32" style="position:absolute;left:0pt;margin-left:-6.65pt;margin-top:-0.35pt;height:48pt;width:69pt;z-index:252410880;mso-width-relative:page;mso-height-relative:page;" o:connectortype="straight" filled="f" coordsize="21600,21600">
                  <v:path arrowok="t"/>
                  <v:fill on="f" focussize="0,0"/>
                  <v:stroke/>
                  <v:imagedata o:title=""/>
                  <o:lock v:ext="edit"/>
                </v:shape>
              </w:pict>
            </w:r>
          </w:p>
        </w:tc>
        <w:tc>
          <w:tcPr>
            <w:tcW w:w="990"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K</w:t>
            </w:r>
            <w:r>
              <w:rPr>
                <w:rFonts w:hint="eastAsia" w:ascii="Times New Roman" w:hAnsi="Times New Roman" w:cs="Times New Roman"/>
                <w:color w:val="000000" w:themeColor="text1"/>
                <w:szCs w:val="21"/>
                <w:vertAlign w:val="superscript"/>
              </w:rPr>
              <w:t>+</w:t>
            </w:r>
            <w:r>
              <w:rPr>
                <w:rFonts w:hint="eastAsia" w:ascii="Times New Roman" w:hAnsi="Times New Roman" w:cs="Times New Roman"/>
                <w:color w:val="000000" w:themeColor="text1"/>
                <w:szCs w:val="21"/>
              </w:rPr>
              <w:t>+Na</w:t>
            </w:r>
            <w:r>
              <w:rPr>
                <w:rFonts w:hint="eastAsia" w:ascii="Times New Roman" w:hAnsi="Times New Roman" w:cs="Times New Roman"/>
                <w:color w:val="000000" w:themeColor="text1"/>
                <w:szCs w:val="21"/>
                <w:vertAlign w:val="superscript"/>
              </w:rPr>
              <w:t>+</w:t>
            </w:r>
          </w:p>
        </w:tc>
        <w:tc>
          <w:tcPr>
            <w:tcW w:w="849"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Ca</w:t>
            </w:r>
            <w:r>
              <w:rPr>
                <w:rFonts w:hint="eastAsia" w:ascii="Times New Roman" w:hAnsi="Times New Roman" w:cs="Times New Roman"/>
                <w:color w:val="000000" w:themeColor="text1"/>
                <w:szCs w:val="21"/>
                <w:vertAlign w:val="superscript"/>
              </w:rPr>
              <w:t>2+</w:t>
            </w:r>
          </w:p>
        </w:tc>
        <w:tc>
          <w:tcPr>
            <w:tcW w:w="711"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Mg</w:t>
            </w:r>
            <w:r>
              <w:rPr>
                <w:rFonts w:hint="eastAsia" w:ascii="Times New Roman" w:hAnsi="Times New Roman" w:cs="Times New Roman"/>
                <w:color w:val="000000" w:themeColor="text1"/>
                <w:szCs w:val="21"/>
                <w:vertAlign w:val="superscript"/>
              </w:rPr>
              <w:t>2+</w:t>
            </w:r>
          </w:p>
        </w:tc>
        <w:tc>
          <w:tcPr>
            <w:tcW w:w="707"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CO</w:t>
            </w:r>
            <w:r>
              <w:rPr>
                <w:rFonts w:hint="eastAsia" w:ascii="Times New Roman" w:hAnsi="Times New Roman" w:cs="Times New Roman"/>
                <w:color w:val="000000" w:themeColor="text1"/>
                <w:szCs w:val="21"/>
                <w:vertAlign w:val="subscript"/>
              </w:rPr>
              <w:t>3</w:t>
            </w:r>
            <w:r>
              <w:rPr>
                <w:rFonts w:hint="eastAsia" w:ascii="Times New Roman" w:hAnsi="Times New Roman" w:cs="Times New Roman"/>
                <w:color w:val="000000" w:themeColor="text1"/>
                <w:szCs w:val="21"/>
                <w:vertAlign w:val="superscript"/>
              </w:rPr>
              <w:t>2-</w:t>
            </w:r>
          </w:p>
        </w:tc>
        <w:tc>
          <w:tcPr>
            <w:tcW w:w="850"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HCO</w:t>
            </w:r>
            <w:r>
              <w:rPr>
                <w:rFonts w:hint="eastAsia" w:ascii="Times New Roman" w:hAnsi="Times New Roman" w:cs="Times New Roman"/>
                <w:color w:val="000000" w:themeColor="text1"/>
                <w:szCs w:val="21"/>
                <w:vertAlign w:val="subscript"/>
              </w:rPr>
              <w:t>3</w:t>
            </w:r>
            <w:r>
              <w:rPr>
                <w:rFonts w:hint="eastAsia" w:ascii="Times New Roman" w:hAnsi="Times New Roman" w:cs="Times New Roman"/>
                <w:color w:val="000000" w:themeColor="text1"/>
                <w:szCs w:val="21"/>
                <w:vertAlign w:val="superscript"/>
              </w:rPr>
              <w:t>-</w:t>
            </w:r>
          </w:p>
        </w:tc>
        <w:tc>
          <w:tcPr>
            <w:tcW w:w="709"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SO</w:t>
            </w:r>
            <w:r>
              <w:rPr>
                <w:rFonts w:hint="eastAsia" w:ascii="Times New Roman" w:hAnsi="Times New Roman" w:cs="Times New Roman"/>
                <w:color w:val="000000" w:themeColor="text1"/>
                <w:szCs w:val="21"/>
                <w:vertAlign w:val="subscript"/>
              </w:rPr>
              <w:t>4</w:t>
            </w:r>
            <w:r>
              <w:rPr>
                <w:rFonts w:hint="eastAsia" w:ascii="Times New Roman" w:hAnsi="Times New Roman" w:cs="Times New Roman"/>
                <w:color w:val="000000" w:themeColor="text1"/>
                <w:szCs w:val="21"/>
                <w:vertAlign w:val="superscript"/>
              </w:rPr>
              <w:t>2-</w:t>
            </w:r>
          </w:p>
        </w:tc>
        <w:tc>
          <w:tcPr>
            <w:tcW w:w="707"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Cl</w:t>
            </w:r>
            <w:r>
              <w:rPr>
                <w:rFonts w:hint="eastAsia" w:ascii="Times New Roman" w:hAnsi="Times New Roman" w:cs="Times New Roman"/>
                <w:color w:val="000000" w:themeColor="text1"/>
                <w:szCs w:val="21"/>
                <w:vertAlign w:val="superscript"/>
              </w:rPr>
              <w:t>-</w:t>
            </w:r>
          </w:p>
        </w:tc>
        <w:tc>
          <w:tcPr>
            <w:tcW w:w="1611"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化学类型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88"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文景苑小区</w:t>
            </w:r>
          </w:p>
        </w:tc>
        <w:tc>
          <w:tcPr>
            <w:tcW w:w="990"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19.90</w:t>
            </w:r>
          </w:p>
        </w:tc>
        <w:tc>
          <w:tcPr>
            <w:tcW w:w="849"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39.22</w:t>
            </w:r>
          </w:p>
        </w:tc>
        <w:tc>
          <w:tcPr>
            <w:tcW w:w="711"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40.87</w:t>
            </w:r>
          </w:p>
        </w:tc>
        <w:tc>
          <w:tcPr>
            <w:tcW w:w="707"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w:t>
            </w:r>
          </w:p>
        </w:tc>
        <w:tc>
          <w:tcPr>
            <w:tcW w:w="850"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60.18</w:t>
            </w:r>
          </w:p>
        </w:tc>
        <w:tc>
          <w:tcPr>
            <w:tcW w:w="709"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14.36</w:t>
            </w:r>
          </w:p>
        </w:tc>
        <w:tc>
          <w:tcPr>
            <w:tcW w:w="707"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25.46</w:t>
            </w:r>
          </w:p>
        </w:tc>
        <w:tc>
          <w:tcPr>
            <w:tcW w:w="1611"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重碳酸氯化物 镁钙型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88"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医院所在位置</w:t>
            </w:r>
          </w:p>
        </w:tc>
        <w:tc>
          <w:tcPr>
            <w:tcW w:w="990"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17.61</w:t>
            </w:r>
          </w:p>
        </w:tc>
        <w:tc>
          <w:tcPr>
            <w:tcW w:w="849"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34.28</w:t>
            </w:r>
          </w:p>
        </w:tc>
        <w:tc>
          <w:tcPr>
            <w:tcW w:w="711"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48.11</w:t>
            </w:r>
          </w:p>
        </w:tc>
        <w:tc>
          <w:tcPr>
            <w:tcW w:w="707"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w:t>
            </w:r>
          </w:p>
        </w:tc>
        <w:tc>
          <w:tcPr>
            <w:tcW w:w="850"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72.01</w:t>
            </w:r>
          </w:p>
        </w:tc>
        <w:tc>
          <w:tcPr>
            <w:tcW w:w="709"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17.59</w:t>
            </w:r>
          </w:p>
        </w:tc>
        <w:tc>
          <w:tcPr>
            <w:tcW w:w="707"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10.39</w:t>
            </w:r>
          </w:p>
        </w:tc>
        <w:tc>
          <w:tcPr>
            <w:tcW w:w="1611"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重碳酸 镁钙型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88"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中央司法警官学院</w:t>
            </w:r>
          </w:p>
        </w:tc>
        <w:tc>
          <w:tcPr>
            <w:tcW w:w="990"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15.56</w:t>
            </w:r>
          </w:p>
        </w:tc>
        <w:tc>
          <w:tcPr>
            <w:tcW w:w="849"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42.01</w:t>
            </w:r>
          </w:p>
        </w:tc>
        <w:tc>
          <w:tcPr>
            <w:tcW w:w="711"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42.24</w:t>
            </w:r>
          </w:p>
        </w:tc>
        <w:tc>
          <w:tcPr>
            <w:tcW w:w="707"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w:t>
            </w:r>
          </w:p>
        </w:tc>
        <w:tc>
          <w:tcPr>
            <w:tcW w:w="850"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74.30</w:t>
            </w:r>
          </w:p>
        </w:tc>
        <w:tc>
          <w:tcPr>
            <w:tcW w:w="709"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16.25</w:t>
            </w:r>
          </w:p>
        </w:tc>
        <w:tc>
          <w:tcPr>
            <w:tcW w:w="707"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9.46</w:t>
            </w:r>
          </w:p>
        </w:tc>
        <w:tc>
          <w:tcPr>
            <w:tcW w:w="1611"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重碳酸 镁钙型</w:t>
            </w:r>
          </w:p>
        </w:tc>
      </w:tr>
    </w:tbl>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由</w:t>
      </w:r>
      <w:r>
        <w:rPr>
          <w:rFonts w:hint="eastAsia" w:ascii="Times New Roman" w:hAnsi="Times New Roman" w:cs="Times New Roman"/>
          <w:color w:val="000000" w:themeColor="text1"/>
          <w:sz w:val="24"/>
          <w:szCs w:val="24"/>
        </w:rPr>
        <w:t>上</w:t>
      </w:r>
      <w:r>
        <w:rPr>
          <w:rFonts w:ascii="Times New Roman" w:hAnsi="Times New Roman" w:cs="Times New Roman"/>
          <w:color w:val="000000" w:themeColor="text1"/>
          <w:sz w:val="24"/>
          <w:szCs w:val="24"/>
        </w:rPr>
        <w:t>可知：区域内</w:t>
      </w:r>
      <w:r>
        <w:rPr>
          <w:rFonts w:hint="eastAsia" w:ascii="Times New Roman" w:hAnsi="Times New Roman" w:cs="Times New Roman"/>
          <w:color w:val="000000" w:themeColor="text1"/>
          <w:sz w:val="24"/>
          <w:szCs w:val="24"/>
        </w:rPr>
        <w:t>总硬度由于地质原因，地下水中钙、镁离子浓度较高造成总硬度超标，其他</w:t>
      </w:r>
      <w:r>
        <w:rPr>
          <w:rFonts w:ascii="Times New Roman" w:hAnsi="Times New Roman" w:cs="Times New Roman"/>
          <w:color w:val="000000" w:themeColor="text1"/>
          <w:sz w:val="24"/>
          <w:szCs w:val="24"/>
        </w:rPr>
        <w:t>各地下水监测点位所有监测项目均不超标，监测项目的标准指数均小于1，表明评价区域地下水水质较好，评价区域内地下水水质符合《地下水质量标准》（GB/T14848—</w:t>
      </w:r>
      <w:r>
        <w:rPr>
          <w:rFonts w:hint="eastAsia" w:ascii="Times New Roman" w:hAnsi="Times New Roman" w:cs="Times New Roman"/>
          <w:color w:val="000000" w:themeColor="text1"/>
          <w:sz w:val="24"/>
          <w:szCs w:val="24"/>
        </w:rPr>
        <w:t>2017</w:t>
      </w:r>
      <w:r>
        <w:rPr>
          <w:rFonts w:ascii="Times New Roman" w:hAnsi="Times New Roman" w:cs="Times New Roman"/>
          <w:color w:val="000000" w:themeColor="text1"/>
          <w:sz w:val="24"/>
          <w:szCs w:val="24"/>
        </w:rPr>
        <w:t>）</w:t>
      </w:r>
      <w:r>
        <w:rPr>
          <w:rFonts w:hint="eastAsia" w:ascii="宋体" w:hAnsi="宋体" w:eastAsia="宋体" w:cs="宋体"/>
          <w:color w:val="000000" w:themeColor="text1"/>
          <w:sz w:val="24"/>
          <w:szCs w:val="24"/>
        </w:rPr>
        <w:t>Ⅲ</w:t>
      </w:r>
      <w:r>
        <w:rPr>
          <w:rFonts w:ascii="Times New Roman" w:hAnsi="Times New Roman" w:cs="Times New Roman"/>
          <w:color w:val="000000" w:themeColor="text1"/>
          <w:sz w:val="24"/>
          <w:szCs w:val="24"/>
        </w:rPr>
        <w:t>类标准要求。</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4.3.3声环境质量现状监测与评价</w:t>
      </w:r>
    </w:p>
    <w:p>
      <w:pPr>
        <w:pStyle w:val="5"/>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4.3.3.1声环境质量现状监测</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（1）监测点布设</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项目区东、南、西、北四边界各设置1个</w:t>
      </w:r>
      <w:r>
        <w:rPr>
          <w:rFonts w:hint="eastAsia" w:ascii="Times New Roman" w:hAnsi="Times New Roman" w:cs="Times New Roman"/>
          <w:sz w:val="24"/>
          <w:szCs w:val="24"/>
        </w:rPr>
        <w:t>，西侧敏感点文景苑小区、东侧敏感点中央司法警官学院、北侧华北电力大学各设一个</w:t>
      </w:r>
      <w:r>
        <w:rPr>
          <w:rFonts w:ascii="Times New Roman" w:hAnsi="Times New Roman" w:cs="Times New Roman"/>
          <w:sz w:val="24"/>
          <w:szCs w:val="24"/>
        </w:rPr>
        <w:t>。</w:t>
      </w:r>
      <w:r>
        <w:rPr>
          <w:rFonts w:hint="eastAsia" w:ascii="Times New Roman" w:hAnsi="Times New Roman" w:cs="Times New Roman"/>
          <w:sz w:val="24"/>
          <w:szCs w:val="24"/>
        </w:rPr>
        <w:t>共设7个监测点位。</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（2）监测因子</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等效连续A声级。</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（3）监测时间及频率</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监测时间为2019 年4 月17日-18 日，分别在昼间、夜间两个时段测量，夜间有频发、偶发噪声影响时同时测量最大声级，每次每个监测点测量10min的等效连续A 声级。</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（4）监测方法</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按照《声环境质量标准》（GB12348-2008）中的规定进行。监测点尽量避开交通噪声和施工噪声的影响，监测时段内无雨、无雷电天气，符合监测条件。</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（5）监测结果</w:t>
      </w:r>
    </w:p>
    <w:p>
      <w:pPr>
        <w:tabs>
          <w:tab w:val="left" w:pos="-1260"/>
        </w:tabs>
        <w:spacing w:line="360" w:lineRule="auto"/>
        <w:ind w:firstLine="488" w:firstLineChars="200"/>
        <w:rPr>
          <w:rFonts w:ascii="Times New Roman" w:hAnsi="Times New Roman" w:cs="Times New Roman" w:eastAsiaTheme="majorEastAsia"/>
          <w:b/>
          <w:sz w:val="24"/>
        </w:rPr>
      </w:pPr>
      <w:r>
        <w:rPr>
          <w:rFonts w:ascii="Times New Roman" w:hAnsi="Times New Roman" w:cs="Times New Roman"/>
          <w:spacing w:val="2"/>
          <w:kern w:val="0"/>
          <w:sz w:val="24"/>
        </w:rPr>
        <w:t>声环境质量现状监测结果见表4-</w:t>
      </w:r>
      <w:r>
        <w:rPr>
          <w:rFonts w:hint="eastAsia" w:ascii="Times New Roman" w:hAnsi="Times New Roman" w:cs="Times New Roman"/>
          <w:spacing w:val="2"/>
          <w:kern w:val="0"/>
          <w:sz w:val="24"/>
        </w:rPr>
        <w:t>10</w:t>
      </w:r>
      <w:r>
        <w:rPr>
          <w:rFonts w:ascii="Times New Roman" w:hAnsi="Times New Roman" w:cs="Times New Roman"/>
          <w:spacing w:val="2"/>
          <w:kern w:val="0"/>
          <w:sz w:val="24"/>
        </w:rPr>
        <w:t>。</w:t>
      </w:r>
    </w:p>
    <w:p>
      <w:pPr>
        <w:spacing w:line="360" w:lineRule="auto"/>
        <w:rPr>
          <w:rFonts w:ascii="Times New Roman" w:hAnsi="Times New Roman" w:cs="Times New Roman" w:eastAsiaTheme="majorEastAsia"/>
          <w:b/>
          <w:sz w:val="24"/>
        </w:rPr>
      </w:pPr>
    </w:p>
    <w:p>
      <w:pPr>
        <w:spacing w:line="360" w:lineRule="auto"/>
        <w:rPr>
          <w:rFonts w:ascii="Times New Roman" w:hAnsi="Times New Roman" w:cs="Times New Roman" w:eastAsiaTheme="majorEastAsia"/>
          <w:b/>
          <w:sz w:val="24"/>
        </w:rPr>
      </w:pPr>
    </w:p>
    <w:p>
      <w:pPr>
        <w:spacing w:line="360" w:lineRule="auto"/>
        <w:ind w:firstLine="1325" w:firstLineChars="550"/>
        <w:jc w:val="center"/>
        <w:rPr>
          <w:rFonts w:ascii="Times New Roman" w:hAnsi="Times New Roman" w:cs="Times New Roman" w:eastAsiaTheme="majorEastAsia"/>
          <w:b/>
          <w:sz w:val="24"/>
        </w:rPr>
      </w:pPr>
      <w:r>
        <w:rPr>
          <w:rFonts w:ascii="Times New Roman" w:hAnsi="Times New Roman" w:cs="Times New Roman" w:eastAsiaTheme="majorEastAsia"/>
          <w:b/>
          <w:sz w:val="24"/>
        </w:rPr>
        <w:t>表4-</w:t>
      </w:r>
      <w:r>
        <w:rPr>
          <w:rFonts w:hint="eastAsia" w:ascii="Times New Roman" w:hAnsi="Times New Roman" w:cs="Times New Roman" w:eastAsiaTheme="majorEastAsia"/>
          <w:b/>
          <w:sz w:val="24"/>
        </w:rPr>
        <w:t>10</w:t>
      </w:r>
      <w:r>
        <w:rPr>
          <w:rFonts w:ascii="Times New Roman" w:hAnsi="Times New Roman" w:cs="Times New Roman" w:eastAsiaTheme="majorEastAsia"/>
          <w:b/>
          <w:sz w:val="24"/>
        </w:rPr>
        <w:t xml:space="preserve">  声环境质量现状监测结果一览表</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8"/>
        <w:gridCol w:w="1422"/>
        <w:gridCol w:w="1704"/>
        <w:gridCol w:w="1704"/>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8" w:type="dxa"/>
            <w:vMerge w:val="restart"/>
            <w:vAlign w:val="center"/>
          </w:tcPr>
          <w:p>
            <w:pPr>
              <w:spacing w:line="300" w:lineRule="exact"/>
              <w:jc w:val="center"/>
              <w:rPr>
                <w:rFonts w:ascii="Times New Roman" w:hAnsi="Times New Roman" w:cs="Times New Roman"/>
                <w:szCs w:val="21"/>
              </w:rPr>
            </w:pPr>
            <w:r>
              <w:rPr>
                <w:rFonts w:ascii="Times New Roman" w:hAnsi="Times New Roman" w:cs="Times New Roman"/>
                <w:szCs w:val="21"/>
              </w:rPr>
              <w:pict>
                <v:shape id="_x0000_s1229" o:spid="_x0000_s1229" o:spt="202" type="#_x0000_t202" style="position:absolute;left:0pt;margin-left:-5.8pt;margin-top:24.7pt;height:24pt;width:66pt;z-index:252095488;mso-width-relative:page;mso-height-relative:page;" filled="f" stroked="f" coordsize="21600,21600">
                  <v:path/>
                  <v:fill on="f" focussize="0,0"/>
                  <v:stroke on="f" joinstyle="miter"/>
                  <v:imagedata o:title=""/>
                  <o:lock v:ext="edit"/>
                  <v:textbox>
                    <w:txbxContent>
                      <w:p>
                        <w:r>
                          <w:rPr>
                            <w:rFonts w:hint="eastAsia"/>
                          </w:rPr>
                          <w:t>检测点位</w:t>
                        </w:r>
                      </w:p>
                    </w:txbxContent>
                  </v:textbox>
                </v:shape>
              </w:pict>
            </w:r>
            <w:r>
              <w:rPr>
                <w:rFonts w:ascii="Times New Roman" w:hAnsi="Times New Roman" w:cs="Times New Roman"/>
                <w:szCs w:val="21"/>
              </w:rPr>
              <w:pict>
                <v:shape id="_x0000_s1227" o:spid="_x0000_s1227" o:spt="32" type="#_x0000_t32" style="position:absolute;left:0pt;margin-left:-5.9pt;margin-top:0.4pt;height:46.5pt;width:102.1pt;z-index:252093440;mso-width-relative:page;mso-height-relative:page;" o:connectortype="straight" filled="f" coordsize="21600,21600">
                  <v:path arrowok="t"/>
                  <v:fill on="f" focussize="0,0"/>
                  <v:stroke/>
                  <v:imagedata o:title=""/>
                  <o:lock v:ext="edit"/>
                </v:shape>
              </w:pict>
            </w:r>
            <w:r>
              <w:rPr>
                <w:rFonts w:ascii="Times New Roman" w:hAnsi="Times New Roman" w:cs="Times New Roman"/>
                <w:szCs w:val="21"/>
              </w:rPr>
              <w:pict>
                <v:shape id="_x0000_s1228" o:spid="_x0000_s1228" o:spt="202" type="#_x0000_t202" style="position:absolute;left:0pt;margin-left:30.1pt;margin-top:0.4pt;height:24pt;width:66pt;z-index:252094464;mso-width-relative:page;mso-height-relative:page;" filled="f" stroked="f" coordsize="21600,21600">
                  <v:path/>
                  <v:fill on="f" focussize="0,0"/>
                  <v:stroke on="f" joinstyle="miter"/>
                  <v:imagedata o:title=""/>
                  <o:lock v:ext="edit"/>
                  <v:textbox>
                    <w:txbxContent>
                      <w:p>
                        <w:r>
                          <w:rPr>
                            <w:rFonts w:hint="eastAsia"/>
                          </w:rPr>
                          <w:t>检测时间</w:t>
                        </w:r>
                      </w:p>
                    </w:txbxContent>
                  </v:textbox>
                </v:shape>
              </w:pict>
            </w:r>
          </w:p>
        </w:tc>
        <w:tc>
          <w:tcPr>
            <w:tcW w:w="3126" w:type="dxa"/>
            <w:gridSpan w:val="2"/>
            <w:vAlign w:val="center"/>
          </w:tcPr>
          <w:p>
            <w:pPr>
              <w:spacing w:line="300" w:lineRule="exact"/>
              <w:jc w:val="center"/>
              <w:rPr>
                <w:rFonts w:ascii="Times New Roman" w:hAnsi="Times New Roman" w:cs="Times New Roman"/>
                <w:szCs w:val="21"/>
              </w:rPr>
            </w:pPr>
            <w:r>
              <w:rPr>
                <w:rFonts w:ascii="Times New Roman" w:hAnsi="Times New Roman" w:cs="Times New Roman"/>
                <w:szCs w:val="21"/>
              </w:rPr>
              <w:t>2019.4.17</w:t>
            </w:r>
          </w:p>
        </w:tc>
        <w:tc>
          <w:tcPr>
            <w:tcW w:w="3408" w:type="dxa"/>
            <w:gridSpan w:val="2"/>
            <w:vAlign w:val="center"/>
          </w:tcPr>
          <w:p>
            <w:pPr>
              <w:spacing w:line="300" w:lineRule="exact"/>
              <w:jc w:val="center"/>
              <w:rPr>
                <w:rFonts w:ascii="Times New Roman" w:hAnsi="Times New Roman" w:cs="Times New Roman"/>
                <w:szCs w:val="21"/>
              </w:rPr>
            </w:pPr>
            <w:r>
              <w:rPr>
                <w:rFonts w:ascii="Times New Roman" w:hAnsi="Times New Roman" w:cs="Times New Roman"/>
                <w:szCs w:val="21"/>
              </w:rPr>
              <w:t>2019.4.18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8" w:type="dxa"/>
            <w:vMerge w:val="continue"/>
            <w:vAlign w:val="center"/>
          </w:tcPr>
          <w:p>
            <w:pPr>
              <w:spacing w:line="300" w:lineRule="exact"/>
              <w:jc w:val="center"/>
              <w:rPr>
                <w:rFonts w:ascii="Times New Roman" w:hAnsi="Times New Roman" w:cs="Times New Roman"/>
                <w:szCs w:val="21"/>
              </w:rPr>
            </w:pPr>
          </w:p>
        </w:tc>
        <w:tc>
          <w:tcPr>
            <w:tcW w:w="1422" w:type="dxa"/>
            <w:vAlign w:val="center"/>
          </w:tcPr>
          <w:p>
            <w:pPr>
              <w:spacing w:line="300" w:lineRule="exact"/>
              <w:jc w:val="center"/>
              <w:rPr>
                <w:rFonts w:ascii="Times New Roman" w:hAnsi="Times New Roman" w:cs="Times New Roman"/>
                <w:szCs w:val="21"/>
              </w:rPr>
            </w:pPr>
            <w:r>
              <w:rPr>
                <w:rFonts w:ascii="Times New Roman" w:hAnsi="Times New Roman" w:cs="Times New Roman"/>
                <w:szCs w:val="21"/>
              </w:rPr>
              <w:t>昼间</w:t>
            </w:r>
          </w:p>
          <w:p>
            <w:pPr>
              <w:spacing w:line="300" w:lineRule="exact"/>
              <w:jc w:val="center"/>
              <w:rPr>
                <w:rFonts w:ascii="Times New Roman" w:hAnsi="Times New Roman" w:cs="Times New Roman"/>
                <w:szCs w:val="21"/>
              </w:rPr>
            </w:pPr>
            <w:r>
              <w:rPr>
                <w:rFonts w:ascii="Times New Roman" w:hAnsi="Times New Roman" w:cs="Times New Roman"/>
                <w:szCs w:val="21"/>
              </w:rPr>
              <w:t>dB（A）</w:t>
            </w:r>
          </w:p>
        </w:tc>
        <w:tc>
          <w:tcPr>
            <w:tcW w:w="1704" w:type="dxa"/>
            <w:vAlign w:val="center"/>
          </w:tcPr>
          <w:p>
            <w:pPr>
              <w:spacing w:line="300" w:lineRule="exact"/>
              <w:jc w:val="center"/>
              <w:rPr>
                <w:rFonts w:ascii="Times New Roman" w:hAnsi="Times New Roman" w:cs="Times New Roman"/>
                <w:szCs w:val="21"/>
              </w:rPr>
            </w:pPr>
            <w:r>
              <w:rPr>
                <w:rFonts w:ascii="Times New Roman" w:hAnsi="Times New Roman" w:cs="Times New Roman"/>
                <w:szCs w:val="21"/>
              </w:rPr>
              <w:t>夜间</w:t>
            </w:r>
          </w:p>
          <w:p>
            <w:pPr>
              <w:spacing w:line="300" w:lineRule="exact"/>
              <w:jc w:val="center"/>
              <w:rPr>
                <w:rFonts w:ascii="Times New Roman" w:hAnsi="Times New Roman" w:cs="Times New Roman"/>
                <w:szCs w:val="21"/>
              </w:rPr>
            </w:pPr>
            <w:r>
              <w:rPr>
                <w:rFonts w:ascii="Times New Roman" w:hAnsi="Times New Roman" w:cs="Times New Roman"/>
                <w:szCs w:val="21"/>
              </w:rPr>
              <w:t>dB（A）</w:t>
            </w:r>
          </w:p>
        </w:tc>
        <w:tc>
          <w:tcPr>
            <w:tcW w:w="1704" w:type="dxa"/>
            <w:vAlign w:val="center"/>
          </w:tcPr>
          <w:p>
            <w:pPr>
              <w:spacing w:line="300" w:lineRule="exact"/>
              <w:jc w:val="center"/>
              <w:rPr>
                <w:rFonts w:ascii="Times New Roman" w:hAnsi="Times New Roman" w:cs="Times New Roman"/>
                <w:szCs w:val="21"/>
              </w:rPr>
            </w:pPr>
            <w:r>
              <w:rPr>
                <w:rFonts w:ascii="Times New Roman" w:hAnsi="Times New Roman" w:cs="Times New Roman"/>
                <w:szCs w:val="21"/>
              </w:rPr>
              <w:t>昼间</w:t>
            </w:r>
          </w:p>
          <w:p>
            <w:pPr>
              <w:spacing w:line="300" w:lineRule="exact"/>
              <w:jc w:val="center"/>
              <w:rPr>
                <w:rFonts w:ascii="Times New Roman" w:hAnsi="Times New Roman" w:cs="Times New Roman"/>
                <w:szCs w:val="21"/>
              </w:rPr>
            </w:pPr>
            <w:r>
              <w:rPr>
                <w:rFonts w:ascii="Times New Roman" w:hAnsi="Times New Roman" w:cs="Times New Roman"/>
                <w:szCs w:val="21"/>
              </w:rPr>
              <w:t>dB（A）</w:t>
            </w:r>
          </w:p>
        </w:tc>
        <w:tc>
          <w:tcPr>
            <w:tcW w:w="1704" w:type="dxa"/>
            <w:vAlign w:val="center"/>
          </w:tcPr>
          <w:p>
            <w:pPr>
              <w:spacing w:line="300" w:lineRule="exact"/>
              <w:jc w:val="center"/>
              <w:rPr>
                <w:rFonts w:ascii="Times New Roman" w:hAnsi="Times New Roman" w:cs="Times New Roman"/>
                <w:szCs w:val="21"/>
              </w:rPr>
            </w:pPr>
            <w:r>
              <w:rPr>
                <w:rFonts w:ascii="Times New Roman" w:hAnsi="Times New Roman" w:cs="Times New Roman"/>
                <w:szCs w:val="21"/>
              </w:rPr>
              <w:t>夜间</w:t>
            </w:r>
          </w:p>
          <w:p>
            <w:pPr>
              <w:spacing w:line="300" w:lineRule="exact"/>
              <w:jc w:val="center"/>
              <w:rPr>
                <w:rFonts w:ascii="Times New Roman" w:hAnsi="Times New Roman" w:cs="Times New Roman"/>
                <w:szCs w:val="21"/>
              </w:rPr>
            </w:pPr>
            <w:r>
              <w:rPr>
                <w:rFonts w:ascii="Times New Roman" w:hAnsi="Times New Roman" w:cs="Times New Roman"/>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8" w:type="dxa"/>
            <w:vAlign w:val="center"/>
          </w:tcPr>
          <w:p>
            <w:pPr>
              <w:spacing w:line="300" w:lineRule="exact"/>
              <w:jc w:val="center"/>
              <w:rPr>
                <w:rFonts w:ascii="Times New Roman" w:hAnsi="Times New Roman" w:cs="Times New Roman"/>
                <w:szCs w:val="21"/>
              </w:rPr>
            </w:pPr>
            <w:r>
              <w:rPr>
                <w:rFonts w:ascii="Times New Roman" w:hAnsi="Times New Roman" w:cs="Times New Roman"/>
                <w:szCs w:val="21"/>
              </w:rPr>
              <w:t>北厂界</w:t>
            </w:r>
          </w:p>
        </w:tc>
        <w:tc>
          <w:tcPr>
            <w:tcW w:w="1422" w:type="dxa"/>
            <w:vAlign w:val="center"/>
          </w:tcPr>
          <w:p>
            <w:pPr>
              <w:jc w:val="center"/>
              <w:rPr>
                <w:rFonts w:ascii="Times New Roman" w:hAnsi="Times New Roman" w:cs="Times New Roman"/>
                <w:szCs w:val="21"/>
              </w:rPr>
            </w:pPr>
            <w:r>
              <w:rPr>
                <w:rFonts w:ascii="Times New Roman" w:hAnsi="Times New Roman" w:cs="Times New Roman"/>
                <w:szCs w:val="21"/>
              </w:rPr>
              <w:t>54</w:t>
            </w:r>
          </w:p>
        </w:tc>
        <w:tc>
          <w:tcPr>
            <w:tcW w:w="1704" w:type="dxa"/>
            <w:vAlign w:val="center"/>
          </w:tcPr>
          <w:p>
            <w:pPr>
              <w:jc w:val="center"/>
              <w:rPr>
                <w:rFonts w:ascii="Times New Roman" w:hAnsi="Times New Roman" w:cs="Times New Roman"/>
                <w:szCs w:val="21"/>
              </w:rPr>
            </w:pPr>
            <w:r>
              <w:rPr>
                <w:rFonts w:ascii="Times New Roman" w:hAnsi="Times New Roman" w:cs="Times New Roman"/>
                <w:szCs w:val="21"/>
              </w:rPr>
              <w:t>49</w:t>
            </w:r>
          </w:p>
        </w:tc>
        <w:tc>
          <w:tcPr>
            <w:tcW w:w="1704" w:type="dxa"/>
            <w:vAlign w:val="center"/>
          </w:tcPr>
          <w:p>
            <w:pPr>
              <w:jc w:val="center"/>
              <w:rPr>
                <w:rFonts w:ascii="Times New Roman" w:hAnsi="Times New Roman" w:cs="Times New Roman"/>
                <w:szCs w:val="21"/>
              </w:rPr>
            </w:pPr>
            <w:r>
              <w:rPr>
                <w:rFonts w:ascii="Times New Roman" w:hAnsi="Times New Roman" w:cs="Times New Roman"/>
                <w:szCs w:val="21"/>
              </w:rPr>
              <w:t>55</w:t>
            </w:r>
          </w:p>
        </w:tc>
        <w:tc>
          <w:tcPr>
            <w:tcW w:w="1704" w:type="dxa"/>
            <w:vAlign w:val="center"/>
          </w:tcPr>
          <w:p>
            <w:pPr>
              <w:jc w:val="center"/>
              <w:rPr>
                <w:rFonts w:ascii="Times New Roman" w:hAnsi="Times New Roman" w:cs="Times New Roman"/>
                <w:szCs w:val="21"/>
              </w:rPr>
            </w:pPr>
            <w:r>
              <w:rPr>
                <w:rFonts w:ascii="Times New Roman" w:hAnsi="Times New Roman" w:cs="Times New Roman"/>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8" w:type="dxa"/>
            <w:vAlign w:val="center"/>
          </w:tcPr>
          <w:p>
            <w:pPr>
              <w:spacing w:line="300" w:lineRule="exact"/>
              <w:jc w:val="center"/>
              <w:rPr>
                <w:rFonts w:ascii="Times New Roman" w:hAnsi="Times New Roman" w:cs="Times New Roman"/>
                <w:szCs w:val="21"/>
              </w:rPr>
            </w:pPr>
            <w:r>
              <w:rPr>
                <w:rFonts w:ascii="Times New Roman" w:hAnsi="Times New Roman" w:cs="Times New Roman"/>
                <w:szCs w:val="21"/>
              </w:rPr>
              <w:t>东厂界</w:t>
            </w:r>
          </w:p>
        </w:tc>
        <w:tc>
          <w:tcPr>
            <w:tcW w:w="1422" w:type="dxa"/>
            <w:vAlign w:val="center"/>
          </w:tcPr>
          <w:p>
            <w:pPr>
              <w:jc w:val="center"/>
              <w:rPr>
                <w:rFonts w:ascii="Times New Roman" w:hAnsi="Times New Roman" w:cs="Times New Roman"/>
                <w:szCs w:val="21"/>
              </w:rPr>
            </w:pPr>
            <w:r>
              <w:rPr>
                <w:rFonts w:ascii="Times New Roman" w:hAnsi="Times New Roman" w:cs="Times New Roman"/>
                <w:szCs w:val="21"/>
              </w:rPr>
              <w:t>50</w:t>
            </w:r>
          </w:p>
        </w:tc>
        <w:tc>
          <w:tcPr>
            <w:tcW w:w="1704" w:type="dxa"/>
            <w:vAlign w:val="center"/>
          </w:tcPr>
          <w:p>
            <w:pPr>
              <w:jc w:val="center"/>
              <w:rPr>
                <w:rFonts w:ascii="Times New Roman" w:hAnsi="Times New Roman" w:cs="Times New Roman"/>
                <w:szCs w:val="21"/>
              </w:rPr>
            </w:pPr>
            <w:r>
              <w:rPr>
                <w:rFonts w:ascii="Times New Roman" w:hAnsi="Times New Roman" w:cs="Times New Roman"/>
                <w:szCs w:val="21"/>
              </w:rPr>
              <w:t>43</w:t>
            </w:r>
          </w:p>
        </w:tc>
        <w:tc>
          <w:tcPr>
            <w:tcW w:w="1704" w:type="dxa"/>
            <w:vAlign w:val="center"/>
          </w:tcPr>
          <w:p>
            <w:pPr>
              <w:jc w:val="center"/>
              <w:rPr>
                <w:rFonts w:ascii="Times New Roman" w:hAnsi="Times New Roman" w:cs="Times New Roman"/>
                <w:szCs w:val="21"/>
              </w:rPr>
            </w:pPr>
            <w:r>
              <w:rPr>
                <w:rFonts w:ascii="Times New Roman" w:hAnsi="Times New Roman" w:cs="Times New Roman"/>
                <w:szCs w:val="21"/>
              </w:rPr>
              <w:t>49</w:t>
            </w:r>
          </w:p>
        </w:tc>
        <w:tc>
          <w:tcPr>
            <w:tcW w:w="1704" w:type="dxa"/>
            <w:vAlign w:val="center"/>
          </w:tcPr>
          <w:p>
            <w:pPr>
              <w:jc w:val="center"/>
              <w:rPr>
                <w:rFonts w:ascii="Times New Roman" w:hAnsi="Times New Roman" w:cs="Times New Roman"/>
                <w:szCs w:val="21"/>
              </w:rPr>
            </w:pPr>
            <w:r>
              <w:rPr>
                <w:rFonts w:ascii="Times New Roman" w:hAnsi="Times New Roman" w:cs="Times New Roman"/>
                <w:szCs w:val="21"/>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8" w:type="dxa"/>
            <w:vAlign w:val="center"/>
          </w:tcPr>
          <w:p>
            <w:pPr>
              <w:spacing w:line="300" w:lineRule="exact"/>
              <w:jc w:val="center"/>
              <w:rPr>
                <w:rFonts w:ascii="Times New Roman" w:hAnsi="Times New Roman" w:cs="Times New Roman"/>
                <w:szCs w:val="21"/>
              </w:rPr>
            </w:pPr>
            <w:r>
              <w:rPr>
                <w:rFonts w:ascii="Times New Roman" w:hAnsi="Times New Roman" w:cs="Times New Roman"/>
                <w:szCs w:val="21"/>
              </w:rPr>
              <w:t>南厂界</w:t>
            </w:r>
          </w:p>
        </w:tc>
        <w:tc>
          <w:tcPr>
            <w:tcW w:w="1422" w:type="dxa"/>
            <w:vAlign w:val="center"/>
          </w:tcPr>
          <w:p>
            <w:pPr>
              <w:jc w:val="center"/>
              <w:rPr>
                <w:rFonts w:ascii="Times New Roman" w:hAnsi="Times New Roman" w:cs="Times New Roman"/>
                <w:szCs w:val="21"/>
              </w:rPr>
            </w:pPr>
            <w:r>
              <w:rPr>
                <w:rFonts w:ascii="Times New Roman" w:hAnsi="Times New Roman" w:cs="Times New Roman"/>
                <w:szCs w:val="21"/>
              </w:rPr>
              <w:t>47</w:t>
            </w:r>
          </w:p>
        </w:tc>
        <w:tc>
          <w:tcPr>
            <w:tcW w:w="1704" w:type="dxa"/>
            <w:vAlign w:val="center"/>
          </w:tcPr>
          <w:p>
            <w:pPr>
              <w:jc w:val="center"/>
              <w:rPr>
                <w:rFonts w:ascii="Times New Roman" w:hAnsi="Times New Roman" w:cs="Times New Roman"/>
                <w:szCs w:val="21"/>
              </w:rPr>
            </w:pPr>
            <w:r>
              <w:rPr>
                <w:rFonts w:ascii="Times New Roman" w:hAnsi="Times New Roman" w:cs="Times New Roman"/>
                <w:szCs w:val="21"/>
              </w:rPr>
              <w:t>42</w:t>
            </w:r>
          </w:p>
        </w:tc>
        <w:tc>
          <w:tcPr>
            <w:tcW w:w="1704" w:type="dxa"/>
            <w:vAlign w:val="center"/>
          </w:tcPr>
          <w:p>
            <w:pPr>
              <w:jc w:val="center"/>
              <w:rPr>
                <w:rFonts w:ascii="Times New Roman" w:hAnsi="Times New Roman" w:cs="Times New Roman"/>
                <w:szCs w:val="21"/>
              </w:rPr>
            </w:pPr>
            <w:r>
              <w:rPr>
                <w:rFonts w:ascii="Times New Roman" w:hAnsi="Times New Roman" w:cs="Times New Roman"/>
                <w:szCs w:val="21"/>
              </w:rPr>
              <w:t>48</w:t>
            </w:r>
          </w:p>
        </w:tc>
        <w:tc>
          <w:tcPr>
            <w:tcW w:w="1704" w:type="dxa"/>
            <w:vAlign w:val="center"/>
          </w:tcPr>
          <w:p>
            <w:pPr>
              <w:jc w:val="center"/>
              <w:rPr>
                <w:rFonts w:ascii="Times New Roman" w:hAnsi="Times New Roman" w:cs="Times New Roman"/>
                <w:szCs w:val="21"/>
              </w:rPr>
            </w:pPr>
            <w:r>
              <w:rPr>
                <w:rFonts w:ascii="Times New Roman" w:hAnsi="Times New Roman" w:cs="Times New Roman"/>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8" w:type="dxa"/>
            <w:vAlign w:val="center"/>
          </w:tcPr>
          <w:p>
            <w:pPr>
              <w:spacing w:line="300" w:lineRule="exact"/>
              <w:jc w:val="center"/>
              <w:rPr>
                <w:rFonts w:ascii="Times New Roman" w:hAnsi="Times New Roman" w:cs="Times New Roman"/>
                <w:szCs w:val="21"/>
              </w:rPr>
            </w:pPr>
            <w:r>
              <w:rPr>
                <w:rFonts w:ascii="Times New Roman" w:hAnsi="Times New Roman" w:cs="Times New Roman"/>
                <w:szCs w:val="21"/>
              </w:rPr>
              <w:t>西厂界</w:t>
            </w:r>
          </w:p>
        </w:tc>
        <w:tc>
          <w:tcPr>
            <w:tcW w:w="1422" w:type="dxa"/>
            <w:vAlign w:val="center"/>
          </w:tcPr>
          <w:p>
            <w:pPr>
              <w:jc w:val="center"/>
              <w:rPr>
                <w:rFonts w:ascii="Times New Roman" w:hAnsi="Times New Roman" w:cs="Times New Roman"/>
                <w:szCs w:val="21"/>
              </w:rPr>
            </w:pPr>
            <w:r>
              <w:rPr>
                <w:rFonts w:ascii="Times New Roman" w:hAnsi="Times New Roman" w:cs="Times New Roman"/>
                <w:szCs w:val="21"/>
              </w:rPr>
              <w:t>49</w:t>
            </w:r>
          </w:p>
        </w:tc>
        <w:tc>
          <w:tcPr>
            <w:tcW w:w="1704" w:type="dxa"/>
            <w:vAlign w:val="center"/>
          </w:tcPr>
          <w:p>
            <w:pPr>
              <w:jc w:val="center"/>
              <w:rPr>
                <w:rFonts w:ascii="Times New Roman" w:hAnsi="Times New Roman" w:cs="Times New Roman"/>
                <w:szCs w:val="21"/>
              </w:rPr>
            </w:pPr>
            <w:r>
              <w:rPr>
                <w:rFonts w:ascii="Times New Roman" w:hAnsi="Times New Roman" w:cs="Times New Roman"/>
                <w:szCs w:val="21"/>
              </w:rPr>
              <w:t>43</w:t>
            </w:r>
          </w:p>
        </w:tc>
        <w:tc>
          <w:tcPr>
            <w:tcW w:w="1704" w:type="dxa"/>
            <w:vAlign w:val="center"/>
          </w:tcPr>
          <w:p>
            <w:pPr>
              <w:jc w:val="center"/>
              <w:rPr>
                <w:rFonts w:ascii="Times New Roman" w:hAnsi="Times New Roman" w:cs="Times New Roman"/>
                <w:szCs w:val="21"/>
              </w:rPr>
            </w:pPr>
            <w:r>
              <w:rPr>
                <w:rFonts w:ascii="Times New Roman" w:hAnsi="Times New Roman" w:cs="Times New Roman"/>
                <w:szCs w:val="21"/>
              </w:rPr>
              <w:t>48</w:t>
            </w:r>
          </w:p>
        </w:tc>
        <w:tc>
          <w:tcPr>
            <w:tcW w:w="1704" w:type="dxa"/>
            <w:vAlign w:val="center"/>
          </w:tcPr>
          <w:p>
            <w:pPr>
              <w:jc w:val="center"/>
              <w:rPr>
                <w:rFonts w:ascii="Times New Roman" w:hAnsi="Times New Roman" w:cs="Times New Roman"/>
                <w:szCs w:val="21"/>
              </w:rPr>
            </w:pPr>
            <w:r>
              <w:rPr>
                <w:rFonts w:ascii="Times New Roman" w:hAnsi="Times New Roman" w:cs="Times New Roman"/>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8" w:type="dxa"/>
            <w:vAlign w:val="center"/>
          </w:tcPr>
          <w:p>
            <w:pPr>
              <w:spacing w:line="300" w:lineRule="exact"/>
              <w:jc w:val="center"/>
              <w:rPr>
                <w:rFonts w:ascii="Times New Roman" w:hAnsi="Times New Roman" w:cs="Times New Roman"/>
                <w:szCs w:val="21"/>
              </w:rPr>
            </w:pPr>
            <w:r>
              <w:rPr>
                <w:rFonts w:ascii="Times New Roman" w:hAnsi="Times New Roman" w:cs="Times New Roman"/>
                <w:szCs w:val="21"/>
              </w:rPr>
              <w:t>文景苑小区</w:t>
            </w:r>
          </w:p>
        </w:tc>
        <w:tc>
          <w:tcPr>
            <w:tcW w:w="1422" w:type="dxa"/>
            <w:vAlign w:val="center"/>
          </w:tcPr>
          <w:p>
            <w:pPr>
              <w:jc w:val="center"/>
              <w:rPr>
                <w:rFonts w:ascii="Times New Roman" w:hAnsi="Times New Roman" w:cs="Times New Roman"/>
                <w:szCs w:val="21"/>
              </w:rPr>
            </w:pPr>
            <w:r>
              <w:rPr>
                <w:rFonts w:ascii="Times New Roman" w:hAnsi="Times New Roman" w:cs="Times New Roman"/>
                <w:szCs w:val="21"/>
              </w:rPr>
              <w:t>52</w:t>
            </w:r>
          </w:p>
        </w:tc>
        <w:tc>
          <w:tcPr>
            <w:tcW w:w="1704" w:type="dxa"/>
            <w:vAlign w:val="center"/>
          </w:tcPr>
          <w:p>
            <w:pPr>
              <w:jc w:val="center"/>
              <w:rPr>
                <w:rFonts w:ascii="Times New Roman" w:hAnsi="Times New Roman" w:cs="Times New Roman"/>
                <w:szCs w:val="21"/>
              </w:rPr>
            </w:pPr>
            <w:r>
              <w:rPr>
                <w:rFonts w:ascii="Times New Roman" w:hAnsi="Times New Roman" w:cs="Times New Roman"/>
                <w:szCs w:val="21"/>
              </w:rPr>
              <w:t>43</w:t>
            </w:r>
          </w:p>
        </w:tc>
        <w:tc>
          <w:tcPr>
            <w:tcW w:w="1704" w:type="dxa"/>
            <w:vAlign w:val="center"/>
          </w:tcPr>
          <w:p>
            <w:pPr>
              <w:jc w:val="center"/>
              <w:rPr>
                <w:rFonts w:ascii="Times New Roman" w:hAnsi="Times New Roman" w:cs="Times New Roman"/>
                <w:szCs w:val="21"/>
              </w:rPr>
            </w:pPr>
            <w:r>
              <w:rPr>
                <w:rFonts w:ascii="Times New Roman" w:hAnsi="Times New Roman" w:cs="Times New Roman"/>
                <w:szCs w:val="21"/>
              </w:rPr>
              <w:t>51</w:t>
            </w:r>
          </w:p>
        </w:tc>
        <w:tc>
          <w:tcPr>
            <w:tcW w:w="1704" w:type="dxa"/>
            <w:vAlign w:val="center"/>
          </w:tcPr>
          <w:p>
            <w:pPr>
              <w:jc w:val="center"/>
              <w:rPr>
                <w:rFonts w:ascii="Times New Roman" w:hAnsi="Times New Roman" w:cs="Times New Roman"/>
                <w:szCs w:val="21"/>
              </w:rPr>
            </w:pPr>
            <w:r>
              <w:rPr>
                <w:rFonts w:ascii="Times New Roman" w:hAnsi="Times New Roman" w:cs="Times New Roman"/>
                <w:szCs w:val="21"/>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8" w:type="dxa"/>
            <w:vAlign w:val="center"/>
          </w:tcPr>
          <w:p>
            <w:pPr>
              <w:spacing w:line="300" w:lineRule="exact"/>
              <w:jc w:val="center"/>
              <w:rPr>
                <w:rFonts w:ascii="Times New Roman" w:hAnsi="Times New Roman" w:cs="Times New Roman"/>
                <w:szCs w:val="21"/>
              </w:rPr>
            </w:pPr>
            <w:r>
              <w:rPr>
                <w:rFonts w:ascii="Times New Roman" w:hAnsi="Times New Roman" w:cs="Times New Roman"/>
                <w:szCs w:val="21"/>
              </w:rPr>
              <w:t>华北电力大学</w:t>
            </w:r>
          </w:p>
        </w:tc>
        <w:tc>
          <w:tcPr>
            <w:tcW w:w="1422" w:type="dxa"/>
            <w:vAlign w:val="center"/>
          </w:tcPr>
          <w:p>
            <w:pPr>
              <w:jc w:val="center"/>
              <w:rPr>
                <w:rFonts w:ascii="Times New Roman" w:hAnsi="Times New Roman" w:cs="Times New Roman"/>
                <w:szCs w:val="21"/>
              </w:rPr>
            </w:pPr>
            <w:r>
              <w:rPr>
                <w:rFonts w:ascii="Times New Roman" w:hAnsi="Times New Roman" w:cs="Times New Roman"/>
                <w:szCs w:val="21"/>
              </w:rPr>
              <w:t>52</w:t>
            </w:r>
          </w:p>
        </w:tc>
        <w:tc>
          <w:tcPr>
            <w:tcW w:w="1704" w:type="dxa"/>
            <w:vAlign w:val="center"/>
          </w:tcPr>
          <w:p>
            <w:pPr>
              <w:jc w:val="center"/>
              <w:rPr>
                <w:rFonts w:ascii="Times New Roman" w:hAnsi="Times New Roman" w:cs="Times New Roman"/>
                <w:szCs w:val="21"/>
              </w:rPr>
            </w:pPr>
            <w:r>
              <w:rPr>
                <w:rFonts w:ascii="Times New Roman" w:hAnsi="Times New Roman" w:cs="Times New Roman"/>
                <w:szCs w:val="21"/>
              </w:rPr>
              <w:t>44</w:t>
            </w:r>
          </w:p>
        </w:tc>
        <w:tc>
          <w:tcPr>
            <w:tcW w:w="1704" w:type="dxa"/>
            <w:vAlign w:val="center"/>
          </w:tcPr>
          <w:p>
            <w:pPr>
              <w:jc w:val="center"/>
              <w:rPr>
                <w:rFonts w:ascii="Times New Roman" w:hAnsi="Times New Roman" w:cs="Times New Roman"/>
                <w:szCs w:val="21"/>
              </w:rPr>
            </w:pPr>
            <w:r>
              <w:rPr>
                <w:rFonts w:ascii="Times New Roman" w:hAnsi="Times New Roman" w:cs="Times New Roman"/>
                <w:szCs w:val="21"/>
              </w:rPr>
              <w:t>51</w:t>
            </w:r>
          </w:p>
        </w:tc>
        <w:tc>
          <w:tcPr>
            <w:tcW w:w="1704" w:type="dxa"/>
            <w:vAlign w:val="center"/>
          </w:tcPr>
          <w:p>
            <w:pPr>
              <w:jc w:val="center"/>
              <w:rPr>
                <w:rFonts w:ascii="Times New Roman" w:hAnsi="Times New Roman" w:cs="Times New Roman"/>
                <w:szCs w:val="21"/>
              </w:rPr>
            </w:pPr>
            <w:r>
              <w:rPr>
                <w:rFonts w:ascii="Times New Roman" w:hAnsi="Times New Roman" w:cs="Times New Roman"/>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8" w:type="dxa"/>
            <w:vAlign w:val="center"/>
          </w:tcPr>
          <w:p>
            <w:pPr>
              <w:spacing w:line="300" w:lineRule="exact"/>
              <w:jc w:val="center"/>
              <w:rPr>
                <w:rFonts w:ascii="Times New Roman" w:hAnsi="Times New Roman" w:cs="Times New Roman"/>
                <w:szCs w:val="21"/>
              </w:rPr>
            </w:pPr>
            <w:r>
              <w:rPr>
                <w:rFonts w:ascii="Times New Roman" w:hAnsi="Times New Roman" w:cs="Times New Roman"/>
                <w:szCs w:val="21"/>
              </w:rPr>
              <w:t>中央司法警官学院</w:t>
            </w:r>
          </w:p>
        </w:tc>
        <w:tc>
          <w:tcPr>
            <w:tcW w:w="1422" w:type="dxa"/>
            <w:vAlign w:val="center"/>
          </w:tcPr>
          <w:p>
            <w:pPr>
              <w:jc w:val="center"/>
              <w:rPr>
                <w:rFonts w:ascii="Times New Roman" w:hAnsi="Times New Roman" w:cs="Times New Roman"/>
                <w:szCs w:val="21"/>
              </w:rPr>
            </w:pPr>
            <w:r>
              <w:rPr>
                <w:rFonts w:ascii="Times New Roman" w:hAnsi="Times New Roman" w:cs="Times New Roman"/>
                <w:szCs w:val="21"/>
              </w:rPr>
              <w:t>51</w:t>
            </w:r>
          </w:p>
        </w:tc>
        <w:tc>
          <w:tcPr>
            <w:tcW w:w="1704" w:type="dxa"/>
            <w:vAlign w:val="center"/>
          </w:tcPr>
          <w:p>
            <w:pPr>
              <w:jc w:val="center"/>
              <w:rPr>
                <w:rFonts w:ascii="Times New Roman" w:hAnsi="Times New Roman" w:cs="Times New Roman"/>
                <w:szCs w:val="21"/>
              </w:rPr>
            </w:pPr>
            <w:r>
              <w:rPr>
                <w:rFonts w:ascii="Times New Roman" w:hAnsi="Times New Roman" w:cs="Times New Roman"/>
                <w:szCs w:val="21"/>
              </w:rPr>
              <w:t>43</w:t>
            </w:r>
          </w:p>
        </w:tc>
        <w:tc>
          <w:tcPr>
            <w:tcW w:w="1704" w:type="dxa"/>
            <w:vAlign w:val="center"/>
          </w:tcPr>
          <w:p>
            <w:pPr>
              <w:jc w:val="center"/>
              <w:rPr>
                <w:rFonts w:ascii="Times New Roman" w:hAnsi="Times New Roman" w:cs="Times New Roman"/>
                <w:szCs w:val="21"/>
              </w:rPr>
            </w:pPr>
            <w:r>
              <w:rPr>
                <w:rFonts w:ascii="Times New Roman" w:hAnsi="Times New Roman" w:cs="Times New Roman"/>
                <w:szCs w:val="21"/>
              </w:rPr>
              <w:t>52</w:t>
            </w:r>
          </w:p>
        </w:tc>
        <w:tc>
          <w:tcPr>
            <w:tcW w:w="1704" w:type="dxa"/>
            <w:vAlign w:val="center"/>
          </w:tcPr>
          <w:p>
            <w:pPr>
              <w:jc w:val="center"/>
              <w:rPr>
                <w:rFonts w:ascii="Times New Roman" w:hAnsi="Times New Roman" w:cs="Times New Roman"/>
                <w:szCs w:val="21"/>
              </w:rPr>
            </w:pPr>
            <w:r>
              <w:rPr>
                <w:rFonts w:ascii="Times New Roman" w:hAnsi="Times New Roman" w:cs="Times New Roman"/>
                <w:szCs w:val="21"/>
              </w:rPr>
              <w:t>41</w:t>
            </w:r>
          </w:p>
        </w:tc>
      </w:tr>
    </w:tbl>
    <w:p>
      <w:pPr>
        <w:pStyle w:val="5"/>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4.3.3.2声环境质量现状评价</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（1）评价因子</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等效连续A 声级。</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（2）评价标准</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 xml:space="preserve">执行《声环境质量标准》(GB3096－2008) </w:t>
      </w:r>
      <w:r>
        <w:rPr>
          <w:rFonts w:hint="eastAsia" w:ascii="Times New Roman" w:hAnsi="Times New Roman" w:cs="Times New Roman"/>
          <w:sz w:val="24"/>
        </w:rPr>
        <w:t>1</w:t>
      </w:r>
      <w:r>
        <w:rPr>
          <w:rFonts w:ascii="Times New Roman" w:hAnsi="Times New Roman" w:cs="Times New Roman"/>
          <w:sz w:val="24"/>
        </w:rPr>
        <w:t>类</w:t>
      </w:r>
      <w:r>
        <w:rPr>
          <w:rFonts w:hint="eastAsia" w:ascii="Times New Roman" w:hAnsi="Times New Roman" w:cs="Times New Roman"/>
          <w:sz w:val="24"/>
        </w:rPr>
        <w:t>、4a类</w:t>
      </w:r>
      <w:r>
        <w:rPr>
          <w:rFonts w:ascii="Times New Roman" w:hAnsi="Times New Roman" w:cs="Times New Roman"/>
          <w:sz w:val="24"/>
        </w:rPr>
        <w:t>声环境功能区标准。</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（3）评价方法</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评价方法采用噪声实测值L</w:t>
      </w:r>
      <w:r>
        <w:rPr>
          <w:rFonts w:ascii="Times New Roman" w:hAnsi="Times New Roman" w:cs="Times New Roman"/>
          <w:sz w:val="24"/>
          <w:vertAlign w:val="subscript"/>
        </w:rPr>
        <w:t>eq</w:t>
      </w:r>
      <w:r>
        <w:rPr>
          <w:rFonts w:ascii="Times New Roman" w:hAnsi="Times New Roman" w:cs="Times New Roman"/>
          <w:sz w:val="24"/>
        </w:rPr>
        <w:t xml:space="preserve"> 与相应标准值直接对比的方法。</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（4）评价结果</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声环境现状评价（取监测结果最大值）结果见表</w:t>
      </w:r>
      <w:r>
        <w:rPr>
          <w:rFonts w:hint="eastAsia" w:ascii="Times New Roman" w:hAnsi="Times New Roman" w:cs="Times New Roman"/>
          <w:sz w:val="24"/>
        </w:rPr>
        <w:t>4-11</w:t>
      </w:r>
      <w:r>
        <w:rPr>
          <w:rFonts w:ascii="Times New Roman" w:hAnsi="Times New Roman" w:cs="Times New Roman"/>
          <w:sz w:val="24"/>
        </w:rPr>
        <w:t>。</w:t>
      </w:r>
    </w:p>
    <w:p>
      <w:pPr>
        <w:spacing w:line="360" w:lineRule="auto"/>
        <w:ind w:firstLine="482" w:firstLineChars="200"/>
        <w:jc w:val="center"/>
        <w:rPr>
          <w:rFonts w:ascii="Times New Roman" w:hAnsi="Times New Roman" w:cs="Times New Roman"/>
          <w:b/>
          <w:kern w:val="0"/>
          <w:sz w:val="24"/>
        </w:rPr>
      </w:pPr>
    </w:p>
    <w:p>
      <w:pPr>
        <w:spacing w:line="360" w:lineRule="auto"/>
        <w:ind w:firstLine="482" w:firstLineChars="200"/>
        <w:jc w:val="center"/>
        <w:rPr>
          <w:rFonts w:ascii="Times New Roman" w:hAnsi="Times New Roman" w:cs="Times New Roman"/>
          <w:b/>
          <w:kern w:val="0"/>
          <w:sz w:val="24"/>
        </w:rPr>
      </w:pPr>
    </w:p>
    <w:p>
      <w:pPr>
        <w:spacing w:line="360" w:lineRule="auto"/>
        <w:ind w:firstLine="482" w:firstLineChars="200"/>
        <w:jc w:val="center"/>
        <w:rPr>
          <w:rFonts w:ascii="Times New Roman" w:hAnsi="Times New Roman" w:cs="Times New Roman"/>
          <w:b/>
          <w:kern w:val="0"/>
          <w:sz w:val="24"/>
        </w:rPr>
      </w:pPr>
    </w:p>
    <w:p>
      <w:pPr>
        <w:spacing w:line="360" w:lineRule="auto"/>
        <w:ind w:firstLine="482" w:firstLineChars="200"/>
        <w:jc w:val="center"/>
        <w:rPr>
          <w:rFonts w:ascii="Times New Roman" w:hAnsi="Times New Roman" w:cs="Times New Roman"/>
          <w:b/>
          <w:kern w:val="0"/>
          <w:sz w:val="24"/>
        </w:rPr>
      </w:pPr>
    </w:p>
    <w:p>
      <w:pPr>
        <w:spacing w:line="360" w:lineRule="auto"/>
        <w:ind w:firstLine="482" w:firstLineChars="200"/>
        <w:jc w:val="center"/>
        <w:rPr>
          <w:rFonts w:ascii="Times New Roman" w:hAnsi="Times New Roman" w:cs="Times New Roman"/>
          <w:b/>
          <w:kern w:val="0"/>
          <w:sz w:val="24"/>
        </w:rPr>
      </w:pPr>
    </w:p>
    <w:p>
      <w:pPr>
        <w:spacing w:line="360" w:lineRule="auto"/>
        <w:ind w:firstLine="482" w:firstLineChars="200"/>
        <w:jc w:val="center"/>
        <w:rPr>
          <w:rFonts w:ascii="Times New Roman" w:hAnsi="Times New Roman" w:cs="Times New Roman"/>
          <w:b/>
          <w:kern w:val="0"/>
          <w:sz w:val="24"/>
        </w:rPr>
      </w:pPr>
    </w:p>
    <w:p>
      <w:pPr>
        <w:spacing w:line="360" w:lineRule="auto"/>
        <w:ind w:firstLine="482" w:firstLineChars="200"/>
        <w:jc w:val="center"/>
        <w:rPr>
          <w:rFonts w:ascii="Times New Roman" w:hAnsi="Times New Roman" w:cs="Times New Roman"/>
          <w:b/>
          <w:kern w:val="0"/>
          <w:sz w:val="24"/>
        </w:rPr>
      </w:pPr>
    </w:p>
    <w:p>
      <w:pPr>
        <w:spacing w:line="360" w:lineRule="auto"/>
        <w:ind w:firstLine="482" w:firstLineChars="200"/>
        <w:jc w:val="center"/>
        <w:rPr>
          <w:rFonts w:ascii="Times New Roman" w:hAnsi="Times New Roman" w:cs="Times New Roman"/>
          <w:b/>
          <w:kern w:val="0"/>
          <w:sz w:val="24"/>
        </w:rPr>
      </w:pPr>
    </w:p>
    <w:p>
      <w:pPr>
        <w:spacing w:line="360" w:lineRule="auto"/>
        <w:ind w:firstLine="482" w:firstLineChars="200"/>
        <w:jc w:val="center"/>
        <w:rPr>
          <w:rFonts w:ascii="Times New Roman" w:hAnsi="Times New Roman" w:cs="Times New Roman"/>
          <w:b/>
          <w:kern w:val="0"/>
          <w:sz w:val="24"/>
        </w:rPr>
      </w:pPr>
    </w:p>
    <w:p>
      <w:pPr>
        <w:spacing w:line="360" w:lineRule="auto"/>
        <w:ind w:firstLine="482" w:firstLineChars="200"/>
        <w:jc w:val="center"/>
        <w:rPr>
          <w:rFonts w:ascii="Times New Roman" w:hAnsi="Times New Roman" w:cs="Times New Roman"/>
          <w:b/>
          <w:kern w:val="0"/>
          <w:sz w:val="24"/>
        </w:rPr>
      </w:pPr>
    </w:p>
    <w:p>
      <w:pPr>
        <w:spacing w:line="360" w:lineRule="auto"/>
        <w:ind w:firstLine="482" w:firstLineChars="200"/>
        <w:jc w:val="center"/>
        <w:rPr>
          <w:rFonts w:ascii="Times New Roman" w:hAnsi="Times New Roman" w:cs="Times New Roman"/>
          <w:b/>
          <w:kern w:val="0"/>
          <w:sz w:val="24"/>
        </w:rPr>
      </w:pPr>
    </w:p>
    <w:p>
      <w:pPr>
        <w:spacing w:line="360" w:lineRule="auto"/>
        <w:ind w:firstLine="482" w:firstLineChars="200"/>
        <w:jc w:val="center"/>
        <w:rPr>
          <w:rFonts w:ascii="Times New Roman" w:hAnsi="Times New Roman" w:cs="Times New Roman"/>
          <w:b/>
          <w:kern w:val="0"/>
          <w:sz w:val="24"/>
        </w:rPr>
      </w:pPr>
    </w:p>
    <w:p>
      <w:pPr>
        <w:spacing w:line="360" w:lineRule="auto"/>
        <w:ind w:firstLine="482" w:firstLineChars="200"/>
        <w:jc w:val="center"/>
        <w:rPr>
          <w:rFonts w:ascii="Times New Roman" w:hAnsi="Times New Roman" w:cs="Times New Roman"/>
          <w:b/>
          <w:sz w:val="24"/>
        </w:rPr>
      </w:pPr>
      <w:r>
        <w:rPr>
          <w:rFonts w:ascii="Times New Roman" w:hAnsi="Times New Roman" w:cs="Times New Roman"/>
          <w:b/>
          <w:kern w:val="0"/>
          <w:sz w:val="24"/>
        </w:rPr>
        <w:t>表</w:t>
      </w:r>
      <w:r>
        <w:rPr>
          <w:rFonts w:hint="eastAsia" w:ascii="Times New Roman" w:hAnsi="Times New Roman" w:cs="Times New Roman"/>
          <w:b/>
          <w:bCs/>
          <w:kern w:val="0"/>
          <w:sz w:val="24"/>
        </w:rPr>
        <w:t xml:space="preserve">4-11   </w:t>
      </w:r>
      <w:r>
        <w:rPr>
          <w:rFonts w:ascii="Times New Roman" w:hAnsi="Times New Roman" w:cs="Times New Roman"/>
          <w:b/>
          <w:bCs/>
          <w:kern w:val="0"/>
          <w:sz w:val="24"/>
        </w:rPr>
        <w:t xml:space="preserve"> </w:t>
      </w:r>
      <w:r>
        <w:rPr>
          <w:rFonts w:ascii="Times New Roman" w:hAnsi="Times New Roman" w:cs="Times New Roman"/>
          <w:b/>
          <w:kern w:val="0"/>
          <w:sz w:val="24"/>
        </w:rPr>
        <w:t>声环境现状评价结果</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1185"/>
        <w:gridCol w:w="1133"/>
        <w:gridCol w:w="992"/>
        <w:gridCol w:w="992"/>
        <w:gridCol w:w="850"/>
        <w:gridCol w:w="850"/>
        <w:gridCol w:w="1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54" w:type="dxa"/>
            <w:vMerge w:val="restart"/>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监测</w:t>
            </w:r>
          </w:p>
          <w:p>
            <w:pPr>
              <w:spacing w:line="340" w:lineRule="exact"/>
              <w:jc w:val="center"/>
              <w:rPr>
                <w:rFonts w:ascii="Times New Roman" w:hAnsi="Times New Roman" w:cs="Times New Roman"/>
                <w:szCs w:val="21"/>
              </w:rPr>
            </w:pPr>
            <w:r>
              <w:rPr>
                <w:rFonts w:ascii="Times New Roman" w:hAnsi="Times New Roman" w:cs="Times New Roman"/>
                <w:szCs w:val="21"/>
              </w:rPr>
              <w:t>点位置</w:t>
            </w:r>
          </w:p>
        </w:tc>
        <w:tc>
          <w:tcPr>
            <w:tcW w:w="2318" w:type="dxa"/>
            <w:gridSpan w:val="2"/>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监测值（dB(A)）</w:t>
            </w:r>
          </w:p>
        </w:tc>
        <w:tc>
          <w:tcPr>
            <w:tcW w:w="1984" w:type="dxa"/>
            <w:gridSpan w:val="2"/>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评价标准（dB(A)）</w:t>
            </w:r>
          </w:p>
        </w:tc>
        <w:tc>
          <w:tcPr>
            <w:tcW w:w="1700" w:type="dxa"/>
            <w:gridSpan w:val="2"/>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评价结果</w:t>
            </w:r>
          </w:p>
        </w:tc>
        <w:tc>
          <w:tcPr>
            <w:tcW w:w="1466" w:type="dxa"/>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054" w:type="dxa"/>
            <w:vMerge w:val="continue"/>
            <w:vAlign w:val="center"/>
          </w:tcPr>
          <w:p>
            <w:pPr>
              <w:spacing w:line="340" w:lineRule="exact"/>
              <w:jc w:val="center"/>
              <w:rPr>
                <w:rFonts w:ascii="Times New Roman" w:hAnsi="Times New Roman" w:cs="Times New Roman"/>
                <w:szCs w:val="21"/>
              </w:rPr>
            </w:pPr>
          </w:p>
        </w:tc>
        <w:tc>
          <w:tcPr>
            <w:tcW w:w="1185" w:type="dxa"/>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昼间</w:t>
            </w:r>
          </w:p>
        </w:tc>
        <w:tc>
          <w:tcPr>
            <w:tcW w:w="1133" w:type="dxa"/>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夜间</w:t>
            </w:r>
          </w:p>
        </w:tc>
        <w:tc>
          <w:tcPr>
            <w:tcW w:w="992" w:type="dxa"/>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昼间</w:t>
            </w:r>
          </w:p>
        </w:tc>
        <w:tc>
          <w:tcPr>
            <w:tcW w:w="992" w:type="dxa"/>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夜间</w:t>
            </w:r>
          </w:p>
        </w:tc>
        <w:tc>
          <w:tcPr>
            <w:tcW w:w="850" w:type="dxa"/>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昼间</w:t>
            </w:r>
          </w:p>
        </w:tc>
        <w:tc>
          <w:tcPr>
            <w:tcW w:w="850" w:type="dxa"/>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夜间</w:t>
            </w:r>
          </w:p>
        </w:tc>
        <w:tc>
          <w:tcPr>
            <w:tcW w:w="1466" w:type="dxa"/>
            <w:vAlign w:val="center"/>
          </w:tcPr>
          <w:p>
            <w:pPr>
              <w:spacing w:line="340" w:lineRule="exact"/>
              <w:jc w:val="center"/>
              <w:rPr>
                <w:rFonts w:ascii="Times New Roman" w:hAnsi="Times New Roman" w:cs="Times New Roman"/>
                <w:szCs w:val="21"/>
              </w:rPr>
            </w:pPr>
            <w:r>
              <w:rPr>
                <w:rFonts w:hint="eastAsia" w:cs="Times New Roman" w:asciiTheme="minorEastAsia" w:hAnsi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054"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北</w:t>
            </w:r>
            <w:r>
              <w:rPr>
                <w:rFonts w:ascii="Times New Roman" w:hAnsi="Times New Roman" w:cs="Times New Roman"/>
                <w:szCs w:val="21"/>
              </w:rPr>
              <w:t>厂界</w:t>
            </w:r>
          </w:p>
        </w:tc>
        <w:tc>
          <w:tcPr>
            <w:tcW w:w="1185"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54~55</w:t>
            </w:r>
          </w:p>
        </w:tc>
        <w:tc>
          <w:tcPr>
            <w:tcW w:w="1133"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48~49</w:t>
            </w:r>
          </w:p>
        </w:tc>
        <w:tc>
          <w:tcPr>
            <w:tcW w:w="992"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70</w:t>
            </w:r>
          </w:p>
        </w:tc>
        <w:tc>
          <w:tcPr>
            <w:tcW w:w="992"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55</w:t>
            </w:r>
          </w:p>
        </w:tc>
        <w:tc>
          <w:tcPr>
            <w:tcW w:w="850" w:type="dxa"/>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达标</w:t>
            </w:r>
          </w:p>
        </w:tc>
        <w:tc>
          <w:tcPr>
            <w:tcW w:w="850" w:type="dxa"/>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达标</w:t>
            </w:r>
          </w:p>
        </w:tc>
        <w:tc>
          <w:tcPr>
            <w:tcW w:w="1466" w:type="dxa"/>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《声环境质量标准》</w:t>
            </w:r>
          </w:p>
          <w:p>
            <w:pPr>
              <w:spacing w:line="340" w:lineRule="exact"/>
              <w:jc w:val="center"/>
              <w:rPr>
                <w:rFonts w:ascii="Times New Roman" w:hAnsi="Times New Roman" w:cs="Times New Roman"/>
                <w:szCs w:val="21"/>
              </w:rPr>
            </w:pPr>
            <w:r>
              <w:rPr>
                <w:rFonts w:ascii="Times New Roman" w:hAnsi="Times New Roman" w:cs="Times New Roman"/>
                <w:szCs w:val="21"/>
              </w:rPr>
              <w:t>（GB3096－2008）</w:t>
            </w:r>
            <w:r>
              <w:rPr>
                <w:rFonts w:hint="eastAsia" w:ascii="Times New Roman" w:hAnsi="Times New Roman" w:cs="Times New Roman"/>
                <w:szCs w:val="21"/>
              </w:rPr>
              <w:t>4a类</w:t>
            </w:r>
          </w:p>
          <w:p>
            <w:pPr>
              <w:spacing w:line="340" w:lineRule="exact"/>
              <w:jc w:val="center"/>
              <w:rPr>
                <w:rFonts w:ascii="Times New Roman" w:hAnsi="Times New Roman" w:cs="Times New Roman"/>
                <w:szCs w:val="21"/>
              </w:rPr>
            </w:pPr>
            <w:r>
              <w:rPr>
                <w:rFonts w:ascii="Times New Roman" w:hAnsi="Times New Roman" w:cs="Times New Roman"/>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054"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东</w:t>
            </w:r>
            <w:r>
              <w:rPr>
                <w:rFonts w:ascii="Times New Roman" w:hAnsi="Times New Roman" w:cs="Times New Roman"/>
                <w:szCs w:val="21"/>
              </w:rPr>
              <w:t>厂界</w:t>
            </w:r>
          </w:p>
        </w:tc>
        <w:tc>
          <w:tcPr>
            <w:tcW w:w="1185"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49~50</w:t>
            </w:r>
          </w:p>
        </w:tc>
        <w:tc>
          <w:tcPr>
            <w:tcW w:w="1133"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41~43</w:t>
            </w:r>
          </w:p>
        </w:tc>
        <w:tc>
          <w:tcPr>
            <w:tcW w:w="992"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55</w:t>
            </w:r>
          </w:p>
        </w:tc>
        <w:tc>
          <w:tcPr>
            <w:tcW w:w="992"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45</w:t>
            </w:r>
          </w:p>
        </w:tc>
        <w:tc>
          <w:tcPr>
            <w:tcW w:w="850" w:type="dxa"/>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达标</w:t>
            </w:r>
          </w:p>
        </w:tc>
        <w:tc>
          <w:tcPr>
            <w:tcW w:w="850" w:type="dxa"/>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达标</w:t>
            </w:r>
          </w:p>
        </w:tc>
        <w:tc>
          <w:tcPr>
            <w:tcW w:w="1466" w:type="dxa"/>
            <w:vMerge w:val="restart"/>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《声环境质量标准》</w:t>
            </w:r>
          </w:p>
          <w:p>
            <w:pPr>
              <w:spacing w:line="340" w:lineRule="exact"/>
              <w:jc w:val="center"/>
              <w:rPr>
                <w:rFonts w:ascii="Times New Roman" w:hAnsi="Times New Roman" w:cs="Times New Roman"/>
                <w:szCs w:val="21"/>
              </w:rPr>
            </w:pPr>
            <w:r>
              <w:rPr>
                <w:rFonts w:ascii="Times New Roman" w:hAnsi="Times New Roman" w:cs="Times New Roman"/>
                <w:szCs w:val="21"/>
              </w:rPr>
              <w:t>（GB3096－2008）</w:t>
            </w:r>
            <w:r>
              <w:rPr>
                <w:rFonts w:hint="eastAsia" w:ascii="Times New Roman" w:hAnsi="Times New Roman" w:cs="Times New Roman"/>
                <w:szCs w:val="21"/>
              </w:rPr>
              <w:t>1</w:t>
            </w:r>
            <w:r>
              <w:rPr>
                <w:rFonts w:ascii="Times New Roman" w:hAnsi="Times New Roman" w:cs="Times New Roman"/>
                <w:szCs w:val="21"/>
              </w:rPr>
              <w:t xml:space="preserve"> 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054"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南</w:t>
            </w:r>
            <w:r>
              <w:rPr>
                <w:rFonts w:ascii="Times New Roman" w:hAnsi="Times New Roman" w:cs="Times New Roman"/>
                <w:szCs w:val="21"/>
              </w:rPr>
              <w:t>厂界</w:t>
            </w:r>
          </w:p>
        </w:tc>
        <w:tc>
          <w:tcPr>
            <w:tcW w:w="1185"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47~48</w:t>
            </w:r>
          </w:p>
        </w:tc>
        <w:tc>
          <w:tcPr>
            <w:tcW w:w="1133"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42~42</w:t>
            </w:r>
          </w:p>
        </w:tc>
        <w:tc>
          <w:tcPr>
            <w:tcW w:w="992"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55</w:t>
            </w:r>
          </w:p>
        </w:tc>
        <w:tc>
          <w:tcPr>
            <w:tcW w:w="992"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45</w:t>
            </w:r>
          </w:p>
        </w:tc>
        <w:tc>
          <w:tcPr>
            <w:tcW w:w="850" w:type="dxa"/>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达标</w:t>
            </w:r>
          </w:p>
        </w:tc>
        <w:tc>
          <w:tcPr>
            <w:tcW w:w="850" w:type="dxa"/>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达标</w:t>
            </w:r>
          </w:p>
        </w:tc>
        <w:tc>
          <w:tcPr>
            <w:tcW w:w="1466" w:type="dxa"/>
            <w:vMerge w:val="continue"/>
            <w:vAlign w:val="center"/>
          </w:tcPr>
          <w:p>
            <w:pPr>
              <w:spacing w:line="34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054"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西</w:t>
            </w:r>
            <w:r>
              <w:rPr>
                <w:rFonts w:ascii="Times New Roman" w:hAnsi="Times New Roman" w:cs="Times New Roman"/>
                <w:szCs w:val="21"/>
              </w:rPr>
              <w:t>厂界</w:t>
            </w:r>
          </w:p>
        </w:tc>
        <w:tc>
          <w:tcPr>
            <w:tcW w:w="1185"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48~49</w:t>
            </w:r>
          </w:p>
        </w:tc>
        <w:tc>
          <w:tcPr>
            <w:tcW w:w="1133"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42~43</w:t>
            </w:r>
          </w:p>
        </w:tc>
        <w:tc>
          <w:tcPr>
            <w:tcW w:w="992"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55</w:t>
            </w:r>
          </w:p>
        </w:tc>
        <w:tc>
          <w:tcPr>
            <w:tcW w:w="992"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45</w:t>
            </w:r>
          </w:p>
        </w:tc>
        <w:tc>
          <w:tcPr>
            <w:tcW w:w="850" w:type="dxa"/>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达标</w:t>
            </w:r>
          </w:p>
        </w:tc>
        <w:tc>
          <w:tcPr>
            <w:tcW w:w="850" w:type="dxa"/>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达标</w:t>
            </w:r>
          </w:p>
        </w:tc>
        <w:tc>
          <w:tcPr>
            <w:tcW w:w="1466" w:type="dxa"/>
            <w:vMerge w:val="continue"/>
            <w:vAlign w:val="center"/>
          </w:tcPr>
          <w:p>
            <w:pPr>
              <w:spacing w:line="34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054" w:type="dxa"/>
            <w:vAlign w:val="center"/>
          </w:tcPr>
          <w:p>
            <w:pPr>
              <w:spacing w:line="300" w:lineRule="exact"/>
              <w:jc w:val="center"/>
              <w:rPr>
                <w:rFonts w:ascii="Times New Roman" w:hAnsi="Times New Roman" w:cs="Times New Roman"/>
                <w:szCs w:val="21"/>
              </w:rPr>
            </w:pPr>
            <w:r>
              <w:rPr>
                <w:rFonts w:ascii="Times New Roman" w:hAnsi="Times New Roman" w:cs="Times New Roman"/>
                <w:szCs w:val="21"/>
              </w:rPr>
              <w:t>文景苑小区</w:t>
            </w:r>
          </w:p>
        </w:tc>
        <w:tc>
          <w:tcPr>
            <w:tcW w:w="1185"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51~52</w:t>
            </w:r>
          </w:p>
        </w:tc>
        <w:tc>
          <w:tcPr>
            <w:tcW w:w="1133"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43~43</w:t>
            </w:r>
          </w:p>
        </w:tc>
        <w:tc>
          <w:tcPr>
            <w:tcW w:w="992"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55</w:t>
            </w:r>
          </w:p>
        </w:tc>
        <w:tc>
          <w:tcPr>
            <w:tcW w:w="992"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45</w:t>
            </w:r>
          </w:p>
        </w:tc>
        <w:tc>
          <w:tcPr>
            <w:tcW w:w="850" w:type="dxa"/>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达标</w:t>
            </w:r>
          </w:p>
        </w:tc>
        <w:tc>
          <w:tcPr>
            <w:tcW w:w="850" w:type="dxa"/>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达标</w:t>
            </w:r>
          </w:p>
        </w:tc>
        <w:tc>
          <w:tcPr>
            <w:tcW w:w="1466" w:type="dxa"/>
            <w:vMerge w:val="continue"/>
            <w:vAlign w:val="center"/>
          </w:tcPr>
          <w:p>
            <w:pPr>
              <w:spacing w:line="34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054" w:type="dxa"/>
            <w:vAlign w:val="center"/>
          </w:tcPr>
          <w:p>
            <w:pPr>
              <w:spacing w:line="300" w:lineRule="exact"/>
              <w:jc w:val="center"/>
              <w:rPr>
                <w:rFonts w:ascii="Times New Roman" w:hAnsi="Times New Roman" w:cs="Times New Roman"/>
                <w:szCs w:val="21"/>
              </w:rPr>
            </w:pPr>
            <w:r>
              <w:rPr>
                <w:rFonts w:ascii="Times New Roman" w:hAnsi="Times New Roman" w:cs="Times New Roman"/>
                <w:szCs w:val="21"/>
              </w:rPr>
              <w:t>华北电力大学</w:t>
            </w:r>
          </w:p>
        </w:tc>
        <w:tc>
          <w:tcPr>
            <w:tcW w:w="1185"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51~52</w:t>
            </w:r>
          </w:p>
        </w:tc>
        <w:tc>
          <w:tcPr>
            <w:tcW w:w="1133"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42~44</w:t>
            </w:r>
          </w:p>
        </w:tc>
        <w:tc>
          <w:tcPr>
            <w:tcW w:w="992"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55</w:t>
            </w:r>
          </w:p>
        </w:tc>
        <w:tc>
          <w:tcPr>
            <w:tcW w:w="992"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45</w:t>
            </w:r>
          </w:p>
        </w:tc>
        <w:tc>
          <w:tcPr>
            <w:tcW w:w="850" w:type="dxa"/>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达标</w:t>
            </w:r>
          </w:p>
        </w:tc>
        <w:tc>
          <w:tcPr>
            <w:tcW w:w="850" w:type="dxa"/>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达标</w:t>
            </w:r>
          </w:p>
        </w:tc>
        <w:tc>
          <w:tcPr>
            <w:tcW w:w="1466" w:type="dxa"/>
            <w:vMerge w:val="continue"/>
            <w:vAlign w:val="center"/>
          </w:tcPr>
          <w:p>
            <w:pPr>
              <w:spacing w:line="34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054" w:type="dxa"/>
            <w:vAlign w:val="center"/>
          </w:tcPr>
          <w:p>
            <w:pPr>
              <w:spacing w:line="300" w:lineRule="exact"/>
              <w:jc w:val="center"/>
              <w:rPr>
                <w:rFonts w:ascii="Times New Roman" w:hAnsi="Times New Roman" w:cs="Times New Roman"/>
                <w:szCs w:val="21"/>
              </w:rPr>
            </w:pPr>
            <w:r>
              <w:rPr>
                <w:rFonts w:ascii="Times New Roman" w:hAnsi="Times New Roman" w:cs="Times New Roman"/>
                <w:szCs w:val="21"/>
              </w:rPr>
              <w:t>中央司法警官学院</w:t>
            </w:r>
          </w:p>
        </w:tc>
        <w:tc>
          <w:tcPr>
            <w:tcW w:w="1185"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51~52</w:t>
            </w:r>
          </w:p>
        </w:tc>
        <w:tc>
          <w:tcPr>
            <w:tcW w:w="1133"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41~43</w:t>
            </w:r>
          </w:p>
        </w:tc>
        <w:tc>
          <w:tcPr>
            <w:tcW w:w="992"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55</w:t>
            </w:r>
          </w:p>
        </w:tc>
        <w:tc>
          <w:tcPr>
            <w:tcW w:w="992" w:type="dxa"/>
            <w:vAlign w:val="center"/>
          </w:tcPr>
          <w:p>
            <w:pPr>
              <w:spacing w:line="340" w:lineRule="exact"/>
              <w:jc w:val="center"/>
              <w:rPr>
                <w:rFonts w:ascii="Times New Roman" w:hAnsi="Times New Roman" w:cs="Times New Roman"/>
                <w:szCs w:val="21"/>
              </w:rPr>
            </w:pPr>
            <w:r>
              <w:rPr>
                <w:rFonts w:hint="eastAsia" w:ascii="Times New Roman" w:hAnsi="Times New Roman" w:cs="Times New Roman"/>
                <w:szCs w:val="21"/>
              </w:rPr>
              <w:t>45</w:t>
            </w:r>
          </w:p>
        </w:tc>
        <w:tc>
          <w:tcPr>
            <w:tcW w:w="850" w:type="dxa"/>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达标</w:t>
            </w:r>
          </w:p>
        </w:tc>
        <w:tc>
          <w:tcPr>
            <w:tcW w:w="850" w:type="dxa"/>
            <w:vAlign w:val="center"/>
          </w:tcPr>
          <w:p>
            <w:pPr>
              <w:spacing w:line="340" w:lineRule="exact"/>
              <w:jc w:val="center"/>
              <w:rPr>
                <w:rFonts w:ascii="Times New Roman" w:hAnsi="Times New Roman" w:cs="Times New Roman"/>
                <w:szCs w:val="21"/>
              </w:rPr>
            </w:pPr>
            <w:r>
              <w:rPr>
                <w:rFonts w:ascii="Times New Roman" w:hAnsi="Times New Roman" w:cs="Times New Roman"/>
                <w:szCs w:val="21"/>
              </w:rPr>
              <w:t>达标</w:t>
            </w:r>
          </w:p>
        </w:tc>
        <w:tc>
          <w:tcPr>
            <w:tcW w:w="1466" w:type="dxa"/>
            <w:vMerge w:val="continue"/>
            <w:vAlign w:val="center"/>
          </w:tcPr>
          <w:p>
            <w:pPr>
              <w:spacing w:line="340" w:lineRule="exact"/>
              <w:jc w:val="center"/>
              <w:rPr>
                <w:rFonts w:ascii="Times New Roman" w:hAnsi="Times New Roman" w:cs="Times New Roman"/>
                <w:szCs w:val="21"/>
              </w:rPr>
            </w:pPr>
          </w:p>
        </w:tc>
      </w:tr>
    </w:tbl>
    <w:p>
      <w:pPr>
        <w:spacing w:line="360" w:lineRule="auto"/>
        <w:ind w:firstLine="480" w:firstLineChars="200"/>
        <w:rPr>
          <w:rFonts w:ascii="Times New Roman" w:hAnsi="Times New Roman" w:cs="Times New Roman"/>
          <w:sz w:val="24"/>
        </w:rPr>
      </w:pPr>
      <w:r>
        <w:rPr>
          <w:rFonts w:ascii="Times New Roman" w:hAnsi="Times New Roman" w:cs="Times New Roman"/>
          <w:sz w:val="24"/>
        </w:rPr>
        <w:t>由表</w:t>
      </w:r>
      <w:r>
        <w:rPr>
          <w:rFonts w:hint="eastAsia" w:ascii="Times New Roman" w:hAnsi="Times New Roman" w:cs="Times New Roman"/>
          <w:sz w:val="24"/>
        </w:rPr>
        <w:t>4-11</w:t>
      </w:r>
      <w:r>
        <w:rPr>
          <w:rFonts w:ascii="Times New Roman" w:hAnsi="Times New Roman" w:cs="Times New Roman"/>
          <w:sz w:val="24"/>
        </w:rPr>
        <w:t xml:space="preserve"> 可以看出，项目</w:t>
      </w:r>
      <w:r>
        <w:rPr>
          <w:rFonts w:hint="eastAsia" w:ascii="Times New Roman" w:hAnsi="Times New Roman" w:cs="Times New Roman"/>
          <w:sz w:val="24"/>
        </w:rPr>
        <w:t>北侧</w:t>
      </w:r>
      <w:r>
        <w:rPr>
          <w:rFonts w:ascii="Times New Roman" w:hAnsi="Times New Roman" w:cs="Times New Roman"/>
          <w:sz w:val="24"/>
        </w:rPr>
        <w:t>边界环境噪声值符合《声环境质量标准》（GB3096-2008）中</w:t>
      </w:r>
      <w:r>
        <w:rPr>
          <w:rFonts w:hint="eastAsia" w:ascii="Times New Roman" w:hAnsi="Times New Roman" w:cs="Times New Roman"/>
          <w:sz w:val="24"/>
        </w:rPr>
        <w:t>4a</w:t>
      </w:r>
      <w:r>
        <w:rPr>
          <w:rFonts w:ascii="Times New Roman" w:hAnsi="Times New Roman" w:cs="Times New Roman"/>
          <w:sz w:val="24"/>
        </w:rPr>
        <w:t xml:space="preserve"> 类声环境功能区标准</w:t>
      </w:r>
      <w:r>
        <w:rPr>
          <w:rFonts w:hint="eastAsia" w:ascii="Times New Roman" w:hAnsi="Times New Roman" w:cs="Times New Roman"/>
          <w:sz w:val="24"/>
        </w:rPr>
        <w:t>；其它边界、周边敏感点</w:t>
      </w:r>
      <w:r>
        <w:rPr>
          <w:rFonts w:ascii="Times New Roman" w:hAnsi="Times New Roman" w:cs="Times New Roman"/>
          <w:sz w:val="24"/>
        </w:rPr>
        <w:t>环境噪声值符合《声环境质量标准》（GB3096-2008）中</w:t>
      </w:r>
      <w:r>
        <w:rPr>
          <w:rFonts w:hint="eastAsia" w:ascii="Times New Roman" w:hAnsi="Times New Roman" w:cs="Times New Roman"/>
          <w:sz w:val="24"/>
        </w:rPr>
        <w:t>1</w:t>
      </w:r>
      <w:r>
        <w:rPr>
          <w:rFonts w:ascii="Times New Roman" w:hAnsi="Times New Roman" w:cs="Times New Roman"/>
          <w:sz w:val="24"/>
        </w:rPr>
        <w:t xml:space="preserve"> 类声环境功能区标准。</w:t>
      </w: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sectPr>
          <w:pgSz w:w="11906" w:h="16838"/>
          <w:pgMar w:top="1440" w:right="1800" w:bottom="1440" w:left="1800" w:header="851" w:footer="992" w:gutter="0"/>
          <w:cols w:space="425" w:num="1"/>
          <w:docGrid w:type="lines" w:linePitch="312" w:charSpace="0"/>
        </w:sectPr>
      </w:pPr>
    </w:p>
    <w:p>
      <w:pPr>
        <w:pStyle w:val="2"/>
        <w:spacing w:before="0" w:after="0" w:line="360" w:lineRule="auto"/>
        <w:rPr>
          <w:rFonts w:ascii="Times New Roman" w:hAnsi="Times New Roman" w:cs="Times New Roman"/>
          <w:sz w:val="30"/>
          <w:szCs w:val="30"/>
        </w:rPr>
      </w:pPr>
      <w:bookmarkStart w:id="31" w:name="_Toc13725356"/>
      <w:r>
        <w:rPr>
          <w:rFonts w:ascii="Times New Roman" w:hAnsi="Times New Roman" w:cs="Times New Roman"/>
          <w:sz w:val="30"/>
          <w:szCs w:val="30"/>
        </w:rPr>
        <w:t>5.环境影响预测与评价</w:t>
      </w:r>
      <w:bookmarkEnd w:id="31"/>
    </w:p>
    <w:p>
      <w:pPr>
        <w:pStyle w:val="3"/>
        <w:spacing w:before="0" w:after="0" w:line="360" w:lineRule="auto"/>
        <w:rPr>
          <w:rFonts w:ascii="Times New Roman" w:hAnsi="Times New Roman" w:cs="Times New Roman"/>
          <w:sz w:val="28"/>
          <w:szCs w:val="28"/>
        </w:rPr>
      </w:pPr>
      <w:bookmarkStart w:id="32" w:name="_Toc13725357"/>
      <w:r>
        <w:rPr>
          <w:rFonts w:ascii="Times New Roman" w:hAnsi="Times New Roman" w:cs="Times New Roman"/>
          <w:sz w:val="28"/>
          <w:szCs w:val="28"/>
        </w:rPr>
        <w:t>5.1施工期环境影响分析</w:t>
      </w:r>
      <w:bookmarkEnd w:id="32"/>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5.1.1大气环境影响分析</w:t>
      </w:r>
    </w:p>
    <w:p>
      <w:pPr>
        <w:spacing w:line="500" w:lineRule="atLeast"/>
        <w:ind w:firstLine="480" w:firstLineChars="200"/>
        <w:rPr>
          <w:rFonts w:ascii="Times New Roman" w:hAnsi="Times New Roman" w:cs="Times New Roman" w:eastAsiaTheme="majorEastAsia"/>
          <w:color w:val="000000" w:themeColor="text1"/>
          <w:sz w:val="24"/>
          <w:szCs w:val="24"/>
        </w:rPr>
      </w:pPr>
      <w:r>
        <w:rPr>
          <w:rFonts w:ascii="Times New Roman" w:cs="Times New Roman" w:hAnsiTheme="majorEastAsia" w:eastAsiaTheme="majorEastAsia"/>
          <w:color w:val="000000" w:themeColor="text1"/>
          <w:sz w:val="24"/>
          <w:szCs w:val="24"/>
        </w:rPr>
        <w:t>施工期土石方开挖建设等过程势必会破坏地表结构，建筑材料砂石装卸、转运、运输均会造成地面扬尘污染环境，其扬尘量大小与施工现场条件、施工管理水平、机械化程度高低及施工季节、时间长短，以及土质结构、天气条件等因素关系密切。</w:t>
      </w:r>
    </w:p>
    <w:p>
      <w:pPr>
        <w:spacing w:line="500" w:lineRule="atLeast"/>
        <w:ind w:firstLine="480" w:firstLineChars="200"/>
        <w:rPr>
          <w:rFonts w:ascii="Times New Roman" w:hAnsi="Times New Roman" w:cs="Times New Roman" w:eastAsiaTheme="majorEastAsia"/>
          <w:color w:val="000000" w:themeColor="text1"/>
          <w:sz w:val="24"/>
          <w:szCs w:val="24"/>
        </w:rPr>
      </w:pPr>
      <w:r>
        <w:rPr>
          <w:rFonts w:ascii="Times New Roman" w:hAnsi="Times New Roman" w:cs="Times New Roman" w:eastAsiaTheme="majorEastAsia"/>
          <w:color w:val="000000" w:themeColor="text1"/>
          <w:sz w:val="24"/>
          <w:szCs w:val="24"/>
        </w:rPr>
        <w:t>1</w:t>
      </w:r>
      <w:r>
        <w:rPr>
          <w:rFonts w:ascii="Times New Roman" w:cs="Times New Roman" w:hAnsiTheme="majorEastAsia" w:eastAsiaTheme="majorEastAsia"/>
          <w:color w:val="000000" w:themeColor="text1"/>
          <w:sz w:val="24"/>
          <w:szCs w:val="24"/>
        </w:rPr>
        <w:t>、施工扬尘</w:t>
      </w:r>
    </w:p>
    <w:p>
      <w:pPr>
        <w:spacing w:line="500" w:lineRule="atLeast"/>
        <w:ind w:firstLine="480" w:firstLineChars="200"/>
        <w:rPr>
          <w:rFonts w:ascii="Times New Roman" w:hAnsi="Times New Roman" w:cs="Times New Roman" w:eastAsiaTheme="majorEastAsia"/>
          <w:color w:val="000000" w:themeColor="text1"/>
          <w:sz w:val="24"/>
          <w:szCs w:val="24"/>
        </w:rPr>
      </w:pPr>
      <w:r>
        <w:rPr>
          <w:rFonts w:ascii="Times New Roman" w:cs="Times New Roman" w:hAnsiTheme="majorEastAsia" w:eastAsiaTheme="majorEastAsia"/>
          <w:color w:val="000000" w:themeColor="text1"/>
          <w:sz w:val="24"/>
          <w:szCs w:val="24"/>
        </w:rPr>
        <w:t>（</w:t>
      </w:r>
      <w:r>
        <w:rPr>
          <w:rFonts w:ascii="Times New Roman" w:hAnsi="Times New Roman" w:cs="Times New Roman" w:eastAsiaTheme="majorEastAsia"/>
          <w:color w:val="000000" w:themeColor="text1"/>
          <w:sz w:val="24"/>
          <w:szCs w:val="24"/>
        </w:rPr>
        <w:t>1</w:t>
      </w:r>
      <w:r>
        <w:rPr>
          <w:rFonts w:ascii="Times New Roman" w:cs="Times New Roman" w:hAnsiTheme="majorEastAsia" w:eastAsiaTheme="majorEastAsia"/>
          <w:color w:val="000000" w:themeColor="text1"/>
          <w:sz w:val="24"/>
          <w:szCs w:val="24"/>
        </w:rPr>
        <w:t>）施工扬尘包括场地内扬尘和场地外扬尘，主要产生在以下环节：</w:t>
      </w:r>
    </w:p>
    <w:p>
      <w:pPr>
        <w:spacing w:line="500" w:lineRule="atLeast"/>
        <w:ind w:firstLine="480" w:firstLineChars="200"/>
        <w:rPr>
          <w:rFonts w:ascii="Times New Roman" w:hAnsi="Times New Roman" w:cs="Times New Roman" w:eastAsiaTheme="majorEastAsia"/>
          <w:color w:val="000000" w:themeColor="text1"/>
          <w:sz w:val="24"/>
          <w:szCs w:val="24"/>
        </w:rPr>
      </w:pPr>
      <w:r>
        <w:rPr>
          <w:rFonts w:cs="Times New Roman" w:asciiTheme="majorEastAsia" w:hAnsiTheme="majorEastAsia" w:eastAsiaTheme="majorEastAsia"/>
          <w:color w:val="000000" w:themeColor="text1"/>
          <w:sz w:val="24"/>
          <w:szCs w:val="24"/>
        </w:rPr>
        <w:t>①</w:t>
      </w:r>
      <w:r>
        <w:rPr>
          <w:rFonts w:ascii="Times New Roman" w:cs="Times New Roman" w:hAnsiTheme="majorEastAsia" w:eastAsiaTheme="majorEastAsia"/>
          <w:color w:val="000000" w:themeColor="text1"/>
          <w:sz w:val="24"/>
          <w:szCs w:val="24"/>
        </w:rPr>
        <w:t>场地平整过程产生的扬尘；</w:t>
      </w:r>
    </w:p>
    <w:p>
      <w:pPr>
        <w:spacing w:line="500" w:lineRule="atLeast"/>
        <w:ind w:firstLine="480" w:firstLineChars="200"/>
        <w:rPr>
          <w:rFonts w:ascii="Times New Roman" w:hAnsi="Times New Roman" w:cs="Times New Roman" w:eastAsiaTheme="majorEastAsia"/>
          <w:color w:val="000000" w:themeColor="text1"/>
          <w:sz w:val="24"/>
          <w:szCs w:val="24"/>
        </w:rPr>
      </w:pPr>
      <w:r>
        <w:rPr>
          <w:rFonts w:cs="Times New Roman" w:asciiTheme="majorEastAsia" w:hAnsiTheme="majorEastAsia" w:eastAsiaTheme="majorEastAsia"/>
          <w:color w:val="000000" w:themeColor="text1"/>
          <w:sz w:val="24"/>
          <w:szCs w:val="24"/>
        </w:rPr>
        <w:t>②</w:t>
      </w:r>
      <w:r>
        <w:rPr>
          <w:rFonts w:ascii="Times New Roman" w:cs="Times New Roman" w:hAnsiTheme="majorEastAsia" w:eastAsiaTheme="majorEastAsia"/>
          <w:color w:val="000000" w:themeColor="text1"/>
          <w:sz w:val="24"/>
          <w:szCs w:val="24"/>
        </w:rPr>
        <w:t>建筑材料（白灰、水泥、砂子、石子和砖等）的搬运及堆放扬尘；</w:t>
      </w:r>
    </w:p>
    <w:p>
      <w:pPr>
        <w:spacing w:line="500" w:lineRule="atLeast"/>
        <w:ind w:firstLine="480" w:firstLineChars="200"/>
        <w:rPr>
          <w:rFonts w:ascii="Times New Roman" w:hAnsi="Times New Roman" w:cs="Times New Roman" w:eastAsiaTheme="majorEastAsia"/>
          <w:color w:val="000000" w:themeColor="text1"/>
          <w:sz w:val="24"/>
          <w:szCs w:val="24"/>
        </w:rPr>
      </w:pPr>
      <w:r>
        <w:rPr>
          <w:rFonts w:cs="Times New Roman" w:asciiTheme="majorEastAsia" w:hAnsiTheme="majorEastAsia" w:eastAsiaTheme="majorEastAsia"/>
          <w:color w:val="000000" w:themeColor="text1"/>
          <w:sz w:val="24"/>
          <w:szCs w:val="24"/>
        </w:rPr>
        <w:t>③</w:t>
      </w:r>
      <w:r>
        <w:rPr>
          <w:rFonts w:ascii="Times New Roman" w:cs="Times New Roman" w:hAnsiTheme="majorEastAsia" w:eastAsiaTheme="majorEastAsia"/>
          <w:color w:val="000000" w:themeColor="text1"/>
          <w:sz w:val="24"/>
          <w:szCs w:val="24"/>
        </w:rPr>
        <w:t>施工垃圾的清理及堆放扬尘；</w:t>
      </w:r>
    </w:p>
    <w:p>
      <w:pPr>
        <w:spacing w:line="500" w:lineRule="atLeast"/>
        <w:ind w:firstLine="480" w:firstLineChars="200"/>
        <w:rPr>
          <w:rFonts w:ascii="Times New Roman" w:hAnsi="Times New Roman" w:cs="Times New Roman" w:eastAsiaTheme="majorEastAsia"/>
          <w:color w:val="000000" w:themeColor="text1"/>
          <w:sz w:val="24"/>
          <w:szCs w:val="24"/>
        </w:rPr>
      </w:pPr>
      <w:r>
        <w:rPr>
          <w:rFonts w:cs="Times New Roman" w:asciiTheme="majorEastAsia" w:hAnsiTheme="majorEastAsia" w:eastAsiaTheme="majorEastAsia"/>
          <w:color w:val="000000" w:themeColor="text1"/>
          <w:sz w:val="24"/>
          <w:szCs w:val="24"/>
        </w:rPr>
        <w:t>④</w:t>
      </w:r>
      <w:r>
        <w:rPr>
          <w:rFonts w:ascii="Times New Roman" w:cs="Times New Roman" w:hAnsiTheme="majorEastAsia" w:eastAsiaTheme="majorEastAsia"/>
          <w:color w:val="000000" w:themeColor="text1"/>
          <w:sz w:val="24"/>
          <w:szCs w:val="24"/>
        </w:rPr>
        <w:t>土方挖掘和现场堆放扬尘；</w:t>
      </w:r>
    </w:p>
    <w:p>
      <w:pPr>
        <w:spacing w:line="500" w:lineRule="atLeast"/>
        <w:ind w:firstLine="480" w:firstLineChars="200"/>
        <w:rPr>
          <w:rFonts w:ascii="Times New Roman" w:hAnsi="Times New Roman" w:cs="Times New Roman" w:eastAsiaTheme="majorEastAsia"/>
          <w:color w:val="000000" w:themeColor="text1"/>
          <w:sz w:val="24"/>
          <w:szCs w:val="24"/>
        </w:rPr>
      </w:pPr>
      <w:r>
        <w:rPr>
          <w:rFonts w:cs="Times New Roman" w:asciiTheme="majorEastAsia" w:hAnsiTheme="majorEastAsia" w:eastAsiaTheme="majorEastAsia"/>
          <w:color w:val="000000" w:themeColor="text1"/>
          <w:sz w:val="24"/>
          <w:szCs w:val="24"/>
        </w:rPr>
        <w:t>⑤</w:t>
      </w:r>
      <w:r>
        <w:rPr>
          <w:rFonts w:ascii="Times New Roman" w:cs="Times New Roman" w:hAnsiTheme="majorEastAsia" w:eastAsiaTheme="majorEastAsia"/>
          <w:color w:val="000000" w:themeColor="text1"/>
          <w:sz w:val="24"/>
          <w:szCs w:val="24"/>
        </w:rPr>
        <w:t>物料运输车辆造成的道路扬尘（包括施工区内工地道路扬尘和施工区外道路扬尘）。</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2、施工扬尘影响分析</w:t>
      </w:r>
    </w:p>
    <w:p>
      <w:pPr>
        <w:spacing w:line="500" w:lineRule="atLeast"/>
        <w:ind w:firstLine="480" w:firstLineChars="200"/>
        <w:rPr>
          <w:rFonts w:ascii="Times New Roman" w:hAnsi="Times New Roman" w:cs="Times New Roman"/>
          <w:color w:val="000000" w:themeColor="text1"/>
          <w:sz w:val="24"/>
          <w:szCs w:val="24"/>
        </w:rPr>
      </w:pPr>
      <w:r>
        <w:rPr>
          <w:rFonts w:ascii="Times New Roman" w:cs="Times New Roman"/>
          <w:color w:val="000000" w:themeColor="text1"/>
          <w:sz w:val="24"/>
          <w:szCs w:val="24"/>
        </w:rPr>
        <w:t>施工期扬尘产生量的多少及影响程度的大小与施工场地条件和天气条件等诸多因素有关，是一个复杂、较难定量的问题。因此本次评价采用类比现场实测资料进行综合分析，施工扬尘情况类比北京市环科所对施工扬尘所做的实测资料及石家庄市环境监测中心站对施工场地扬尘进行的实测资料，具体数据见表</w:t>
      </w:r>
      <w:r>
        <w:rPr>
          <w:rFonts w:hint="eastAsia" w:ascii="Times New Roman" w:hAnsi="Times New Roman" w:cs="Times New Roman"/>
          <w:color w:val="000000" w:themeColor="text1"/>
          <w:sz w:val="24"/>
          <w:szCs w:val="24"/>
        </w:rPr>
        <w:t>5-1</w:t>
      </w:r>
      <w:r>
        <w:rPr>
          <w:rFonts w:ascii="Times New Roman" w:cs="Times New Roman"/>
          <w:color w:val="000000" w:themeColor="text1"/>
          <w:sz w:val="24"/>
          <w:szCs w:val="24"/>
        </w:rPr>
        <w:t>、表</w:t>
      </w:r>
      <w:r>
        <w:rPr>
          <w:rFonts w:hint="eastAsia" w:ascii="Times New Roman" w:hAnsi="Times New Roman" w:cs="Times New Roman"/>
          <w:color w:val="000000" w:themeColor="text1"/>
          <w:sz w:val="24"/>
          <w:szCs w:val="24"/>
        </w:rPr>
        <w:t>5-2</w:t>
      </w:r>
      <w:r>
        <w:rPr>
          <w:rFonts w:ascii="Times New Roman" w:cs="Times New Roman"/>
          <w:color w:val="000000" w:themeColor="text1"/>
          <w:sz w:val="24"/>
          <w:szCs w:val="24"/>
        </w:rPr>
        <w:t>。</w:t>
      </w:r>
    </w:p>
    <w:p>
      <w:pPr>
        <w:spacing w:line="360" w:lineRule="auto"/>
        <w:ind w:firstLine="480" w:firstLineChars="200"/>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 xml:space="preserve">  表</w:t>
      </w:r>
      <w:r>
        <w:rPr>
          <w:rFonts w:hint="eastAsia" w:ascii="Times New Roman" w:hAnsi="Times New Roman" w:cs="Times New Roman"/>
          <w:b/>
          <w:bCs/>
          <w:color w:val="000000" w:themeColor="text1"/>
          <w:sz w:val="24"/>
          <w:szCs w:val="24"/>
        </w:rPr>
        <w:t>5-1</w:t>
      </w:r>
      <w:r>
        <w:rPr>
          <w:rFonts w:ascii="Times New Roman" w:hAnsi="Times New Roman" w:cs="Times New Roman"/>
          <w:b/>
          <w:bCs/>
          <w:color w:val="000000" w:themeColor="text1"/>
          <w:sz w:val="24"/>
          <w:szCs w:val="24"/>
        </w:rPr>
        <w:t xml:space="preserve">       北京建筑施工工地扬尘污染情况      单位：mg/m</w:t>
      </w:r>
      <w:r>
        <w:rPr>
          <w:rFonts w:ascii="Times New Roman" w:hAnsi="Times New Roman" w:cs="Times New Roman"/>
          <w:b/>
          <w:bCs/>
          <w:color w:val="000000" w:themeColor="text1"/>
          <w:sz w:val="24"/>
          <w:szCs w:val="24"/>
          <w:vertAlign w:val="superscript"/>
        </w:rPr>
        <w:t>3</w:t>
      </w:r>
    </w:p>
    <w:tbl>
      <w:tblPr>
        <w:tblStyle w:val="27"/>
        <w:tblW w:w="8800" w:type="dxa"/>
        <w:jc w:val="center"/>
        <w:tblInd w:w="0" w:type="dxa"/>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62"/>
        <w:gridCol w:w="1436"/>
        <w:gridCol w:w="1217"/>
        <w:gridCol w:w="1217"/>
        <w:gridCol w:w="1245"/>
        <w:gridCol w:w="1198"/>
        <w:gridCol w:w="1225"/>
      </w:tblGrid>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19" w:hRule="atLeast"/>
          <w:jc w:val="center"/>
        </w:trPr>
        <w:tc>
          <w:tcPr>
            <w:tcW w:w="1262" w:type="dxa"/>
            <w:vMerge w:val="restart"/>
            <w:vAlign w:val="center"/>
          </w:tcPr>
          <w:p>
            <w:pPr>
              <w:pStyle w:val="18"/>
              <w:pBdr>
                <w:bottom w:val="none" w:color="auto" w:sz="0" w:space="0"/>
              </w:pBdr>
              <w:tabs>
                <w:tab w:val="clear" w:pos="4153"/>
                <w:tab w:val="clear" w:pos="8306"/>
              </w:tabs>
              <w:autoSpaceDE w:val="0"/>
              <w:autoSpaceDN w:val="0"/>
              <w:snapToGrid/>
              <w:spacing w:line="320" w:lineRule="atLeast"/>
              <w:ind w:firstLine="105" w:firstLineChars="50"/>
              <w:jc w:val="both"/>
              <w:rPr>
                <w:rFonts w:ascii="Times New Roman" w:hAnsi="Times New Roman" w:cs="Times New Roman"/>
                <w:color w:val="000000" w:themeColor="text1"/>
                <w:sz w:val="21"/>
                <w:szCs w:val="21"/>
              </w:rPr>
            </w:pPr>
            <w:r>
              <w:rPr>
                <w:rFonts w:ascii="Times New Roman" w:cs="Times New Roman" w:hAnsiTheme="minorEastAsia"/>
                <w:color w:val="000000" w:themeColor="text1"/>
                <w:sz w:val="21"/>
                <w:szCs w:val="21"/>
              </w:rPr>
              <w:t>监测位置</w:t>
            </w:r>
          </w:p>
        </w:tc>
        <w:tc>
          <w:tcPr>
            <w:tcW w:w="1436" w:type="dxa"/>
            <w:vMerge w:val="restart"/>
            <w:vAlign w:val="center"/>
          </w:tcPr>
          <w:p>
            <w:pPr>
              <w:autoSpaceDE w:val="0"/>
              <w:autoSpaceDN w:val="0"/>
              <w:spacing w:line="320" w:lineRule="atLeast"/>
              <w:jc w:val="center"/>
              <w:rPr>
                <w:rFonts w:ascii="Times New Roman" w:hAnsi="Times New Roman" w:cs="Times New Roman"/>
                <w:color w:val="000000" w:themeColor="text1"/>
              </w:rPr>
            </w:pPr>
            <w:r>
              <w:rPr>
                <w:rFonts w:ascii="Times New Roman" w:cs="Times New Roman" w:hAnsiTheme="minorEastAsia"/>
                <w:color w:val="000000" w:themeColor="text1"/>
              </w:rPr>
              <w:t>工地上风向</w:t>
            </w:r>
            <w:r>
              <w:rPr>
                <w:rFonts w:ascii="Times New Roman" w:hAnsi="Times New Roman" w:cs="Times New Roman"/>
                <w:color w:val="000000" w:themeColor="text1"/>
              </w:rPr>
              <w:t>50m</w:t>
            </w:r>
          </w:p>
        </w:tc>
        <w:tc>
          <w:tcPr>
            <w:tcW w:w="1217" w:type="dxa"/>
            <w:vMerge w:val="restart"/>
            <w:vAlign w:val="center"/>
          </w:tcPr>
          <w:p>
            <w:pPr>
              <w:pStyle w:val="18"/>
              <w:pBdr>
                <w:bottom w:val="none" w:color="auto" w:sz="0" w:space="0"/>
              </w:pBdr>
              <w:tabs>
                <w:tab w:val="clear" w:pos="4153"/>
                <w:tab w:val="clear" w:pos="8306"/>
              </w:tabs>
              <w:autoSpaceDE w:val="0"/>
              <w:autoSpaceDN w:val="0"/>
              <w:snapToGrid/>
              <w:spacing w:line="320" w:lineRule="atLeast"/>
              <w:rPr>
                <w:rFonts w:ascii="Times New Roman" w:hAnsi="Times New Roman" w:cs="Times New Roman"/>
                <w:color w:val="000000" w:themeColor="text1"/>
              </w:rPr>
            </w:pPr>
            <w:r>
              <w:rPr>
                <w:rFonts w:ascii="Times New Roman" w:cs="Times New Roman" w:hAnsiTheme="minorEastAsia"/>
                <w:color w:val="000000" w:themeColor="text1"/>
              </w:rPr>
              <w:t>工地内</w:t>
            </w:r>
          </w:p>
        </w:tc>
        <w:tc>
          <w:tcPr>
            <w:tcW w:w="3660" w:type="dxa"/>
            <w:gridSpan w:val="3"/>
            <w:vAlign w:val="center"/>
          </w:tcPr>
          <w:p>
            <w:pPr>
              <w:autoSpaceDE w:val="0"/>
              <w:autoSpaceDN w:val="0"/>
              <w:spacing w:line="320" w:lineRule="atLeast"/>
              <w:jc w:val="center"/>
              <w:rPr>
                <w:rFonts w:ascii="Times New Roman" w:hAnsi="Times New Roman" w:cs="Times New Roman"/>
                <w:color w:val="000000" w:themeColor="text1"/>
              </w:rPr>
            </w:pPr>
            <w:r>
              <w:rPr>
                <w:rFonts w:ascii="Times New Roman" w:cs="Times New Roman" w:hAnsiTheme="minorEastAsia"/>
                <w:color w:val="000000" w:themeColor="text1"/>
              </w:rPr>
              <w:t>工地下风向</w:t>
            </w:r>
          </w:p>
        </w:tc>
        <w:tc>
          <w:tcPr>
            <w:tcW w:w="1225" w:type="dxa"/>
            <w:vMerge w:val="restart"/>
            <w:vAlign w:val="center"/>
          </w:tcPr>
          <w:p>
            <w:pPr>
              <w:pStyle w:val="18"/>
              <w:pBdr>
                <w:bottom w:val="none" w:color="auto" w:sz="0" w:space="0"/>
              </w:pBdr>
              <w:tabs>
                <w:tab w:val="clear" w:pos="4153"/>
                <w:tab w:val="clear" w:pos="8306"/>
              </w:tabs>
              <w:autoSpaceDE w:val="0"/>
              <w:autoSpaceDN w:val="0"/>
              <w:snapToGrid/>
              <w:spacing w:line="320" w:lineRule="atLeast"/>
              <w:rPr>
                <w:rFonts w:ascii="Times New Roman" w:hAnsi="Times New Roman" w:cs="Times New Roman"/>
                <w:color w:val="000000" w:themeColor="text1"/>
              </w:rPr>
            </w:pPr>
            <w:r>
              <w:rPr>
                <w:rFonts w:ascii="Times New Roman" w:cs="Times New Roman" w:hAnsiTheme="minorEastAsia"/>
                <w:color w:val="000000" w:themeColor="text1"/>
              </w:rPr>
              <w:t>备注</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72" w:hRule="atLeast"/>
          <w:jc w:val="center"/>
        </w:trPr>
        <w:tc>
          <w:tcPr>
            <w:tcW w:w="1262" w:type="dxa"/>
            <w:vMerge w:val="continue"/>
            <w:vAlign w:val="center"/>
          </w:tcPr>
          <w:p>
            <w:pPr>
              <w:autoSpaceDE w:val="0"/>
              <w:autoSpaceDN w:val="0"/>
              <w:spacing w:line="320" w:lineRule="atLeast"/>
              <w:jc w:val="center"/>
              <w:rPr>
                <w:rFonts w:ascii="Times New Roman" w:hAnsi="Times New Roman" w:cs="Times New Roman"/>
                <w:color w:val="000000" w:themeColor="text1"/>
              </w:rPr>
            </w:pPr>
          </w:p>
        </w:tc>
        <w:tc>
          <w:tcPr>
            <w:tcW w:w="1436" w:type="dxa"/>
            <w:vMerge w:val="continue"/>
            <w:vAlign w:val="center"/>
          </w:tcPr>
          <w:p>
            <w:pPr>
              <w:autoSpaceDE w:val="0"/>
              <w:autoSpaceDN w:val="0"/>
              <w:spacing w:line="320" w:lineRule="atLeast"/>
              <w:jc w:val="center"/>
              <w:rPr>
                <w:rFonts w:ascii="Times New Roman" w:hAnsi="Times New Roman" w:cs="Times New Roman"/>
                <w:color w:val="000000" w:themeColor="text1"/>
              </w:rPr>
            </w:pPr>
          </w:p>
        </w:tc>
        <w:tc>
          <w:tcPr>
            <w:tcW w:w="1217" w:type="dxa"/>
            <w:vMerge w:val="continue"/>
            <w:vAlign w:val="center"/>
          </w:tcPr>
          <w:p>
            <w:pPr>
              <w:autoSpaceDE w:val="0"/>
              <w:autoSpaceDN w:val="0"/>
              <w:spacing w:line="320" w:lineRule="atLeast"/>
              <w:jc w:val="center"/>
              <w:rPr>
                <w:rFonts w:ascii="Times New Roman" w:hAnsi="Times New Roman" w:cs="Times New Roman"/>
                <w:color w:val="000000" w:themeColor="text1"/>
              </w:rPr>
            </w:pPr>
          </w:p>
        </w:tc>
        <w:tc>
          <w:tcPr>
            <w:tcW w:w="1217" w:type="dxa"/>
            <w:vAlign w:val="center"/>
          </w:tcPr>
          <w:p>
            <w:pPr>
              <w:autoSpaceDE w:val="0"/>
              <w:autoSpaceDN w:val="0"/>
              <w:spacing w:line="320" w:lineRule="atLeast"/>
              <w:jc w:val="center"/>
              <w:rPr>
                <w:rFonts w:ascii="Times New Roman" w:hAnsi="Times New Roman" w:cs="Times New Roman"/>
                <w:color w:val="000000" w:themeColor="text1"/>
              </w:rPr>
            </w:pPr>
            <w:r>
              <w:rPr>
                <w:rFonts w:ascii="Times New Roman" w:hAnsi="Times New Roman" w:cs="Times New Roman"/>
                <w:color w:val="000000" w:themeColor="text1"/>
              </w:rPr>
              <w:t>50m</w:t>
            </w:r>
          </w:p>
        </w:tc>
        <w:tc>
          <w:tcPr>
            <w:tcW w:w="1245" w:type="dxa"/>
            <w:vAlign w:val="center"/>
          </w:tcPr>
          <w:p>
            <w:pPr>
              <w:autoSpaceDE w:val="0"/>
              <w:autoSpaceDN w:val="0"/>
              <w:spacing w:line="320" w:lineRule="atLeast"/>
              <w:jc w:val="center"/>
              <w:rPr>
                <w:rFonts w:ascii="Times New Roman" w:hAnsi="Times New Roman" w:cs="Times New Roman"/>
                <w:color w:val="000000" w:themeColor="text1"/>
              </w:rPr>
            </w:pPr>
            <w:r>
              <w:rPr>
                <w:rFonts w:ascii="Times New Roman" w:hAnsi="Times New Roman" w:cs="Times New Roman"/>
                <w:color w:val="000000" w:themeColor="text1"/>
              </w:rPr>
              <w:t>100m</w:t>
            </w:r>
          </w:p>
        </w:tc>
        <w:tc>
          <w:tcPr>
            <w:tcW w:w="1198" w:type="dxa"/>
            <w:vAlign w:val="center"/>
          </w:tcPr>
          <w:p>
            <w:pPr>
              <w:autoSpaceDE w:val="0"/>
              <w:autoSpaceDN w:val="0"/>
              <w:spacing w:line="320" w:lineRule="atLeast"/>
              <w:jc w:val="center"/>
              <w:rPr>
                <w:rFonts w:ascii="Times New Roman" w:hAnsi="Times New Roman" w:cs="Times New Roman"/>
                <w:color w:val="000000" w:themeColor="text1"/>
              </w:rPr>
            </w:pPr>
            <w:r>
              <w:rPr>
                <w:rFonts w:ascii="Times New Roman" w:hAnsi="Times New Roman" w:cs="Times New Roman"/>
                <w:color w:val="000000" w:themeColor="text1"/>
              </w:rPr>
              <w:t>150m</w:t>
            </w:r>
          </w:p>
        </w:tc>
        <w:tc>
          <w:tcPr>
            <w:tcW w:w="1225" w:type="dxa"/>
            <w:vMerge w:val="continue"/>
            <w:vAlign w:val="center"/>
          </w:tcPr>
          <w:p>
            <w:pPr>
              <w:autoSpaceDE w:val="0"/>
              <w:autoSpaceDN w:val="0"/>
              <w:spacing w:line="320" w:lineRule="atLeast"/>
              <w:jc w:val="center"/>
              <w:rPr>
                <w:rFonts w:ascii="Times New Roman" w:hAnsi="Times New Roman" w:cs="Times New Roman"/>
                <w:color w:val="000000" w:themeColor="text1"/>
              </w:rPr>
            </w:pP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628" w:hRule="atLeast"/>
          <w:jc w:val="center"/>
        </w:trPr>
        <w:tc>
          <w:tcPr>
            <w:tcW w:w="1262" w:type="dxa"/>
            <w:vAlign w:val="center"/>
          </w:tcPr>
          <w:p>
            <w:pPr>
              <w:autoSpaceDE w:val="0"/>
              <w:autoSpaceDN w:val="0"/>
              <w:spacing w:line="320" w:lineRule="atLeast"/>
              <w:jc w:val="center"/>
              <w:rPr>
                <w:rFonts w:ascii="Times New Roman" w:hAnsi="Times New Roman" w:cs="Times New Roman"/>
                <w:color w:val="000000" w:themeColor="text1"/>
              </w:rPr>
            </w:pPr>
            <w:r>
              <w:rPr>
                <w:rFonts w:ascii="Times New Roman" w:cs="Times New Roman" w:hAnsiTheme="minorEastAsia"/>
                <w:color w:val="000000" w:themeColor="text1"/>
              </w:rPr>
              <w:t>范围值</w:t>
            </w:r>
          </w:p>
        </w:tc>
        <w:tc>
          <w:tcPr>
            <w:tcW w:w="1436" w:type="dxa"/>
            <w:vAlign w:val="center"/>
          </w:tcPr>
          <w:p>
            <w:pPr>
              <w:autoSpaceDE w:val="0"/>
              <w:autoSpaceDN w:val="0"/>
              <w:spacing w:line="320" w:lineRule="atLeast"/>
              <w:jc w:val="center"/>
              <w:rPr>
                <w:rFonts w:ascii="Times New Roman" w:hAnsi="Times New Roman" w:cs="Times New Roman"/>
                <w:color w:val="000000" w:themeColor="text1"/>
              </w:rPr>
            </w:pPr>
            <w:r>
              <w:rPr>
                <w:rFonts w:ascii="Times New Roman" w:hAnsi="Times New Roman" w:cs="Times New Roman"/>
                <w:color w:val="000000" w:themeColor="text1"/>
              </w:rPr>
              <w:t>0.303-0.328</w:t>
            </w:r>
          </w:p>
        </w:tc>
        <w:tc>
          <w:tcPr>
            <w:tcW w:w="1217" w:type="dxa"/>
            <w:vAlign w:val="center"/>
          </w:tcPr>
          <w:p>
            <w:pPr>
              <w:autoSpaceDE w:val="0"/>
              <w:autoSpaceDN w:val="0"/>
              <w:spacing w:line="320" w:lineRule="atLeast"/>
              <w:jc w:val="center"/>
              <w:rPr>
                <w:rFonts w:ascii="Times New Roman" w:hAnsi="Times New Roman" w:cs="Times New Roman"/>
                <w:color w:val="000000" w:themeColor="text1"/>
              </w:rPr>
            </w:pPr>
            <w:r>
              <w:rPr>
                <w:rFonts w:ascii="Times New Roman" w:hAnsi="Times New Roman" w:cs="Times New Roman"/>
                <w:color w:val="000000" w:themeColor="text1"/>
              </w:rPr>
              <w:t>0.409-0.759</w:t>
            </w:r>
          </w:p>
        </w:tc>
        <w:tc>
          <w:tcPr>
            <w:tcW w:w="1217" w:type="dxa"/>
            <w:vAlign w:val="center"/>
          </w:tcPr>
          <w:p>
            <w:pPr>
              <w:autoSpaceDE w:val="0"/>
              <w:autoSpaceDN w:val="0"/>
              <w:spacing w:line="320" w:lineRule="atLeast"/>
              <w:jc w:val="center"/>
              <w:rPr>
                <w:rFonts w:ascii="Times New Roman" w:hAnsi="Times New Roman" w:cs="Times New Roman"/>
                <w:color w:val="000000" w:themeColor="text1"/>
              </w:rPr>
            </w:pPr>
            <w:r>
              <w:rPr>
                <w:rFonts w:ascii="Times New Roman" w:hAnsi="Times New Roman" w:cs="Times New Roman"/>
                <w:color w:val="000000" w:themeColor="text1"/>
              </w:rPr>
              <w:t>0.434-0.538</w:t>
            </w:r>
          </w:p>
        </w:tc>
        <w:tc>
          <w:tcPr>
            <w:tcW w:w="1245" w:type="dxa"/>
            <w:vAlign w:val="center"/>
          </w:tcPr>
          <w:p>
            <w:pPr>
              <w:autoSpaceDE w:val="0"/>
              <w:autoSpaceDN w:val="0"/>
              <w:spacing w:line="320" w:lineRule="atLeast"/>
              <w:jc w:val="center"/>
              <w:rPr>
                <w:rFonts w:ascii="Times New Roman" w:hAnsi="Times New Roman" w:cs="Times New Roman"/>
                <w:color w:val="000000" w:themeColor="text1"/>
              </w:rPr>
            </w:pPr>
            <w:r>
              <w:rPr>
                <w:rFonts w:ascii="Times New Roman" w:hAnsi="Times New Roman" w:cs="Times New Roman"/>
                <w:color w:val="000000" w:themeColor="text1"/>
              </w:rPr>
              <w:t>0.356-0.465</w:t>
            </w:r>
          </w:p>
        </w:tc>
        <w:tc>
          <w:tcPr>
            <w:tcW w:w="1198" w:type="dxa"/>
            <w:vAlign w:val="center"/>
          </w:tcPr>
          <w:p>
            <w:pPr>
              <w:autoSpaceDE w:val="0"/>
              <w:autoSpaceDN w:val="0"/>
              <w:spacing w:line="320" w:lineRule="atLeast"/>
              <w:jc w:val="center"/>
              <w:rPr>
                <w:rFonts w:ascii="Times New Roman" w:hAnsi="Times New Roman" w:cs="Times New Roman"/>
                <w:color w:val="000000" w:themeColor="text1"/>
              </w:rPr>
            </w:pPr>
            <w:r>
              <w:rPr>
                <w:rFonts w:ascii="Times New Roman" w:hAnsi="Times New Roman" w:cs="Times New Roman"/>
                <w:color w:val="000000" w:themeColor="text1"/>
              </w:rPr>
              <w:t>0.309-0.336</w:t>
            </w:r>
          </w:p>
        </w:tc>
        <w:tc>
          <w:tcPr>
            <w:tcW w:w="1225" w:type="dxa"/>
            <w:vAlign w:val="center"/>
          </w:tcPr>
          <w:p>
            <w:pPr>
              <w:autoSpaceDE w:val="0"/>
              <w:autoSpaceDN w:val="0"/>
              <w:spacing w:line="320" w:lineRule="atLeast"/>
              <w:jc w:val="center"/>
              <w:rPr>
                <w:rFonts w:ascii="Times New Roman" w:hAnsi="Times New Roman" w:cs="Times New Roman"/>
                <w:color w:val="000000" w:themeColor="text1"/>
              </w:rPr>
            </w:pPr>
            <w:r>
              <w:rPr>
                <w:rFonts w:ascii="Times New Roman" w:cs="Times New Roman" w:hAnsiTheme="minorEastAsia"/>
                <w:color w:val="000000" w:themeColor="text1"/>
              </w:rPr>
              <w:t>平均风速</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57" w:hRule="atLeast"/>
          <w:jc w:val="center"/>
        </w:trPr>
        <w:tc>
          <w:tcPr>
            <w:tcW w:w="1262" w:type="dxa"/>
            <w:vAlign w:val="center"/>
          </w:tcPr>
          <w:p>
            <w:pPr>
              <w:autoSpaceDE w:val="0"/>
              <w:autoSpaceDN w:val="0"/>
              <w:spacing w:line="320" w:lineRule="atLeast"/>
              <w:jc w:val="center"/>
              <w:rPr>
                <w:rFonts w:ascii="Times New Roman" w:hAnsi="Times New Roman" w:cs="Times New Roman"/>
                <w:color w:val="000000" w:themeColor="text1"/>
              </w:rPr>
            </w:pPr>
            <w:r>
              <w:rPr>
                <w:rFonts w:ascii="Times New Roman" w:cs="Times New Roman" w:hAnsiTheme="minorEastAsia"/>
                <w:color w:val="000000" w:themeColor="text1"/>
              </w:rPr>
              <w:t>均值</w:t>
            </w:r>
          </w:p>
        </w:tc>
        <w:tc>
          <w:tcPr>
            <w:tcW w:w="1436" w:type="dxa"/>
            <w:vAlign w:val="center"/>
          </w:tcPr>
          <w:p>
            <w:pPr>
              <w:autoSpaceDE w:val="0"/>
              <w:autoSpaceDN w:val="0"/>
              <w:spacing w:line="320" w:lineRule="atLeast"/>
              <w:jc w:val="center"/>
              <w:rPr>
                <w:rFonts w:ascii="Times New Roman" w:hAnsi="Times New Roman" w:cs="Times New Roman"/>
                <w:color w:val="000000" w:themeColor="text1"/>
              </w:rPr>
            </w:pPr>
            <w:r>
              <w:rPr>
                <w:rFonts w:ascii="Times New Roman" w:hAnsi="Times New Roman" w:cs="Times New Roman"/>
                <w:color w:val="000000" w:themeColor="text1"/>
              </w:rPr>
              <w:t>0.317</w:t>
            </w:r>
          </w:p>
        </w:tc>
        <w:tc>
          <w:tcPr>
            <w:tcW w:w="1217" w:type="dxa"/>
            <w:vAlign w:val="center"/>
          </w:tcPr>
          <w:p>
            <w:pPr>
              <w:autoSpaceDE w:val="0"/>
              <w:autoSpaceDN w:val="0"/>
              <w:spacing w:line="320" w:lineRule="atLeast"/>
              <w:jc w:val="center"/>
              <w:rPr>
                <w:rFonts w:ascii="Times New Roman" w:hAnsi="Times New Roman" w:cs="Times New Roman"/>
                <w:color w:val="000000" w:themeColor="text1"/>
              </w:rPr>
            </w:pPr>
            <w:r>
              <w:rPr>
                <w:rFonts w:ascii="Times New Roman" w:hAnsi="Times New Roman" w:cs="Times New Roman"/>
                <w:color w:val="000000" w:themeColor="text1"/>
              </w:rPr>
              <w:t>0.596</w:t>
            </w:r>
          </w:p>
        </w:tc>
        <w:tc>
          <w:tcPr>
            <w:tcW w:w="1217" w:type="dxa"/>
            <w:vAlign w:val="center"/>
          </w:tcPr>
          <w:p>
            <w:pPr>
              <w:autoSpaceDE w:val="0"/>
              <w:autoSpaceDN w:val="0"/>
              <w:spacing w:line="320" w:lineRule="atLeast"/>
              <w:jc w:val="center"/>
              <w:rPr>
                <w:rFonts w:ascii="Times New Roman" w:hAnsi="Times New Roman" w:cs="Times New Roman"/>
                <w:color w:val="000000" w:themeColor="text1"/>
              </w:rPr>
            </w:pPr>
            <w:r>
              <w:rPr>
                <w:rFonts w:ascii="Times New Roman" w:hAnsi="Times New Roman" w:cs="Times New Roman"/>
                <w:color w:val="000000" w:themeColor="text1"/>
              </w:rPr>
              <w:t>0.487</w:t>
            </w:r>
          </w:p>
        </w:tc>
        <w:tc>
          <w:tcPr>
            <w:tcW w:w="1245" w:type="dxa"/>
            <w:vAlign w:val="center"/>
          </w:tcPr>
          <w:p>
            <w:pPr>
              <w:autoSpaceDE w:val="0"/>
              <w:autoSpaceDN w:val="0"/>
              <w:spacing w:line="320" w:lineRule="atLeast"/>
              <w:jc w:val="center"/>
              <w:rPr>
                <w:rFonts w:ascii="Times New Roman" w:hAnsi="Times New Roman" w:cs="Times New Roman"/>
                <w:color w:val="000000" w:themeColor="text1"/>
              </w:rPr>
            </w:pPr>
            <w:r>
              <w:rPr>
                <w:rFonts w:ascii="Times New Roman" w:hAnsi="Times New Roman" w:cs="Times New Roman"/>
                <w:color w:val="000000" w:themeColor="text1"/>
              </w:rPr>
              <w:t>0.390</w:t>
            </w:r>
          </w:p>
        </w:tc>
        <w:tc>
          <w:tcPr>
            <w:tcW w:w="1198" w:type="dxa"/>
            <w:vAlign w:val="center"/>
          </w:tcPr>
          <w:p>
            <w:pPr>
              <w:autoSpaceDE w:val="0"/>
              <w:autoSpaceDN w:val="0"/>
              <w:spacing w:line="320" w:lineRule="atLeast"/>
              <w:jc w:val="center"/>
              <w:rPr>
                <w:rFonts w:ascii="Times New Roman" w:hAnsi="Times New Roman" w:cs="Times New Roman"/>
                <w:color w:val="000000" w:themeColor="text1"/>
              </w:rPr>
            </w:pPr>
            <w:r>
              <w:rPr>
                <w:rFonts w:ascii="Times New Roman" w:hAnsi="Times New Roman" w:cs="Times New Roman"/>
                <w:color w:val="000000" w:themeColor="text1"/>
              </w:rPr>
              <w:t>0.322</w:t>
            </w:r>
          </w:p>
        </w:tc>
        <w:tc>
          <w:tcPr>
            <w:tcW w:w="1225" w:type="dxa"/>
            <w:vAlign w:val="center"/>
          </w:tcPr>
          <w:p>
            <w:pPr>
              <w:autoSpaceDE w:val="0"/>
              <w:autoSpaceDN w:val="0"/>
              <w:spacing w:line="320" w:lineRule="atLeast"/>
              <w:jc w:val="center"/>
              <w:rPr>
                <w:rFonts w:ascii="Times New Roman" w:hAnsi="Times New Roman" w:cs="Times New Roman"/>
                <w:color w:val="000000" w:themeColor="text1"/>
              </w:rPr>
            </w:pPr>
            <w:r>
              <w:rPr>
                <w:rFonts w:ascii="Times New Roman" w:hAnsi="Times New Roman" w:cs="Times New Roman"/>
                <w:color w:val="000000" w:themeColor="text1"/>
              </w:rPr>
              <w:t>2.5m/s</w:t>
            </w:r>
          </w:p>
        </w:tc>
      </w:tr>
    </w:tbl>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480" w:lineRule="atLeast"/>
        <w:ind w:firstLine="482" w:firstLineChars="200"/>
        <w:jc w:val="center"/>
        <w:rPr>
          <w:rFonts w:ascii="Times New Roman" w:hAnsi="Times New Roman" w:cs="Times New Roman"/>
          <w:color w:val="000000" w:themeColor="text1"/>
          <w:sz w:val="24"/>
          <w:szCs w:val="24"/>
        </w:rPr>
      </w:pPr>
      <w:r>
        <w:rPr>
          <w:rFonts w:ascii="Times New Roman" w:cs="Times New Roman"/>
          <w:b/>
          <w:bCs/>
          <w:color w:val="000000" w:themeColor="text1"/>
          <w:sz w:val="24"/>
          <w:szCs w:val="24"/>
        </w:rPr>
        <w:t>表</w:t>
      </w:r>
      <w:r>
        <w:rPr>
          <w:rFonts w:ascii="Times New Roman" w:hAnsi="Times New Roman" w:cs="Times New Roman"/>
          <w:b/>
          <w:bCs/>
          <w:color w:val="000000" w:themeColor="text1"/>
          <w:sz w:val="24"/>
          <w:szCs w:val="24"/>
        </w:rPr>
        <w:t xml:space="preserve">5-2         </w:t>
      </w:r>
      <w:r>
        <w:rPr>
          <w:rFonts w:ascii="Times New Roman" w:cs="Times New Roman"/>
          <w:b/>
          <w:bCs/>
          <w:color w:val="000000" w:themeColor="text1"/>
          <w:sz w:val="24"/>
          <w:szCs w:val="24"/>
        </w:rPr>
        <w:t>石家庄市施工现场大气</w:t>
      </w:r>
      <w:r>
        <w:rPr>
          <w:rFonts w:ascii="Times New Roman" w:hAnsi="Times New Roman" w:cs="Times New Roman"/>
          <w:b/>
          <w:bCs/>
          <w:color w:val="000000" w:themeColor="text1"/>
          <w:sz w:val="24"/>
          <w:szCs w:val="24"/>
        </w:rPr>
        <w:t>TSP</w:t>
      </w:r>
      <w:r>
        <w:rPr>
          <w:rFonts w:ascii="Times New Roman" w:cs="Times New Roman"/>
          <w:b/>
          <w:bCs/>
          <w:color w:val="000000" w:themeColor="text1"/>
          <w:sz w:val="24"/>
          <w:szCs w:val="24"/>
        </w:rPr>
        <w:t>浓度变化表</w:t>
      </w:r>
    </w:p>
    <w:tbl>
      <w:tblPr>
        <w:tblStyle w:val="27"/>
        <w:tblW w:w="8720" w:type="dxa"/>
        <w:jc w:val="center"/>
        <w:tblInd w:w="0" w:type="dxa"/>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23"/>
        <w:gridCol w:w="1374"/>
        <w:gridCol w:w="1005"/>
        <w:gridCol w:w="907"/>
        <w:gridCol w:w="857"/>
        <w:gridCol w:w="856"/>
        <w:gridCol w:w="857"/>
        <w:gridCol w:w="857"/>
        <w:gridCol w:w="884"/>
      </w:tblGrid>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6" w:hRule="atLeast"/>
          <w:jc w:val="center"/>
        </w:trPr>
        <w:tc>
          <w:tcPr>
            <w:tcW w:w="2497" w:type="dxa"/>
            <w:gridSpan w:val="2"/>
            <w:vAlign w:val="center"/>
          </w:tcPr>
          <w:p>
            <w:pPr>
              <w:autoSpaceDE w:val="0"/>
              <w:autoSpaceDN w:val="0"/>
              <w:spacing w:line="320" w:lineRule="atLeast"/>
              <w:jc w:val="center"/>
              <w:rPr>
                <w:rFonts w:ascii="Times New Roman" w:hAnsi="Times New Roman" w:cs="Times New Roman" w:eastAsiaTheme="majorEastAsia"/>
                <w:color w:val="000000" w:themeColor="text1"/>
              </w:rPr>
            </w:pPr>
            <w:r>
              <w:rPr>
                <w:rFonts w:ascii="Times New Roman" w:cs="Times New Roman" w:hAnsiTheme="majorEastAsia" w:eastAsiaTheme="majorEastAsia"/>
                <w:color w:val="000000" w:themeColor="text1"/>
              </w:rPr>
              <w:t>距工地距离</w:t>
            </w:r>
            <w:r>
              <w:rPr>
                <w:rFonts w:ascii="Times New Roman" w:hAnsi="Times New Roman" w:cs="Times New Roman" w:eastAsiaTheme="majorEastAsia"/>
                <w:color w:val="000000" w:themeColor="text1"/>
              </w:rPr>
              <w:t>(m)</w:t>
            </w:r>
          </w:p>
        </w:tc>
        <w:tc>
          <w:tcPr>
            <w:tcW w:w="1005" w:type="dxa"/>
            <w:vAlign w:val="center"/>
          </w:tcPr>
          <w:p>
            <w:pPr>
              <w:autoSpaceDE w:val="0"/>
              <w:autoSpaceDN w:val="0"/>
              <w:spacing w:line="320" w:lineRule="atLeast"/>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10</w:t>
            </w:r>
          </w:p>
        </w:tc>
        <w:tc>
          <w:tcPr>
            <w:tcW w:w="907" w:type="dxa"/>
            <w:vAlign w:val="center"/>
          </w:tcPr>
          <w:p>
            <w:pPr>
              <w:autoSpaceDE w:val="0"/>
              <w:autoSpaceDN w:val="0"/>
              <w:spacing w:line="320" w:lineRule="atLeast"/>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20</w:t>
            </w:r>
          </w:p>
        </w:tc>
        <w:tc>
          <w:tcPr>
            <w:tcW w:w="857" w:type="dxa"/>
            <w:vAlign w:val="center"/>
          </w:tcPr>
          <w:p>
            <w:pPr>
              <w:autoSpaceDE w:val="0"/>
              <w:autoSpaceDN w:val="0"/>
              <w:spacing w:line="320" w:lineRule="atLeast"/>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30</w:t>
            </w:r>
          </w:p>
        </w:tc>
        <w:tc>
          <w:tcPr>
            <w:tcW w:w="856" w:type="dxa"/>
            <w:vAlign w:val="center"/>
          </w:tcPr>
          <w:p>
            <w:pPr>
              <w:autoSpaceDE w:val="0"/>
              <w:autoSpaceDN w:val="0"/>
              <w:spacing w:line="320" w:lineRule="atLeast"/>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40</w:t>
            </w:r>
          </w:p>
        </w:tc>
        <w:tc>
          <w:tcPr>
            <w:tcW w:w="857" w:type="dxa"/>
            <w:vAlign w:val="center"/>
          </w:tcPr>
          <w:p>
            <w:pPr>
              <w:autoSpaceDE w:val="0"/>
              <w:autoSpaceDN w:val="0"/>
              <w:spacing w:line="320" w:lineRule="atLeast"/>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50</w:t>
            </w:r>
          </w:p>
        </w:tc>
        <w:tc>
          <w:tcPr>
            <w:tcW w:w="857" w:type="dxa"/>
            <w:vAlign w:val="center"/>
          </w:tcPr>
          <w:p>
            <w:pPr>
              <w:autoSpaceDE w:val="0"/>
              <w:autoSpaceDN w:val="0"/>
              <w:spacing w:line="320" w:lineRule="atLeast"/>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100</w:t>
            </w:r>
          </w:p>
        </w:tc>
        <w:tc>
          <w:tcPr>
            <w:tcW w:w="884" w:type="dxa"/>
            <w:vAlign w:val="center"/>
          </w:tcPr>
          <w:p>
            <w:pPr>
              <w:autoSpaceDE w:val="0"/>
              <w:autoSpaceDN w:val="0"/>
              <w:spacing w:line="320" w:lineRule="atLeast"/>
              <w:jc w:val="center"/>
              <w:rPr>
                <w:rFonts w:ascii="Times New Roman" w:hAnsi="Times New Roman" w:cs="Times New Roman" w:eastAsiaTheme="majorEastAsia"/>
                <w:color w:val="000000" w:themeColor="text1"/>
              </w:rPr>
            </w:pPr>
            <w:r>
              <w:rPr>
                <w:rFonts w:ascii="Times New Roman" w:cs="Times New Roman" w:hAnsiTheme="majorEastAsia" w:eastAsiaTheme="majorEastAsia"/>
                <w:color w:val="000000" w:themeColor="text1"/>
              </w:rPr>
              <w:t>备注</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71" w:hRule="atLeast"/>
          <w:jc w:val="center"/>
        </w:trPr>
        <w:tc>
          <w:tcPr>
            <w:tcW w:w="1123" w:type="dxa"/>
            <w:vMerge w:val="restart"/>
            <w:vAlign w:val="center"/>
          </w:tcPr>
          <w:p>
            <w:pPr>
              <w:autoSpaceDE w:val="0"/>
              <w:autoSpaceDN w:val="0"/>
              <w:spacing w:line="320" w:lineRule="atLeast"/>
              <w:jc w:val="center"/>
              <w:rPr>
                <w:rFonts w:ascii="Times New Roman" w:hAnsi="Times New Roman" w:cs="Times New Roman" w:eastAsiaTheme="majorEastAsia"/>
                <w:color w:val="000000" w:themeColor="text1"/>
              </w:rPr>
            </w:pPr>
            <w:r>
              <w:rPr>
                <w:rFonts w:ascii="Times New Roman" w:cs="Times New Roman" w:hAnsiTheme="majorEastAsia" w:eastAsiaTheme="majorEastAsia"/>
                <w:color w:val="000000" w:themeColor="text1"/>
              </w:rPr>
              <w:t>浓度</w:t>
            </w:r>
          </w:p>
          <w:p>
            <w:pPr>
              <w:autoSpaceDE w:val="0"/>
              <w:autoSpaceDN w:val="0"/>
              <w:spacing w:line="320" w:lineRule="atLeast"/>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(mg/m3)</w:t>
            </w:r>
          </w:p>
        </w:tc>
        <w:tc>
          <w:tcPr>
            <w:tcW w:w="1374" w:type="dxa"/>
            <w:vAlign w:val="center"/>
          </w:tcPr>
          <w:p>
            <w:pPr>
              <w:autoSpaceDE w:val="0"/>
              <w:autoSpaceDN w:val="0"/>
              <w:spacing w:line="320" w:lineRule="atLeast"/>
              <w:jc w:val="center"/>
              <w:rPr>
                <w:rFonts w:ascii="Times New Roman" w:hAnsi="Times New Roman" w:cs="Times New Roman" w:eastAsiaTheme="majorEastAsia"/>
                <w:color w:val="000000" w:themeColor="text1"/>
              </w:rPr>
            </w:pPr>
            <w:r>
              <w:rPr>
                <w:rFonts w:ascii="Times New Roman" w:cs="Times New Roman" w:hAnsiTheme="majorEastAsia" w:eastAsiaTheme="majorEastAsia"/>
                <w:color w:val="000000" w:themeColor="text1"/>
              </w:rPr>
              <w:t>场地未洒水</w:t>
            </w:r>
          </w:p>
        </w:tc>
        <w:tc>
          <w:tcPr>
            <w:tcW w:w="1005" w:type="dxa"/>
            <w:vAlign w:val="center"/>
          </w:tcPr>
          <w:p>
            <w:pPr>
              <w:autoSpaceDE w:val="0"/>
              <w:autoSpaceDN w:val="0"/>
              <w:spacing w:line="320" w:lineRule="atLeast"/>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1.75</w:t>
            </w:r>
          </w:p>
        </w:tc>
        <w:tc>
          <w:tcPr>
            <w:tcW w:w="907" w:type="dxa"/>
            <w:vAlign w:val="center"/>
          </w:tcPr>
          <w:p>
            <w:pPr>
              <w:autoSpaceDE w:val="0"/>
              <w:autoSpaceDN w:val="0"/>
              <w:spacing w:line="320" w:lineRule="atLeast"/>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l.30</w:t>
            </w:r>
          </w:p>
        </w:tc>
        <w:tc>
          <w:tcPr>
            <w:tcW w:w="857" w:type="dxa"/>
            <w:vAlign w:val="center"/>
          </w:tcPr>
          <w:p>
            <w:pPr>
              <w:pStyle w:val="18"/>
              <w:pBdr>
                <w:bottom w:val="none" w:color="auto" w:sz="0" w:space="0"/>
              </w:pBdr>
              <w:tabs>
                <w:tab w:val="clear" w:pos="4153"/>
                <w:tab w:val="clear" w:pos="8306"/>
              </w:tabs>
              <w:autoSpaceDE w:val="0"/>
              <w:autoSpaceDN w:val="0"/>
              <w:snapToGrid/>
              <w:spacing w:line="320" w:lineRule="atLeast"/>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0.78</w:t>
            </w:r>
          </w:p>
        </w:tc>
        <w:tc>
          <w:tcPr>
            <w:tcW w:w="856" w:type="dxa"/>
            <w:vAlign w:val="center"/>
          </w:tcPr>
          <w:p>
            <w:pPr>
              <w:autoSpaceDE w:val="0"/>
              <w:autoSpaceDN w:val="0"/>
              <w:spacing w:line="320" w:lineRule="atLeast"/>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0.365</w:t>
            </w:r>
          </w:p>
        </w:tc>
        <w:tc>
          <w:tcPr>
            <w:tcW w:w="857" w:type="dxa"/>
            <w:vAlign w:val="center"/>
          </w:tcPr>
          <w:p>
            <w:pPr>
              <w:autoSpaceDE w:val="0"/>
              <w:autoSpaceDN w:val="0"/>
              <w:spacing w:line="320" w:lineRule="atLeast"/>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0.345</w:t>
            </w:r>
          </w:p>
        </w:tc>
        <w:tc>
          <w:tcPr>
            <w:tcW w:w="857" w:type="dxa"/>
            <w:vAlign w:val="center"/>
          </w:tcPr>
          <w:p>
            <w:pPr>
              <w:autoSpaceDE w:val="0"/>
              <w:autoSpaceDN w:val="0"/>
              <w:spacing w:line="320" w:lineRule="atLeast"/>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0.330</w:t>
            </w:r>
          </w:p>
        </w:tc>
        <w:tc>
          <w:tcPr>
            <w:tcW w:w="884" w:type="dxa"/>
            <w:vMerge w:val="restart"/>
            <w:vAlign w:val="center"/>
          </w:tcPr>
          <w:p>
            <w:pPr>
              <w:autoSpaceDE w:val="0"/>
              <w:autoSpaceDN w:val="0"/>
              <w:spacing w:line="320" w:lineRule="atLeast"/>
              <w:jc w:val="center"/>
              <w:rPr>
                <w:rFonts w:ascii="Times New Roman" w:hAnsi="Times New Roman" w:cs="Times New Roman" w:eastAsiaTheme="majorEastAsia"/>
                <w:color w:val="000000" w:themeColor="text1"/>
              </w:rPr>
            </w:pPr>
            <w:r>
              <w:rPr>
                <w:rFonts w:ascii="Times New Roman" w:cs="Times New Roman" w:hAnsiTheme="majorEastAsia" w:eastAsiaTheme="majorEastAsia"/>
                <w:color w:val="000000" w:themeColor="text1"/>
              </w:rPr>
              <w:t>春季测量</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659" w:hRule="atLeast"/>
          <w:jc w:val="center"/>
        </w:trPr>
        <w:tc>
          <w:tcPr>
            <w:tcW w:w="1123" w:type="dxa"/>
            <w:vMerge w:val="continue"/>
            <w:vAlign w:val="center"/>
          </w:tcPr>
          <w:p>
            <w:pPr>
              <w:autoSpaceDE w:val="0"/>
              <w:autoSpaceDN w:val="0"/>
              <w:spacing w:line="320" w:lineRule="atLeast"/>
              <w:jc w:val="center"/>
              <w:rPr>
                <w:rFonts w:ascii="Times New Roman" w:hAnsi="Times New Roman" w:cs="Times New Roman" w:eastAsiaTheme="majorEastAsia"/>
                <w:color w:val="000000" w:themeColor="text1"/>
              </w:rPr>
            </w:pPr>
          </w:p>
        </w:tc>
        <w:tc>
          <w:tcPr>
            <w:tcW w:w="1374" w:type="dxa"/>
            <w:vAlign w:val="center"/>
          </w:tcPr>
          <w:p>
            <w:pPr>
              <w:autoSpaceDE w:val="0"/>
              <w:autoSpaceDN w:val="0"/>
              <w:spacing w:line="320" w:lineRule="atLeast"/>
              <w:jc w:val="center"/>
              <w:rPr>
                <w:rFonts w:ascii="Times New Roman" w:hAnsi="Times New Roman" w:cs="Times New Roman" w:eastAsiaTheme="majorEastAsia"/>
                <w:color w:val="000000" w:themeColor="text1"/>
              </w:rPr>
            </w:pPr>
            <w:r>
              <w:rPr>
                <w:rFonts w:ascii="Times New Roman" w:cs="Times New Roman" w:hAnsiTheme="majorEastAsia" w:eastAsiaTheme="majorEastAsia"/>
                <w:color w:val="000000" w:themeColor="text1"/>
              </w:rPr>
              <w:t>场地洒水</w:t>
            </w:r>
          </w:p>
        </w:tc>
        <w:tc>
          <w:tcPr>
            <w:tcW w:w="1005" w:type="dxa"/>
            <w:vAlign w:val="center"/>
          </w:tcPr>
          <w:p>
            <w:pPr>
              <w:autoSpaceDE w:val="0"/>
              <w:autoSpaceDN w:val="0"/>
              <w:spacing w:line="320" w:lineRule="atLeast"/>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0.437</w:t>
            </w:r>
          </w:p>
        </w:tc>
        <w:tc>
          <w:tcPr>
            <w:tcW w:w="907" w:type="dxa"/>
            <w:vAlign w:val="center"/>
          </w:tcPr>
          <w:p>
            <w:pPr>
              <w:autoSpaceDE w:val="0"/>
              <w:autoSpaceDN w:val="0"/>
              <w:spacing w:line="320" w:lineRule="atLeast"/>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0.350</w:t>
            </w:r>
          </w:p>
        </w:tc>
        <w:tc>
          <w:tcPr>
            <w:tcW w:w="857" w:type="dxa"/>
            <w:vAlign w:val="center"/>
          </w:tcPr>
          <w:p>
            <w:pPr>
              <w:autoSpaceDE w:val="0"/>
              <w:autoSpaceDN w:val="0"/>
              <w:spacing w:line="320" w:lineRule="atLeast"/>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0.310</w:t>
            </w:r>
          </w:p>
        </w:tc>
        <w:tc>
          <w:tcPr>
            <w:tcW w:w="856" w:type="dxa"/>
            <w:vAlign w:val="center"/>
          </w:tcPr>
          <w:p>
            <w:pPr>
              <w:autoSpaceDE w:val="0"/>
              <w:autoSpaceDN w:val="0"/>
              <w:spacing w:line="320" w:lineRule="atLeast"/>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0.265</w:t>
            </w:r>
          </w:p>
        </w:tc>
        <w:tc>
          <w:tcPr>
            <w:tcW w:w="857" w:type="dxa"/>
            <w:vAlign w:val="center"/>
          </w:tcPr>
          <w:p>
            <w:pPr>
              <w:autoSpaceDE w:val="0"/>
              <w:autoSpaceDN w:val="0"/>
              <w:spacing w:line="320" w:lineRule="atLeast"/>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0.250</w:t>
            </w:r>
          </w:p>
        </w:tc>
        <w:tc>
          <w:tcPr>
            <w:tcW w:w="857" w:type="dxa"/>
            <w:vAlign w:val="center"/>
          </w:tcPr>
          <w:p>
            <w:pPr>
              <w:autoSpaceDE w:val="0"/>
              <w:autoSpaceDN w:val="0"/>
              <w:spacing w:line="320" w:lineRule="atLeast"/>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0.238</w:t>
            </w:r>
          </w:p>
        </w:tc>
        <w:tc>
          <w:tcPr>
            <w:tcW w:w="884" w:type="dxa"/>
            <w:vMerge w:val="continue"/>
            <w:vAlign w:val="center"/>
          </w:tcPr>
          <w:p>
            <w:pPr>
              <w:autoSpaceDE w:val="0"/>
              <w:autoSpaceDN w:val="0"/>
              <w:spacing w:line="320" w:lineRule="atLeast"/>
              <w:jc w:val="center"/>
              <w:rPr>
                <w:rFonts w:ascii="Times New Roman" w:hAnsi="Times New Roman" w:cs="Times New Roman" w:eastAsiaTheme="majorEastAsia"/>
                <w:color w:val="000000" w:themeColor="text1"/>
              </w:rPr>
            </w:pPr>
          </w:p>
        </w:tc>
      </w:tr>
    </w:tbl>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由表中可见</w:t>
      </w:r>
      <w:r>
        <w:rPr>
          <w:rFonts w:ascii="Times New Roman" w:hAnsi="Times New Roman" w:cs="Times New Roman"/>
          <w:color w:val="000000" w:themeColor="text1"/>
          <w:sz w:val="24"/>
          <w:szCs w:val="24"/>
        </w:rPr>
        <w:t>:</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1、在未采取抑尘措施的施工现场，建筑施工扬尘较严重，当风速为</w:t>
      </w:r>
      <w:r>
        <w:rPr>
          <w:rFonts w:ascii="Times New Roman" w:hAnsi="Times New Roman" w:cs="Times New Roman"/>
          <w:color w:val="000000" w:themeColor="text1"/>
          <w:sz w:val="24"/>
          <w:szCs w:val="24"/>
        </w:rPr>
        <w:t>2.</w:t>
      </w:r>
      <w:r>
        <w:rPr>
          <w:rFonts w:hint="eastAsia"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 xml:space="preserve">m/s </w:t>
      </w:r>
      <w:r>
        <w:rPr>
          <w:rFonts w:hint="eastAsia" w:ascii="Times New Roman" w:hAnsi="Times New Roman" w:cs="Times New Roman"/>
          <w:color w:val="000000" w:themeColor="text1"/>
          <w:sz w:val="24"/>
          <w:szCs w:val="24"/>
        </w:rPr>
        <w:t>时，工地内的</w:t>
      </w:r>
      <w:r>
        <w:rPr>
          <w:rFonts w:ascii="Times New Roman" w:hAnsi="Times New Roman" w:cs="Times New Roman"/>
          <w:color w:val="000000" w:themeColor="text1"/>
          <w:sz w:val="24"/>
          <w:szCs w:val="24"/>
        </w:rPr>
        <w:t xml:space="preserve">TSP </w:t>
      </w:r>
      <w:r>
        <w:rPr>
          <w:rFonts w:hint="eastAsia" w:ascii="Times New Roman" w:hAnsi="Times New Roman" w:cs="Times New Roman"/>
          <w:color w:val="000000" w:themeColor="text1"/>
          <w:sz w:val="24"/>
          <w:szCs w:val="24"/>
        </w:rPr>
        <w:t>浓度为上风向对照点的</w:t>
      </w:r>
      <w:r>
        <w:rPr>
          <w:rFonts w:ascii="Times New Roman" w:hAnsi="Times New Roman" w:cs="Times New Roman"/>
          <w:color w:val="000000" w:themeColor="text1"/>
          <w:sz w:val="24"/>
          <w:szCs w:val="24"/>
        </w:rPr>
        <w:t xml:space="preserve">1.9 </w:t>
      </w:r>
      <w:r>
        <w:rPr>
          <w:rFonts w:hint="eastAsia" w:ascii="Times New Roman" w:hAnsi="Times New Roman" w:cs="Times New Roman"/>
          <w:color w:val="000000" w:themeColor="text1"/>
          <w:sz w:val="24"/>
          <w:szCs w:val="24"/>
        </w:rPr>
        <w:t>倍。</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2、对比表5-1和表5-2</w:t>
      </w:r>
      <w:r>
        <w:rPr>
          <w:rFonts w:ascii="Times New Roman" w:hAnsi="Times New Roman" w:cs="Times New Roman"/>
          <w:color w:val="000000" w:themeColor="text1"/>
          <w:sz w:val="24"/>
          <w:szCs w:val="24"/>
        </w:rPr>
        <w:t xml:space="preserve"> </w:t>
      </w:r>
      <w:r>
        <w:rPr>
          <w:rFonts w:hint="eastAsia" w:ascii="Times New Roman" w:hAnsi="Times New Roman" w:cs="Times New Roman"/>
          <w:color w:val="000000" w:themeColor="text1"/>
          <w:sz w:val="24"/>
          <w:szCs w:val="24"/>
        </w:rPr>
        <w:t>可知，如不采取施工场地抑尘措施，施工扬尘影响范围较大，影响范围一般在其下风向约</w:t>
      </w:r>
      <w:r>
        <w:rPr>
          <w:rFonts w:ascii="Times New Roman" w:hAnsi="Times New Roman" w:cs="Times New Roman"/>
          <w:color w:val="000000" w:themeColor="text1"/>
          <w:sz w:val="24"/>
          <w:szCs w:val="24"/>
        </w:rPr>
        <w:t xml:space="preserve">150m </w:t>
      </w:r>
      <w:r>
        <w:rPr>
          <w:rFonts w:hint="eastAsia" w:ascii="Times New Roman" w:hAnsi="Times New Roman" w:cs="Times New Roman"/>
          <w:color w:val="000000" w:themeColor="text1"/>
          <w:sz w:val="24"/>
          <w:szCs w:val="24"/>
        </w:rPr>
        <w:t>以内。当施工场地采取洒水抑尘措施后，可明显降低扬尘产生量和环境影响。</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为避免和减轻施工噪声的影响，为控制建设工地扬尘污染，施工单位在施工期间应严格按照《河北省建筑施工扬尘防治强化措施</w:t>
      </w:r>
      <w:r>
        <w:rPr>
          <w:rFonts w:ascii="Times New Roman" w:hAnsi="Times New Roman" w:cs="Times New Roman"/>
          <w:color w:val="000000" w:themeColor="text1"/>
          <w:sz w:val="24"/>
          <w:szCs w:val="24"/>
        </w:rPr>
        <w:t xml:space="preserve">18 </w:t>
      </w:r>
      <w:r>
        <w:rPr>
          <w:rFonts w:hint="eastAsia" w:ascii="Times New Roman" w:hAnsi="Times New Roman" w:cs="Times New Roman"/>
          <w:color w:val="000000" w:themeColor="text1"/>
          <w:sz w:val="24"/>
          <w:szCs w:val="24"/>
        </w:rPr>
        <w:t>条》执行：</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（1）施工单位必须在施工现场出入口明显位置设置扬尘防治公示牌，内容包括建设、施工、监理及监管等单位名称、扬尘防治负责人的名称、联系电话、举报电话等。</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（2）施工现场必须连续设置硬质围挡，围挡应坚固、美观，严禁围挡不严或敞开式施工。华电路两侧的围挡高度不低于</w:t>
      </w:r>
      <w:r>
        <w:rPr>
          <w:rFonts w:ascii="Times New Roman" w:hAnsi="Times New Roman" w:cs="Times New Roman"/>
          <w:color w:val="000000" w:themeColor="text1"/>
          <w:sz w:val="24"/>
          <w:szCs w:val="24"/>
        </w:rPr>
        <w:t xml:space="preserve">2.5 </w:t>
      </w:r>
      <w:r>
        <w:rPr>
          <w:rFonts w:hint="eastAsia" w:ascii="Times New Roman" w:hAnsi="Times New Roman" w:cs="Times New Roman"/>
          <w:color w:val="000000" w:themeColor="text1"/>
          <w:sz w:val="24"/>
          <w:szCs w:val="24"/>
        </w:rPr>
        <w:t>米，其他侧的高度不低于</w:t>
      </w:r>
      <w:r>
        <w:rPr>
          <w:rFonts w:ascii="Times New Roman" w:hAnsi="Times New Roman" w:cs="Times New Roman"/>
          <w:color w:val="000000" w:themeColor="text1"/>
          <w:sz w:val="24"/>
          <w:szCs w:val="24"/>
        </w:rPr>
        <w:t xml:space="preserve">1.8 </w:t>
      </w:r>
      <w:r>
        <w:rPr>
          <w:rFonts w:hint="eastAsia" w:ascii="Times New Roman" w:hAnsi="Times New Roman" w:cs="Times New Roman"/>
          <w:color w:val="000000" w:themeColor="text1"/>
          <w:sz w:val="24"/>
          <w:szCs w:val="24"/>
        </w:rPr>
        <w:t>米。</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（3）施工现场出入口和场内施工道路、材料加工堆放区、办公区、生活区必须采用混凝土硬化或用硬质砌块铺设，硬化后的地面应清扫整洁无浮土、积土，严禁使用其他软质材料铺设。</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（4）施工现场出入口必须配备车辆冲洗设施，设置排水、泥浆沉淀池等设施，建立冲洗制度并设专人管理，严禁车辆带泥上路。</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（5）施工现场出入口、加工区和主作业区等处必须安装视频监控系统，对施工扬尘实时监控。</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（6）施工现场集中堆放的土方和裸露场地必须采取覆盖、固化或绿化等防尘措施，严禁裸露。</w:t>
      </w:r>
    </w:p>
    <w:p>
      <w:pPr>
        <w:adjustRightInd w:val="0"/>
        <w:snapToGrid w:val="0"/>
        <w:spacing w:line="360" w:lineRule="auto"/>
        <w:ind w:firstLine="480"/>
        <w:rPr>
          <w:color w:val="000000" w:themeColor="text1"/>
          <w:sz w:val="24"/>
          <w:szCs w:val="24"/>
        </w:rPr>
      </w:pPr>
      <w:r>
        <w:rPr>
          <w:rFonts w:hint="eastAsia" w:ascii="Times New Roman" w:hAnsi="Times New Roman" w:cs="Times New Roman"/>
          <w:color w:val="000000" w:themeColor="text1"/>
          <w:sz w:val="24"/>
          <w:szCs w:val="24"/>
        </w:rPr>
        <w:t>（7）</w:t>
      </w:r>
      <w:r>
        <w:rPr>
          <w:rFonts w:hint="eastAsia" w:ascii="Calibri" w:hAnsi="Calibri" w:eastAsia="宋体" w:cs="Times New Roman"/>
          <w:color w:val="000000" w:themeColor="text1"/>
          <w:sz w:val="24"/>
          <w:szCs w:val="24"/>
        </w:rPr>
        <w:t>拆除建筑物、构筑物时，四周必须使用围挡封闭施工，并采取喷淋、洒水、喷雾等降尘措施，严禁敞开式拆除。</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（8）基坑开挖作业过程中，四周应采取洒水、喷雾等降尘措施。</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（9）施工现场易飞扬的细颗粒建筑材料必须密闭存放或严密覆盖，严禁露天放置；搬运时应有降尘措施，余料及时回收。</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（10）施工现场必须使用商品混凝土、预拌砂浆，严禁现场搅拌。</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（11）施工现场运送土方、渣土的车辆必须封闭或遮盖严密，严禁使用未办理相关手续的渣土等运输车辆，严禁沿路遗撒和随意倾倒。</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（12）建筑物内应保持干净整洁，清扫垃圾时要洒水抑尘，施工层建筑垃圾必须采用封闭式管道或装袋用垂直升降机械清运，严禁凌空抛掷和焚烧垃圾。</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（13）施工现场的建筑垃圾必须设置垃圾存放点，集中堆放并严密覆盖，及时清运。生活垃圾应用封闭式容器存放，日产日清，严禁随意丢弃。</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（14）施工现场必须建立洒水清扫抑尘制度，配备洒水设备。非冰冻期每天洒水不少于</w:t>
      </w:r>
      <w:r>
        <w:rPr>
          <w:rFonts w:ascii="Times New Roman" w:hAnsi="Times New Roman" w:cs="Times New Roman"/>
          <w:color w:val="000000" w:themeColor="text1"/>
          <w:sz w:val="24"/>
          <w:szCs w:val="24"/>
        </w:rPr>
        <w:t xml:space="preserve">2 </w:t>
      </w:r>
      <w:r>
        <w:rPr>
          <w:rFonts w:hint="eastAsia" w:ascii="Times New Roman" w:hAnsi="Times New Roman" w:cs="Times New Roman"/>
          <w:color w:val="000000" w:themeColor="text1"/>
          <w:sz w:val="24"/>
          <w:szCs w:val="24"/>
        </w:rPr>
        <w:t>次，并有专人负责。重污染天气时相应增加洒水频次。</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（15）建筑工程主体外侧脚手架及临边防护栏杆必须使用符合标准的密目式安全网封闭施工，并保持整洁、牢固、无破损。</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（16）遇有</w:t>
      </w:r>
      <w:r>
        <w:rPr>
          <w:rFonts w:ascii="Times New Roman" w:hAnsi="Times New Roman" w:cs="Times New Roman"/>
          <w:color w:val="000000" w:themeColor="text1"/>
          <w:sz w:val="24"/>
          <w:szCs w:val="24"/>
        </w:rPr>
        <w:t xml:space="preserve">4 </w:t>
      </w:r>
      <w:r>
        <w:rPr>
          <w:rFonts w:hint="eastAsia" w:ascii="Times New Roman" w:hAnsi="Times New Roman" w:cs="Times New Roman"/>
          <w:color w:val="000000" w:themeColor="text1"/>
          <w:sz w:val="24"/>
          <w:szCs w:val="24"/>
        </w:rPr>
        <w:t>级以上大风或重污染天气预警时，必须采取扬尘防治应急措施，严禁土方开挖、土方回填、房屋拆除、材料切割、金属焊接、喷涂或其他有可能产生扬尘的作业。</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（17）建设单位必须组织相关单位做好工程外管网及绿化施工阶段的扬尘防治工作。</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（18）鼓励施工现场在道路、围墙、脚手架等部位安装喷淋或喷雾等降尘装置；鼓励在施工现场安装空气质量检测仪等装置。</w:t>
      </w:r>
    </w:p>
    <w:p>
      <w:pPr>
        <w:spacing w:line="360" w:lineRule="auto"/>
        <w:ind w:firstLine="480" w:firstLineChars="20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同时根据</w:t>
      </w:r>
      <w:r>
        <w:rPr>
          <w:rFonts w:ascii="Times New Roman" w:hAnsi="Times New Roman" w:cs="Times New Roman"/>
          <w:color w:val="000000" w:themeColor="text1"/>
          <w:sz w:val="24"/>
        </w:rPr>
        <w:t>《施工场地扬尘排放标准》（DB13/2934-2019）</w:t>
      </w:r>
      <w:r>
        <w:rPr>
          <w:rFonts w:hint="eastAsia" w:ascii="Times New Roman" w:hAnsi="Times New Roman" w:cs="Times New Roman"/>
          <w:color w:val="000000" w:themeColor="text1"/>
          <w:sz w:val="24"/>
        </w:rPr>
        <w:t>中相关规定：</w:t>
      </w:r>
    </w:p>
    <w:p>
      <w:pPr>
        <w:spacing w:line="360" w:lineRule="auto"/>
        <w:ind w:firstLine="480" w:firstLineChars="200"/>
        <w:rPr>
          <w:rFonts w:ascii="Times New Roman" w:hAnsi="Times New Roman" w:cs="Times New Roman"/>
          <w:color w:val="000000" w:themeColor="text1"/>
          <w:sz w:val="24"/>
          <w:szCs w:val="24"/>
        </w:rPr>
      </w:pPr>
      <w:r>
        <w:rPr>
          <w:rFonts w:hint="eastAsia" w:cs="Times New Roman" w:asciiTheme="minorEastAsia" w:hAnsiTheme="minorEastAsia"/>
          <w:color w:val="000000" w:themeColor="text1"/>
          <w:sz w:val="24"/>
        </w:rPr>
        <w:t>①</w:t>
      </w:r>
      <w:r>
        <w:rPr>
          <w:rFonts w:hint="eastAsia" w:ascii="Times New Roman" w:hAnsi="Times New Roman" w:cs="Times New Roman"/>
          <w:color w:val="000000" w:themeColor="text1"/>
          <w:sz w:val="24"/>
        </w:rPr>
        <w:t>项目</w:t>
      </w:r>
      <w:r>
        <w:rPr>
          <w:rFonts w:hint="eastAsia" w:ascii="Times New Roman" w:hAnsi="Times New Roman" w:cs="Times New Roman"/>
          <w:color w:val="000000" w:themeColor="text1"/>
          <w:sz w:val="24"/>
          <w:szCs w:val="24"/>
        </w:rPr>
        <w:t>总占地面积为18500m</w:t>
      </w:r>
      <w:r>
        <w:rPr>
          <w:rFonts w:hint="eastAsia" w:ascii="Times New Roman" w:hAnsi="Times New Roman" w:cs="Times New Roman"/>
          <w:color w:val="000000" w:themeColor="text1"/>
          <w:sz w:val="24"/>
          <w:szCs w:val="24"/>
          <w:vertAlign w:val="superscript"/>
        </w:rPr>
        <w:t>2</w:t>
      </w:r>
      <w:r>
        <w:rPr>
          <w:rFonts w:hint="eastAsia" w:ascii="Times New Roman" w:hAnsi="Times New Roman" w:cs="Times New Roman"/>
          <w:color w:val="000000" w:themeColor="text1"/>
          <w:sz w:val="24"/>
          <w:szCs w:val="24"/>
        </w:rPr>
        <w:t>，施工场扬尘监测点数量</w:t>
      </w:r>
      <w:r>
        <w:rPr>
          <w:rFonts w:hint="eastAsia" w:cs="Times New Roman" w:asciiTheme="minorEastAsia" w:hAnsiTheme="minorEastAsia"/>
          <w:color w:val="000000" w:themeColor="text1"/>
          <w:sz w:val="24"/>
          <w:szCs w:val="24"/>
        </w:rPr>
        <w:t>≥</w:t>
      </w:r>
      <w:r>
        <w:rPr>
          <w:rFonts w:hint="eastAsia" w:ascii="Times New Roman" w:hAnsi="Times New Roman" w:cs="Times New Roman"/>
          <w:color w:val="000000" w:themeColor="text1"/>
          <w:sz w:val="24"/>
          <w:szCs w:val="24"/>
        </w:rPr>
        <w:t xml:space="preserve">4个； </w:t>
      </w:r>
    </w:p>
    <w:p>
      <w:pPr>
        <w:spacing w:line="360" w:lineRule="auto"/>
        <w:ind w:firstLine="480" w:firstLineChars="200"/>
        <w:rPr>
          <w:rFonts w:ascii="Times New Roman" w:hAnsi="Times New Roman" w:cs="Times New Roman"/>
          <w:color w:val="000000" w:themeColor="text1"/>
          <w:sz w:val="24"/>
          <w:szCs w:val="24"/>
        </w:rPr>
      </w:pPr>
      <w:r>
        <w:rPr>
          <w:rFonts w:hint="eastAsia" w:cs="Times New Roman" w:asciiTheme="minorEastAsia" w:hAnsiTheme="minorEastAsia"/>
          <w:color w:val="000000" w:themeColor="text1"/>
          <w:sz w:val="24"/>
          <w:szCs w:val="24"/>
        </w:rPr>
        <w:t>②</w:t>
      </w:r>
      <w:r>
        <w:rPr>
          <w:rFonts w:hint="eastAsia" w:ascii="Times New Roman" w:hAnsi="Times New Roman" w:cs="Times New Roman"/>
          <w:color w:val="000000" w:themeColor="text1"/>
          <w:sz w:val="24"/>
          <w:szCs w:val="24"/>
        </w:rPr>
        <w:t>监测点宜设置于施工区域围栏安全范围内，直接监控施工场地主要施工活动，监测点位不宜轻易变动，保证监测的连续性和数据的可比性；</w:t>
      </w:r>
    </w:p>
    <w:p>
      <w:pPr>
        <w:spacing w:line="360" w:lineRule="auto"/>
        <w:ind w:firstLine="480" w:firstLineChars="200"/>
        <w:rPr>
          <w:rFonts w:ascii="Times New Roman" w:hAnsi="Times New Roman" w:cs="Times New Roman"/>
          <w:color w:val="000000" w:themeColor="text1"/>
          <w:sz w:val="24"/>
          <w:szCs w:val="24"/>
        </w:rPr>
      </w:pPr>
      <w:r>
        <w:rPr>
          <w:rFonts w:hint="eastAsia" w:cs="Times New Roman" w:asciiTheme="minorEastAsia" w:hAnsiTheme="minorEastAsia"/>
          <w:color w:val="000000" w:themeColor="text1"/>
          <w:sz w:val="24"/>
          <w:szCs w:val="24"/>
        </w:rPr>
        <w:t>③</w:t>
      </w:r>
      <w:r>
        <w:rPr>
          <w:rFonts w:hint="eastAsia" w:ascii="Times New Roman" w:hAnsi="Times New Roman" w:cs="Times New Roman"/>
          <w:color w:val="000000" w:themeColor="text1"/>
          <w:sz w:val="24"/>
          <w:szCs w:val="24"/>
        </w:rPr>
        <w:t>监测点位宜优先设置于车辆进出口处。监测点数量多于车辆进出口数量时，其它监测点位应结合常年主导风险，设置在工地所在区域主导风向下风向的施工场地边界，兼顾扬尘最大落地浓度。</w:t>
      </w:r>
    </w:p>
    <w:p>
      <w:pPr>
        <w:spacing w:line="36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 xml:space="preserve">    </w:t>
      </w:r>
      <w:r>
        <w:rPr>
          <w:rFonts w:hint="eastAsia" w:ascii="宋体" w:hAnsi="宋体" w:eastAsia="宋体" w:cs="Times New Roman"/>
          <w:color w:val="000000" w:themeColor="text1"/>
          <w:sz w:val="24"/>
          <w:szCs w:val="24"/>
        </w:rPr>
        <w:t>④</w:t>
      </w:r>
      <w:r>
        <w:rPr>
          <w:rFonts w:hint="eastAsia" w:ascii="Times New Roman" w:hAnsi="Times New Roman" w:cs="Times New Roman"/>
          <w:color w:val="000000" w:themeColor="text1"/>
          <w:sz w:val="24"/>
          <w:szCs w:val="24"/>
        </w:rPr>
        <w:t>当与其他施工场地相邻或施工场地外侧是交通道路且受道路扬尘影响较大时，宜避开在相邻边界处设置监测点。</w:t>
      </w:r>
    </w:p>
    <w:p>
      <w:pPr>
        <w:spacing w:line="36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 xml:space="preserve">    </w:t>
      </w:r>
      <w:r>
        <w:rPr>
          <w:rFonts w:hint="eastAsia" w:ascii="宋体" w:hAnsi="宋体" w:eastAsia="宋体" w:cs="Times New Roman"/>
          <w:color w:val="000000" w:themeColor="text1"/>
          <w:sz w:val="24"/>
          <w:szCs w:val="24"/>
        </w:rPr>
        <w:t>⑤</w:t>
      </w:r>
      <w:r>
        <w:rPr>
          <w:rFonts w:hint="eastAsia" w:ascii="Times New Roman" w:hAnsi="Times New Roman" w:cs="Times New Roman"/>
          <w:color w:val="000000" w:themeColor="text1"/>
          <w:sz w:val="24"/>
          <w:szCs w:val="24"/>
        </w:rPr>
        <w:t>采样口离地面的高度宜在3m-5m范围内。</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另外还应按照《保定市大气污染防治总体工作方案》（保市政办</w:t>
      </w:r>
      <w:r>
        <w:rPr>
          <w:rFonts w:ascii="Times New Roman" w:hAnsi="Times New Roman" w:cs="Times New Roman"/>
          <w:color w:val="000000" w:themeColor="text1"/>
          <w:sz w:val="24"/>
          <w:szCs w:val="24"/>
        </w:rPr>
        <w:t xml:space="preserve">[2013]21 </w:t>
      </w:r>
      <w:r>
        <w:rPr>
          <w:rFonts w:hint="eastAsia" w:ascii="Times New Roman" w:hAnsi="Times New Roman" w:cs="Times New Roman"/>
          <w:color w:val="000000" w:themeColor="text1"/>
          <w:sz w:val="24"/>
          <w:szCs w:val="24"/>
        </w:rPr>
        <w:t>号文）和《保定市大气污染治理十项攻坚措施》（保市政</w:t>
      </w:r>
      <w:r>
        <w:rPr>
          <w:rFonts w:ascii="Times New Roman" w:hAnsi="Times New Roman" w:cs="Times New Roman"/>
          <w:color w:val="000000" w:themeColor="text1"/>
          <w:sz w:val="24"/>
          <w:szCs w:val="24"/>
        </w:rPr>
        <w:t xml:space="preserve">[2013]79 </w:t>
      </w:r>
      <w:r>
        <w:rPr>
          <w:rFonts w:hint="eastAsia" w:ascii="Times New Roman" w:hAnsi="Times New Roman" w:cs="Times New Roman"/>
          <w:color w:val="000000" w:themeColor="text1"/>
          <w:sz w:val="24"/>
          <w:szCs w:val="24"/>
        </w:rPr>
        <w:t>号）的要求执行，最大程度的降低施工扬尘对敏感点的影响。</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拟建项目只要在施工中加强管理、切实落实好这些措施，施工场地产生的扬尘影响将大大降低，同时施工现场配备扬尘在线监测仪，该环境影响将随施工的结束而消失。</w:t>
      </w:r>
      <w:r>
        <w:rPr>
          <w:rFonts w:ascii="Times New Roman" w:hAnsi="Times New Roman" w:cs="Times New Roman"/>
          <w:color w:val="000000" w:themeColor="text1"/>
          <w:sz w:val="24"/>
          <w:szCs w:val="24"/>
        </w:rPr>
        <w:t xml:space="preserve"> </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5.1.2水环境影响分析</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施工期产生废水主要有施工现场产生的工地冲洗水、泥浆水等，以及施工现场人员盥洗废水，废水水质简单，且产生量较小。</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①在工地四周加建围墙和截水沟，以避免施工废水直接外排。</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②工地冲洗水、泥浆水等全部施工废水和施工期内的初期雨水须收集到多级沉淀池，经沉淀处理后回用。</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③设置临时冲水厕所，粪便污水经排污市政管网。</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另外，各类施工材料应有防雨遮雨设施，工程废料要及时运走；施工过程中，因挖、填土方，遇到雨季会引起水质混浊，造成水中悬浮物浓度升高，为防止施工对水体的污染影响，应合理组织施工程序和施工机械，安排好施工进度，同时降雨冲刷开挖面造成局部水土流失，禁止雨天施工。</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项目建设施工工程严格按照相关技术规范设计、建设，水泥管道连接处采用水泥密封避免通缝，并采取防渗、防漏措施。同时，混凝土施工过程中特别加强含水量、施工缝、密实度的质量控制，在回填时注意按规范施工、配比，错层设置，加强养护管理。混凝土地面在施工过程中加强质量控制管理，确保混凝土的抗渗性能、抗侵蚀性能，以防止污水渗漏对地下水造成影响。</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5.1.3声环境影响分析</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施工期间主要噪声设备有推土机、挖掘机、装载机、运输车辆等，其源强见表5-1。施工期各机械噪声源均视为点声源。</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根据《环境影响评价技术导则</w:t>
      </w:r>
      <w:r>
        <w:rPr>
          <w:rFonts w:ascii="Times New Roman" w:hAnsi="Times New Roman" w:cs="Times New Roman"/>
          <w:sz w:val="24"/>
          <w:szCs w:val="24"/>
        </w:rPr>
        <w:t>·</w:t>
      </w:r>
      <w:r>
        <w:rPr>
          <w:rFonts w:hint="eastAsia" w:ascii="Times New Roman" w:hAnsi="Times New Roman" w:cs="Times New Roman"/>
          <w:sz w:val="24"/>
          <w:szCs w:val="24"/>
        </w:rPr>
        <w:t>声环境》（</w:t>
      </w:r>
      <w:r>
        <w:rPr>
          <w:rFonts w:ascii="Times New Roman" w:hAnsi="Times New Roman" w:cs="Times New Roman"/>
          <w:sz w:val="24"/>
          <w:szCs w:val="24"/>
        </w:rPr>
        <w:t>HJ2.4-2009</w:t>
      </w:r>
      <w:r>
        <w:rPr>
          <w:rFonts w:hint="eastAsia" w:ascii="Times New Roman" w:hAnsi="Times New Roman" w:cs="Times New Roman"/>
          <w:sz w:val="24"/>
          <w:szCs w:val="24"/>
        </w:rPr>
        <w:t>）中的无指向性几何发散衰减模式预测计算各类施工机械在不同距离处的贡献值，预测计算结果见表5-2。点声源噪声衰减模式为：</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L(r)=L(r</w:t>
      </w:r>
      <w:r>
        <w:rPr>
          <w:rFonts w:ascii="Times New Roman" w:hAnsi="Times New Roman" w:cs="Times New Roman"/>
          <w:sz w:val="24"/>
          <w:szCs w:val="24"/>
          <w:vertAlign w:val="subscript"/>
        </w:rPr>
        <w:t>0</w:t>
      </w:r>
      <w:r>
        <w:rPr>
          <w:rFonts w:ascii="Times New Roman" w:hAnsi="Times New Roman" w:cs="Times New Roman"/>
          <w:sz w:val="24"/>
          <w:szCs w:val="24"/>
        </w:rPr>
        <w:t>)</w:t>
      </w:r>
      <w:r>
        <w:rPr>
          <w:rFonts w:hint="eastAsia" w:ascii="Times New Roman" w:hAnsi="Times New Roman" w:cs="Times New Roman"/>
          <w:sz w:val="24"/>
          <w:szCs w:val="24"/>
        </w:rPr>
        <w:t>－</w:t>
      </w:r>
      <w:r>
        <w:rPr>
          <w:rFonts w:ascii="Times New Roman" w:hAnsi="Times New Roman" w:cs="Times New Roman"/>
          <w:sz w:val="24"/>
          <w:szCs w:val="24"/>
        </w:rPr>
        <w:t>20lg(r/r</w:t>
      </w:r>
      <w:r>
        <w:rPr>
          <w:rFonts w:ascii="Times New Roman" w:hAnsi="Times New Roman" w:cs="Times New Roman"/>
          <w:sz w:val="24"/>
          <w:szCs w:val="24"/>
          <w:vertAlign w:val="subscript"/>
        </w:rPr>
        <w:t>0</w:t>
      </w:r>
      <w:r>
        <w:rPr>
          <w:rFonts w:ascii="Times New Roman" w:hAnsi="Times New Roman" w:cs="Times New Roman"/>
          <w:sz w:val="24"/>
          <w:szCs w:val="24"/>
        </w:rPr>
        <w:t>)</w:t>
      </w:r>
      <w:r>
        <w:rPr>
          <w:rFonts w:hint="eastAsia" w:ascii="Times New Roman" w:hAnsi="Times New Roman" w:cs="Times New Roman"/>
          <w:sz w:val="24"/>
          <w:szCs w:val="24"/>
        </w:rPr>
        <w:t>－</w:t>
      </w:r>
      <w:r>
        <w:rPr>
          <w:rFonts w:ascii="Cambria Math" w:hAnsi="Cambria Math" w:cs="Cambria Math"/>
          <w:sz w:val="24"/>
          <w:szCs w:val="24"/>
        </w:rPr>
        <w:t>△</w:t>
      </w:r>
      <w:r>
        <w:rPr>
          <w:rFonts w:ascii="Times New Roman" w:hAnsi="Times New Roman" w:cs="Times New Roman"/>
          <w:sz w:val="24"/>
          <w:szCs w:val="24"/>
        </w:rPr>
        <w:t>L</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其中：</w:t>
      </w:r>
      <w:r>
        <w:rPr>
          <w:rFonts w:ascii="Times New Roman" w:hAnsi="Times New Roman" w:cs="Times New Roman"/>
          <w:sz w:val="24"/>
          <w:szCs w:val="24"/>
        </w:rPr>
        <w:t>L(r)——</w:t>
      </w:r>
      <w:r>
        <w:rPr>
          <w:rFonts w:hint="eastAsia" w:ascii="Times New Roman" w:hAnsi="Times New Roman" w:cs="Times New Roman"/>
          <w:sz w:val="24"/>
          <w:szCs w:val="24"/>
        </w:rPr>
        <w:t>距声源</w:t>
      </w:r>
      <w:r>
        <w:rPr>
          <w:rFonts w:ascii="Times New Roman" w:hAnsi="Times New Roman" w:cs="Times New Roman"/>
          <w:sz w:val="24"/>
          <w:szCs w:val="24"/>
        </w:rPr>
        <w:t>r</w:t>
      </w:r>
      <w:r>
        <w:rPr>
          <w:rFonts w:hint="eastAsia" w:ascii="Times New Roman" w:hAnsi="Times New Roman" w:cs="Times New Roman"/>
          <w:sz w:val="24"/>
          <w:szCs w:val="24"/>
        </w:rPr>
        <w:t>处声级，</w:t>
      </w:r>
      <w:r>
        <w:rPr>
          <w:rFonts w:ascii="Times New Roman" w:hAnsi="Times New Roman" w:cs="Times New Roman"/>
          <w:sz w:val="24"/>
          <w:szCs w:val="24"/>
        </w:rPr>
        <w:t xml:space="preserve"> dB</w:t>
      </w:r>
      <w:r>
        <w:rPr>
          <w:rFonts w:hint="eastAsia" w:ascii="Times New Roman" w:hAnsi="Times New Roman" w:cs="Times New Roman"/>
          <w:sz w:val="24"/>
          <w:szCs w:val="24"/>
        </w:rPr>
        <w:t>（</w:t>
      </w:r>
      <w:r>
        <w:rPr>
          <w:rFonts w:ascii="Times New Roman" w:hAnsi="Times New Roman" w:cs="Times New Roman"/>
          <w:sz w:val="24"/>
          <w:szCs w:val="24"/>
        </w:rPr>
        <w:t>A</w:t>
      </w:r>
      <w:r>
        <w:rPr>
          <w:rFonts w:hint="eastAsia"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      L(r</w:t>
      </w:r>
      <w:r>
        <w:rPr>
          <w:rFonts w:ascii="Times New Roman" w:hAnsi="Times New Roman" w:cs="Times New Roman"/>
          <w:sz w:val="24"/>
          <w:szCs w:val="24"/>
          <w:vertAlign w:val="subscript"/>
        </w:rPr>
        <w:t>0</w:t>
      </w:r>
      <w:r>
        <w:rPr>
          <w:rFonts w:ascii="Times New Roman" w:hAnsi="Times New Roman" w:cs="Times New Roman"/>
          <w:sz w:val="24"/>
          <w:szCs w:val="24"/>
        </w:rPr>
        <w:t>)——</w:t>
      </w:r>
      <w:r>
        <w:rPr>
          <w:rFonts w:hint="eastAsia" w:ascii="Times New Roman" w:hAnsi="Times New Roman" w:cs="Times New Roman"/>
          <w:sz w:val="24"/>
          <w:szCs w:val="24"/>
        </w:rPr>
        <w:t>距声源</w:t>
      </w:r>
      <w:r>
        <w:rPr>
          <w:rFonts w:ascii="Times New Roman" w:hAnsi="Times New Roman" w:cs="Times New Roman"/>
          <w:sz w:val="24"/>
          <w:szCs w:val="24"/>
        </w:rPr>
        <w:t>r</w:t>
      </w:r>
      <w:r>
        <w:rPr>
          <w:rFonts w:ascii="Times New Roman" w:hAnsi="Times New Roman" w:cs="Times New Roman"/>
          <w:sz w:val="24"/>
          <w:szCs w:val="24"/>
          <w:vertAlign w:val="subscript"/>
        </w:rPr>
        <w:t>0</w:t>
      </w:r>
      <w:r>
        <w:rPr>
          <w:rFonts w:hint="eastAsia" w:ascii="Times New Roman" w:hAnsi="Times New Roman" w:cs="Times New Roman"/>
          <w:sz w:val="24"/>
          <w:szCs w:val="24"/>
        </w:rPr>
        <w:t>处声级，</w:t>
      </w:r>
      <w:r>
        <w:rPr>
          <w:rFonts w:ascii="Times New Roman" w:hAnsi="Times New Roman" w:cs="Times New Roman"/>
          <w:sz w:val="24"/>
          <w:szCs w:val="24"/>
        </w:rPr>
        <w:t>dB</w:t>
      </w:r>
      <w:r>
        <w:rPr>
          <w:rFonts w:hint="eastAsia" w:ascii="Times New Roman" w:hAnsi="Times New Roman" w:cs="Times New Roman"/>
          <w:sz w:val="24"/>
          <w:szCs w:val="24"/>
        </w:rPr>
        <w:t>（</w:t>
      </w:r>
      <w:r>
        <w:rPr>
          <w:rFonts w:ascii="Times New Roman" w:hAnsi="Times New Roman" w:cs="Times New Roman"/>
          <w:sz w:val="24"/>
          <w:szCs w:val="24"/>
        </w:rPr>
        <w:t>A</w:t>
      </w:r>
      <w:r>
        <w:rPr>
          <w:rFonts w:hint="eastAsia"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      r——</w:t>
      </w:r>
      <w:r>
        <w:rPr>
          <w:rFonts w:hint="eastAsia" w:ascii="Times New Roman" w:hAnsi="Times New Roman" w:cs="Times New Roman"/>
          <w:sz w:val="24"/>
          <w:szCs w:val="24"/>
        </w:rPr>
        <w:t>声源距离测点处的距离，</w:t>
      </w:r>
      <w:r>
        <w:rPr>
          <w:rFonts w:ascii="Times New Roman" w:hAnsi="Times New Roman" w:cs="Times New Roman"/>
          <w:sz w:val="24"/>
          <w:szCs w:val="24"/>
        </w:rPr>
        <w:t>m</w:t>
      </w:r>
      <w:r>
        <w:rPr>
          <w:rFonts w:hint="eastAsia"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     </w:t>
      </w:r>
      <w:r>
        <w:rPr>
          <w:rFonts w:ascii="Cambria Math" w:hAnsi="Cambria Math" w:cs="Cambria Math"/>
          <w:sz w:val="24"/>
          <w:szCs w:val="24"/>
        </w:rPr>
        <w:t>△</w:t>
      </w:r>
      <w:r>
        <w:rPr>
          <w:rFonts w:ascii="Times New Roman" w:hAnsi="Times New Roman" w:cs="Times New Roman"/>
          <w:sz w:val="24"/>
          <w:szCs w:val="24"/>
        </w:rPr>
        <w:t>L——</w:t>
      </w:r>
      <w:r>
        <w:rPr>
          <w:rFonts w:hint="eastAsia" w:ascii="Times New Roman" w:hAnsi="Times New Roman" w:cs="Times New Roman"/>
          <w:sz w:val="24"/>
          <w:szCs w:val="24"/>
        </w:rPr>
        <w:t>各种因素引起的衰减量（包括声屏障、遮挡物、空气吸收、地面效应等引起的衰减量），</w:t>
      </w:r>
      <w:r>
        <w:rPr>
          <w:rFonts w:ascii="Times New Roman" w:hAnsi="Times New Roman" w:cs="Times New Roman"/>
          <w:sz w:val="24"/>
          <w:szCs w:val="24"/>
        </w:rPr>
        <w:t>dB</w:t>
      </w:r>
      <w:r>
        <w:rPr>
          <w:rFonts w:hint="eastAsia" w:ascii="Times New Roman" w:hAnsi="Times New Roman" w:cs="Times New Roman"/>
          <w:sz w:val="24"/>
          <w:szCs w:val="24"/>
        </w:rPr>
        <w:t>（</w:t>
      </w:r>
      <w:r>
        <w:rPr>
          <w:rFonts w:ascii="Times New Roman" w:hAnsi="Times New Roman" w:cs="Times New Roman"/>
          <w:sz w:val="24"/>
          <w:szCs w:val="24"/>
        </w:rPr>
        <w:t>A</w:t>
      </w:r>
      <w:r>
        <w:rPr>
          <w:rFonts w:hint="eastAsia" w:ascii="Times New Roman" w:hAnsi="Times New Roman" w:cs="Times New Roman"/>
          <w:sz w:val="24"/>
          <w:szCs w:val="24"/>
        </w:rPr>
        <w:t>）。</w:t>
      </w:r>
    </w:p>
    <w:p>
      <w:pPr>
        <w:spacing w:line="360" w:lineRule="auto"/>
        <w:ind w:firstLine="482" w:firstLineChars="200"/>
        <w:jc w:val="center"/>
        <w:rPr>
          <w:rFonts w:ascii="Times New Roman" w:hAnsi="Times New Roman" w:cs="Times New Roman"/>
          <w:b/>
          <w:sz w:val="24"/>
          <w:szCs w:val="24"/>
        </w:rPr>
      </w:pPr>
      <w:r>
        <w:rPr>
          <w:rFonts w:hint="eastAsia" w:ascii="Times New Roman" w:hAnsi="Times New Roman" w:cs="Times New Roman"/>
          <w:b/>
          <w:sz w:val="24"/>
          <w:szCs w:val="24"/>
        </w:rPr>
        <w:t>5-3</w:t>
      </w:r>
      <w:r>
        <w:rPr>
          <w:rFonts w:ascii="Times New Roman" w:hAnsi="Times New Roman" w:cs="Times New Roman"/>
          <w:b/>
          <w:sz w:val="24"/>
          <w:szCs w:val="24"/>
        </w:rPr>
        <w:t xml:space="preserve">  </w:t>
      </w:r>
      <w:r>
        <w:rPr>
          <w:rFonts w:hint="eastAsia" w:ascii="Times New Roman" w:hAnsi="Times New Roman" w:cs="Times New Roman"/>
          <w:b/>
          <w:sz w:val="24"/>
          <w:szCs w:val="24"/>
        </w:rPr>
        <w:t>施工期主要噪声源源强一览表</w:t>
      </w:r>
      <w:r>
        <w:rPr>
          <w:rFonts w:ascii="Times New Roman" w:hAnsi="Times New Roman" w:cs="Times New Roman"/>
          <w:b/>
          <w:sz w:val="24"/>
          <w:szCs w:val="24"/>
        </w:rPr>
        <w:t xml:space="preserve">  </w:t>
      </w:r>
      <w:r>
        <w:rPr>
          <w:rFonts w:hint="eastAsia" w:ascii="Times New Roman" w:hAnsi="Times New Roman" w:cs="Times New Roman"/>
          <w:b/>
          <w:sz w:val="24"/>
          <w:szCs w:val="24"/>
        </w:rPr>
        <w:t>单位：</w:t>
      </w:r>
      <w:r>
        <w:rPr>
          <w:rFonts w:ascii="Times New Roman" w:hAnsi="Times New Roman" w:cs="Times New Roman"/>
          <w:b/>
          <w:sz w:val="24"/>
          <w:szCs w:val="24"/>
        </w:rPr>
        <w:t>dB(A)</w:t>
      </w:r>
    </w:p>
    <w:tbl>
      <w:tblPr>
        <w:tblStyle w:val="27"/>
        <w:tblpPr w:leftFromText="180" w:rightFromText="180" w:vertAnchor="text" w:horzAnchor="margin" w:tblpXSpec="center" w:tblpY="141"/>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4"/>
        <w:gridCol w:w="3078"/>
        <w:gridCol w:w="3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134" w:type="dxa"/>
            <w:vAlign w:val="center"/>
          </w:tcPr>
          <w:p>
            <w:pPr>
              <w:spacing w:line="340" w:lineRule="exact"/>
              <w:jc w:val="center"/>
              <w:rPr>
                <w:rFonts w:ascii="Times New Roman" w:hAnsi="Times New Roman" w:eastAsia="宋体" w:cs="Times New Roman"/>
                <w:szCs w:val="24"/>
              </w:rPr>
            </w:pPr>
            <w:r>
              <w:rPr>
                <w:rFonts w:hint="eastAsia" w:ascii="Times New Roman" w:hAnsi="Times New Roman" w:eastAsia="宋体" w:cs="Times New Roman"/>
                <w:szCs w:val="24"/>
              </w:rPr>
              <w:t>施工期</w:t>
            </w:r>
          </w:p>
        </w:tc>
        <w:tc>
          <w:tcPr>
            <w:tcW w:w="3078" w:type="dxa"/>
            <w:vAlign w:val="center"/>
          </w:tcPr>
          <w:p>
            <w:pPr>
              <w:spacing w:line="340" w:lineRule="exact"/>
              <w:jc w:val="center"/>
              <w:rPr>
                <w:rFonts w:ascii="Times New Roman" w:hAnsi="Times New Roman" w:eastAsia="宋体" w:cs="Times New Roman"/>
                <w:szCs w:val="24"/>
              </w:rPr>
            </w:pPr>
            <w:r>
              <w:rPr>
                <w:rFonts w:hint="eastAsia" w:ascii="Times New Roman" w:hAnsi="Times New Roman" w:eastAsia="宋体" w:cs="Times New Roman"/>
                <w:szCs w:val="24"/>
              </w:rPr>
              <w:t>主要声源</w:t>
            </w:r>
          </w:p>
        </w:tc>
        <w:tc>
          <w:tcPr>
            <w:tcW w:w="3310" w:type="dxa"/>
            <w:vAlign w:val="center"/>
          </w:tcPr>
          <w:p>
            <w:pPr>
              <w:spacing w:line="340" w:lineRule="exact"/>
              <w:jc w:val="center"/>
              <w:rPr>
                <w:rFonts w:ascii="Times New Roman" w:hAnsi="Times New Roman" w:eastAsia="宋体" w:cs="Times New Roman"/>
                <w:szCs w:val="24"/>
              </w:rPr>
            </w:pPr>
            <w:r>
              <w:rPr>
                <w:rFonts w:hint="eastAsia" w:ascii="Times New Roman" w:hAnsi="Times New Roman" w:eastAsia="宋体" w:cs="Times New Roman"/>
                <w:szCs w:val="24"/>
              </w:rPr>
              <w:t>声级</w:t>
            </w:r>
            <w:r>
              <w:rPr>
                <w:rFonts w:ascii="Times New Roman" w:hAnsi="Times New Roman" w:eastAsia="宋体" w:cs="Times New Roman"/>
                <w:szCs w:val="24"/>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134" w:type="dxa"/>
            <w:vMerge w:val="restart"/>
            <w:vAlign w:val="center"/>
          </w:tcPr>
          <w:p>
            <w:pPr>
              <w:spacing w:line="340" w:lineRule="exact"/>
              <w:jc w:val="center"/>
              <w:rPr>
                <w:rFonts w:ascii="Times New Roman" w:hAnsi="Times New Roman" w:eastAsia="宋体" w:cs="Times New Roman"/>
                <w:szCs w:val="24"/>
              </w:rPr>
            </w:pPr>
            <w:r>
              <w:rPr>
                <w:rFonts w:hint="eastAsia" w:ascii="Times New Roman" w:hAnsi="Times New Roman" w:eastAsia="宋体" w:cs="Times New Roman"/>
                <w:szCs w:val="24"/>
              </w:rPr>
              <w:t>土方石</w:t>
            </w:r>
          </w:p>
        </w:tc>
        <w:tc>
          <w:tcPr>
            <w:tcW w:w="3078" w:type="dxa"/>
            <w:vAlign w:val="center"/>
          </w:tcPr>
          <w:p>
            <w:pPr>
              <w:spacing w:line="340" w:lineRule="exact"/>
              <w:jc w:val="center"/>
              <w:rPr>
                <w:rFonts w:ascii="Times New Roman" w:hAnsi="Times New Roman" w:eastAsia="宋体" w:cs="Times New Roman"/>
                <w:szCs w:val="24"/>
              </w:rPr>
            </w:pPr>
            <w:r>
              <w:rPr>
                <w:rFonts w:hint="eastAsia" w:ascii="Times New Roman" w:hAnsi="Times New Roman" w:eastAsia="宋体" w:cs="Times New Roman"/>
                <w:szCs w:val="24"/>
              </w:rPr>
              <w:t>挖掘机</w:t>
            </w:r>
          </w:p>
        </w:tc>
        <w:tc>
          <w:tcPr>
            <w:tcW w:w="3310" w:type="dxa"/>
            <w:vAlign w:val="center"/>
          </w:tcPr>
          <w:p>
            <w:pPr>
              <w:spacing w:line="340" w:lineRule="exact"/>
              <w:jc w:val="center"/>
              <w:rPr>
                <w:rFonts w:ascii="Times New Roman" w:hAnsi="Times New Roman" w:eastAsia="宋体" w:cs="Times New Roman"/>
                <w:szCs w:val="24"/>
              </w:rPr>
            </w:pPr>
            <w:r>
              <w:rPr>
                <w:rFonts w:ascii="Times New Roman" w:hAnsi="Times New Roman" w:eastAsia="宋体" w:cs="Times New Roman"/>
                <w:szCs w:val="24"/>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134" w:type="dxa"/>
            <w:vMerge w:val="continue"/>
            <w:vAlign w:val="center"/>
          </w:tcPr>
          <w:p>
            <w:pPr>
              <w:widowControl/>
              <w:spacing w:line="340" w:lineRule="exact"/>
              <w:jc w:val="left"/>
              <w:rPr>
                <w:rFonts w:ascii="Times New Roman" w:hAnsi="Times New Roman" w:eastAsia="宋体" w:cs="Times New Roman"/>
                <w:szCs w:val="24"/>
              </w:rPr>
            </w:pPr>
          </w:p>
        </w:tc>
        <w:tc>
          <w:tcPr>
            <w:tcW w:w="3078" w:type="dxa"/>
            <w:vAlign w:val="center"/>
          </w:tcPr>
          <w:p>
            <w:pPr>
              <w:spacing w:line="340" w:lineRule="exact"/>
              <w:jc w:val="center"/>
              <w:rPr>
                <w:rFonts w:ascii="Times New Roman" w:hAnsi="Times New Roman" w:eastAsia="宋体" w:cs="Times New Roman"/>
                <w:szCs w:val="24"/>
              </w:rPr>
            </w:pPr>
            <w:r>
              <w:rPr>
                <w:rFonts w:hint="eastAsia" w:ascii="Times New Roman" w:hAnsi="Times New Roman" w:eastAsia="宋体" w:cs="Times New Roman"/>
                <w:szCs w:val="24"/>
              </w:rPr>
              <w:t>装载机</w:t>
            </w:r>
          </w:p>
        </w:tc>
        <w:tc>
          <w:tcPr>
            <w:tcW w:w="3310" w:type="dxa"/>
            <w:vAlign w:val="center"/>
          </w:tcPr>
          <w:p>
            <w:pPr>
              <w:spacing w:line="340" w:lineRule="exact"/>
              <w:jc w:val="center"/>
              <w:rPr>
                <w:rFonts w:ascii="Times New Roman" w:hAnsi="Times New Roman" w:eastAsia="宋体" w:cs="Times New Roman"/>
                <w:szCs w:val="24"/>
              </w:rPr>
            </w:pPr>
            <w:r>
              <w:rPr>
                <w:rFonts w:ascii="Times New Roman" w:hAnsi="Times New Roman" w:eastAsia="宋体" w:cs="Times New Roman"/>
                <w:szCs w:val="24"/>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134" w:type="dxa"/>
            <w:vMerge w:val="continue"/>
            <w:vAlign w:val="center"/>
          </w:tcPr>
          <w:p>
            <w:pPr>
              <w:widowControl/>
              <w:spacing w:line="340" w:lineRule="exact"/>
              <w:jc w:val="left"/>
              <w:rPr>
                <w:rFonts w:ascii="Times New Roman" w:hAnsi="Times New Roman" w:eastAsia="宋体" w:cs="Times New Roman"/>
                <w:szCs w:val="24"/>
              </w:rPr>
            </w:pPr>
          </w:p>
        </w:tc>
        <w:tc>
          <w:tcPr>
            <w:tcW w:w="3078" w:type="dxa"/>
            <w:vAlign w:val="center"/>
          </w:tcPr>
          <w:p>
            <w:pPr>
              <w:spacing w:line="340" w:lineRule="exact"/>
              <w:jc w:val="center"/>
              <w:rPr>
                <w:rFonts w:ascii="Times New Roman" w:hAnsi="Times New Roman" w:eastAsia="宋体" w:cs="Times New Roman"/>
                <w:szCs w:val="24"/>
              </w:rPr>
            </w:pPr>
            <w:r>
              <w:rPr>
                <w:rFonts w:hint="eastAsia" w:ascii="Times New Roman" w:hAnsi="Times New Roman" w:eastAsia="宋体" w:cs="Times New Roman"/>
                <w:szCs w:val="24"/>
              </w:rPr>
              <w:t>推土机</w:t>
            </w:r>
          </w:p>
        </w:tc>
        <w:tc>
          <w:tcPr>
            <w:tcW w:w="3310" w:type="dxa"/>
            <w:vAlign w:val="center"/>
          </w:tcPr>
          <w:p>
            <w:pPr>
              <w:spacing w:line="340" w:lineRule="exact"/>
              <w:jc w:val="center"/>
              <w:rPr>
                <w:rFonts w:ascii="Times New Roman" w:hAnsi="Times New Roman" w:eastAsia="宋体" w:cs="Times New Roman"/>
                <w:szCs w:val="24"/>
              </w:rPr>
            </w:pPr>
            <w:r>
              <w:rPr>
                <w:rFonts w:ascii="Times New Roman" w:hAnsi="Times New Roman" w:eastAsia="宋体" w:cs="Times New Roman"/>
                <w:szCs w:val="24"/>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134" w:type="dxa"/>
            <w:vMerge w:val="continue"/>
            <w:vAlign w:val="center"/>
          </w:tcPr>
          <w:p>
            <w:pPr>
              <w:widowControl/>
              <w:spacing w:line="340" w:lineRule="exact"/>
              <w:jc w:val="left"/>
              <w:rPr>
                <w:rFonts w:ascii="Times New Roman" w:hAnsi="Times New Roman" w:eastAsia="宋体" w:cs="Times New Roman"/>
                <w:szCs w:val="24"/>
              </w:rPr>
            </w:pPr>
          </w:p>
        </w:tc>
        <w:tc>
          <w:tcPr>
            <w:tcW w:w="3078" w:type="dxa"/>
            <w:vAlign w:val="center"/>
          </w:tcPr>
          <w:p>
            <w:pPr>
              <w:spacing w:line="340" w:lineRule="exact"/>
              <w:jc w:val="center"/>
              <w:rPr>
                <w:rFonts w:ascii="Times New Roman" w:hAnsi="Times New Roman" w:eastAsia="宋体" w:cs="Times New Roman"/>
                <w:szCs w:val="24"/>
              </w:rPr>
            </w:pPr>
            <w:r>
              <w:rPr>
                <w:rFonts w:hint="eastAsia" w:ascii="Times New Roman" w:hAnsi="Times New Roman" w:eastAsia="宋体" w:cs="Times New Roman"/>
                <w:szCs w:val="21"/>
              </w:rPr>
              <w:t>载重汽车</w:t>
            </w:r>
          </w:p>
        </w:tc>
        <w:tc>
          <w:tcPr>
            <w:tcW w:w="3310" w:type="dxa"/>
            <w:vAlign w:val="center"/>
          </w:tcPr>
          <w:p>
            <w:pPr>
              <w:spacing w:line="340" w:lineRule="exact"/>
              <w:jc w:val="center"/>
              <w:rPr>
                <w:rFonts w:ascii="Times New Roman" w:hAnsi="Times New Roman" w:eastAsia="宋体" w:cs="Times New Roman"/>
                <w:szCs w:val="24"/>
              </w:rPr>
            </w:pPr>
            <w:r>
              <w:rPr>
                <w:rFonts w:ascii="Times New Roman" w:hAnsi="Times New Roman" w:eastAsia="宋体" w:cs="Times New Roman"/>
                <w:szCs w:val="24"/>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134" w:type="dxa"/>
            <w:vMerge w:val="continue"/>
            <w:vAlign w:val="center"/>
          </w:tcPr>
          <w:p>
            <w:pPr>
              <w:widowControl/>
              <w:spacing w:line="340" w:lineRule="exact"/>
              <w:jc w:val="left"/>
              <w:rPr>
                <w:rFonts w:ascii="Times New Roman" w:hAnsi="Times New Roman" w:eastAsia="宋体" w:cs="Times New Roman"/>
                <w:szCs w:val="24"/>
              </w:rPr>
            </w:pPr>
          </w:p>
        </w:tc>
        <w:tc>
          <w:tcPr>
            <w:tcW w:w="3078"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4"/>
              </w:rPr>
              <w:t>振捣器</w:t>
            </w:r>
          </w:p>
        </w:tc>
        <w:tc>
          <w:tcPr>
            <w:tcW w:w="3310" w:type="dxa"/>
            <w:vAlign w:val="center"/>
          </w:tcPr>
          <w:p>
            <w:pPr>
              <w:spacing w:line="340" w:lineRule="exact"/>
              <w:jc w:val="center"/>
              <w:rPr>
                <w:rFonts w:ascii="Times New Roman" w:hAnsi="Times New Roman" w:eastAsia="宋体" w:cs="Times New Roman"/>
                <w:szCs w:val="24"/>
              </w:rPr>
            </w:pPr>
            <w:r>
              <w:rPr>
                <w:rFonts w:hint="eastAsia" w:ascii="Times New Roman" w:hAnsi="Times New Roman" w:eastAsia="宋体" w:cs="Times New Roman"/>
                <w:szCs w:val="24"/>
              </w:rPr>
              <w:t>90</w:t>
            </w:r>
          </w:p>
        </w:tc>
      </w:tr>
    </w:tbl>
    <w:p>
      <w:pPr>
        <w:spacing w:line="360" w:lineRule="auto"/>
        <w:ind w:firstLine="482" w:firstLineChars="200"/>
        <w:jc w:val="center"/>
        <w:rPr>
          <w:rFonts w:ascii="Times New Roman" w:hAnsi="Times New Roman" w:cs="Times New Roman"/>
          <w:b/>
          <w:sz w:val="24"/>
          <w:szCs w:val="24"/>
        </w:rPr>
      </w:pPr>
      <w:r>
        <w:rPr>
          <w:rFonts w:hint="eastAsia" w:ascii="Times New Roman" w:hAnsi="Times New Roman" w:cs="Times New Roman"/>
          <w:b/>
          <w:sz w:val="24"/>
          <w:szCs w:val="24"/>
        </w:rPr>
        <w:t>表5-4</w:t>
      </w:r>
      <w:r>
        <w:rPr>
          <w:rFonts w:ascii="Times New Roman" w:hAnsi="Times New Roman" w:cs="Times New Roman"/>
          <w:b/>
          <w:sz w:val="24"/>
          <w:szCs w:val="24"/>
        </w:rPr>
        <w:t xml:space="preserve">  </w:t>
      </w:r>
      <w:r>
        <w:rPr>
          <w:rFonts w:hint="eastAsia" w:ascii="Times New Roman" w:hAnsi="Times New Roman" w:cs="Times New Roman"/>
          <w:b/>
          <w:sz w:val="24"/>
          <w:szCs w:val="24"/>
        </w:rPr>
        <w:t>主要施工机械在不同距离处的噪声贡献值</w:t>
      </w:r>
      <w:r>
        <w:rPr>
          <w:rFonts w:ascii="Times New Roman" w:hAnsi="Times New Roman" w:cs="Times New Roman"/>
          <w:b/>
          <w:sz w:val="24"/>
          <w:szCs w:val="24"/>
        </w:rPr>
        <w:t xml:space="preserve">  </w:t>
      </w:r>
      <w:r>
        <w:rPr>
          <w:rFonts w:hint="eastAsia" w:ascii="Times New Roman" w:hAnsi="Times New Roman" w:cs="Times New Roman"/>
          <w:b/>
          <w:sz w:val="24"/>
          <w:szCs w:val="24"/>
        </w:rPr>
        <w:t>单位：</w:t>
      </w:r>
      <w:r>
        <w:rPr>
          <w:rFonts w:ascii="Times New Roman" w:hAnsi="Times New Roman" w:cs="Times New Roman"/>
          <w:b/>
          <w:sz w:val="24"/>
          <w:szCs w:val="24"/>
        </w:rPr>
        <w:t>dB(A)</w:t>
      </w:r>
    </w:p>
    <w:tbl>
      <w:tblPr>
        <w:tblStyle w:val="27"/>
        <w:tblW w:w="85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1290"/>
        <w:gridCol w:w="847"/>
        <w:gridCol w:w="779"/>
        <w:gridCol w:w="690"/>
        <w:gridCol w:w="704"/>
        <w:gridCol w:w="735"/>
        <w:gridCol w:w="780"/>
        <w:gridCol w:w="796"/>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4"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施工</w:t>
            </w:r>
          </w:p>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阶段</w:t>
            </w:r>
          </w:p>
        </w:tc>
        <w:tc>
          <w:tcPr>
            <w:tcW w:w="1290"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施工机械</w:t>
            </w:r>
          </w:p>
        </w:tc>
        <w:tc>
          <w:tcPr>
            <w:tcW w:w="847" w:type="dxa"/>
            <w:vAlign w:val="center"/>
          </w:tcPr>
          <w:p>
            <w:pPr>
              <w:spacing w:line="340" w:lineRule="exact"/>
              <w:jc w:val="center"/>
              <w:rPr>
                <w:rFonts w:ascii="Times New Roman" w:hAnsi="Times New Roman" w:eastAsia="宋体" w:cs="Times New Roman"/>
                <w:szCs w:val="21"/>
              </w:rPr>
            </w:pPr>
            <w:r>
              <w:rPr>
                <w:rFonts w:ascii="Times New Roman" w:hAnsi="Times New Roman" w:eastAsia="宋体" w:cs="Times New Roman"/>
                <w:szCs w:val="21"/>
              </w:rPr>
              <w:t>5m</w:t>
            </w:r>
          </w:p>
        </w:tc>
        <w:tc>
          <w:tcPr>
            <w:tcW w:w="779" w:type="dxa"/>
            <w:vAlign w:val="center"/>
          </w:tcPr>
          <w:p>
            <w:pPr>
              <w:spacing w:line="340" w:lineRule="exact"/>
              <w:jc w:val="center"/>
              <w:rPr>
                <w:rFonts w:ascii="Times New Roman" w:hAnsi="Times New Roman" w:eastAsia="宋体" w:cs="Times New Roman"/>
                <w:szCs w:val="21"/>
              </w:rPr>
            </w:pPr>
            <w:r>
              <w:rPr>
                <w:rFonts w:ascii="Times New Roman" w:hAnsi="Times New Roman" w:eastAsia="宋体" w:cs="Times New Roman"/>
                <w:szCs w:val="21"/>
              </w:rPr>
              <w:t>10m</w:t>
            </w:r>
          </w:p>
        </w:tc>
        <w:tc>
          <w:tcPr>
            <w:tcW w:w="690" w:type="dxa"/>
            <w:vAlign w:val="center"/>
          </w:tcPr>
          <w:p>
            <w:pPr>
              <w:spacing w:line="340" w:lineRule="exact"/>
              <w:jc w:val="center"/>
              <w:rPr>
                <w:rFonts w:ascii="Times New Roman" w:hAnsi="Times New Roman" w:eastAsia="宋体" w:cs="Times New Roman"/>
                <w:szCs w:val="21"/>
              </w:rPr>
            </w:pPr>
            <w:r>
              <w:rPr>
                <w:rFonts w:ascii="Times New Roman" w:hAnsi="Times New Roman" w:eastAsia="宋体" w:cs="Times New Roman"/>
                <w:szCs w:val="21"/>
              </w:rPr>
              <w:t>20m</w:t>
            </w:r>
          </w:p>
        </w:tc>
        <w:tc>
          <w:tcPr>
            <w:tcW w:w="704" w:type="dxa"/>
            <w:vAlign w:val="center"/>
          </w:tcPr>
          <w:p>
            <w:pPr>
              <w:spacing w:line="340" w:lineRule="exact"/>
              <w:jc w:val="center"/>
              <w:rPr>
                <w:rFonts w:ascii="Times New Roman" w:hAnsi="Times New Roman" w:eastAsia="宋体" w:cs="Times New Roman"/>
                <w:szCs w:val="21"/>
              </w:rPr>
            </w:pPr>
            <w:r>
              <w:rPr>
                <w:rFonts w:ascii="Times New Roman" w:hAnsi="Times New Roman" w:eastAsia="宋体" w:cs="Times New Roman"/>
                <w:szCs w:val="21"/>
              </w:rPr>
              <w:t>40m</w:t>
            </w:r>
          </w:p>
        </w:tc>
        <w:tc>
          <w:tcPr>
            <w:tcW w:w="735" w:type="dxa"/>
            <w:vAlign w:val="center"/>
          </w:tcPr>
          <w:p>
            <w:pPr>
              <w:spacing w:line="340" w:lineRule="exact"/>
              <w:jc w:val="center"/>
              <w:rPr>
                <w:rFonts w:ascii="Times New Roman" w:hAnsi="Times New Roman" w:eastAsia="宋体" w:cs="Times New Roman"/>
                <w:szCs w:val="21"/>
              </w:rPr>
            </w:pPr>
            <w:r>
              <w:rPr>
                <w:rFonts w:ascii="Times New Roman" w:hAnsi="Times New Roman" w:eastAsia="宋体" w:cs="Times New Roman"/>
                <w:szCs w:val="21"/>
              </w:rPr>
              <w:t>50m</w:t>
            </w:r>
          </w:p>
        </w:tc>
        <w:tc>
          <w:tcPr>
            <w:tcW w:w="780" w:type="dxa"/>
            <w:vAlign w:val="center"/>
          </w:tcPr>
          <w:p>
            <w:pPr>
              <w:spacing w:line="340" w:lineRule="exact"/>
              <w:jc w:val="center"/>
              <w:rPr>
                <w:rFonts w:ascii="Times New Roman" w:hAnsi="Times New Roman" w:eastAsia="宋体" w:cs="Times New Roman"/>
                <w:szCs w:val="21"/>
              </w:rPr>
            </w:pPr>
            <w:r>
              <w:rPr>
                <w:rFonts w:ascii="Times New Roman" w:hAnsi="Times New Roman" w:eastAsia="宋体" w:cs="Times New Roman"/>
                <w:szCs w:val="21"/>
              </w:rPr>
              <w:t>100m</w:t>
            </w:r>
          </w:p>
        </w:tc>
        <w:tc>
          <w:tcPr>
            <w:tcW w:w="796" w:type="dxa"/>
            <w:vAlign w:val="center"/>
          </w:tcPr>
          <w:p>
            <w:pPr>
              <w:spacing w:line="340" w:lineRule="exact"/>
              <w:jc w:val="center"/>
              <w:rPr>
                <w:rFonts w:ascii="Times New Roman" w:hAnsi="Times New Roman" w:eastAsia="宋体" w:cs="Times New Roman"/>
                <w:szCs w:val="21"/>
              </w:rPr>
            </w:pPr>
            <w:r>
              <w:rPr>
                <w:rFonts w:ascii="Times New Roman" w:hAnsi="Times New Roman" w:eastAsia="宋体" w:cs="Times New Roman"/>
                <w:szCs w:val="21"/>
              </w:rPr>
              <w:t>200m</w:t>
            </w:r>
          </w:p>
        </w:tc>
        <w:tc>
          <w:tcPr>
            <w:tcW w:w="845" w:type="dxa"/>
            <w:vAlign w:val="center"/>
          </w:tcPr>
          <w:p>
            <w:pPr>
              <w:spacing w:line="340" w:lineRule="exact"/>
              <w:jc w:val="center"/>
              <w:rPr>
                <w:rFonts w:ascii="Times New Roman" w:hAnsi="Times New Roman" w:eastAsia="宋体" w:cs="Times New Roman"/>
                <w:szCs w:val="21"/>
              </w:rPr>
            </w:pPr>
            <w:r>
              <w:rPr>
                <w:rFonts w:ascii="Times New Roman" w:hAnsi="Times New Roman" w:eastAsia="宋体" w:cs="Times New Roman"/>
                <w:szCs w:val="21"/>
              </w:rPr>
              <w:t>300m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4" w:type="dxa"/>
            <w:vMerge w:val="restart"/>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土</w:t>
            </w:r>
          </w:p>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方</w:t>
            </w:r>
          </w:p>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石</w:t>
            </w:r>
          </w:p>
        </w:tc>
        <w:tc>
          <w:tcPr>
            <w:tcW w:w="1290"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挖掘机</w:t>
            </w:r>
          </w:p>
        </w:tc>
        <w:tc>
          <w:tcPr>
            <w:tcW w:w="847"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70</w:t>
            </w:r>
          </w:p>
        </w:tc>
        <w:tc>
          <w:tcPr>
            <w:tcW w:w="779"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64</w:t>
            </w:r>
          </w:p>
        </w:tc>
        <w:tc>
          <w:tcPr>
            <w:tcW w:w="690"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57</w:t>
            </w:r>
          </w:p>
        </w:tc>
        <w:tc>
          <w:tcPr>
            <w:tcW w:w="704"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51</w:t>
            </w:r>
          </w:p>
        </w:tc>
        <w:tc>
          <w:tcPr>
            <w:tcW w:w="735"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50</w:t>
            </w:r>
          </w:p>
        </w:tc>
        <w:tc>
          <w:tcPr>
            <w:tcW w:w="780"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44</w:t>
            </w:r>
          </w:p>
        </w:tc>
        <w:tc>
          <w:tcPr>
            <w:tcW w:w="796"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38</w:t>
            </w:r>
          </w:p>
        </w:tc>
        <w:tc>
          <w:tcPr>
            <w:tcW w:w="845"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4" w:type="dxa"/>
            <w:vMerge w:val="continue"/>
            <w:vAlign w:val="center"/>
          </w:tcPr>
          <w:p>
            <w:pPr>
              <w:widowControl/>
              <w:spacing w:line="340" w:lineRule="exact"/>
              <w:jc w:val="left"/>
              <w:rPr>
                <w:rFonts w:ascii="Times New Roman" w:hAnsi="Times New Roman" w:eastAsia="宋体" w:cs="Times New Roman"/>
                <w:szCs w:val="21"/>
              </w:rPr>
            </w:pPr>
          </w:p>
        </w:tc>
        <w:tc>
          <w:tcPr>
            <w:tcW w:w="1290"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装载机</w:t>
            </w:r>
          </w:p>
        </w:tc>
        <w:tc>
          <w:tcPr>
            <w:tcW w:w="847"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70</w:t>
            </w:r>
          </w:p>
        </w:tc>
        <w:tc>
          <w:tcPr>
            <w:tcW w:w="779"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64</w:t>
            </w:r>
          </w:p>
        </w:tc>
        <w:tc>
          <w:tcPr>
            <w:tcW w:w="690"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57</w:t>
            </w:r>
          </w:p>
        </w:tc>
        <w:tc>
          <w:tcPr>
            <w:tcW w:w="704"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51</w:t>
            </w:r>
          </w:p>
        </w:tc>
        <w:tc>
          <w:tcPr>
            <w:tcW w:w="735"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50</w:t>
            </w:r>
          </w:p>
        </w:tc>
        <w:tc>
          <w:tcPr>
            <w:tcW w:w="780"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44</w:t>
            </w:r>
          </w:p>
        </w:tc>
        <w:tc>
          <w:tcPr>
            <w:tcW w:w="796"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38</w:t>
            </w:r>
          </w:p>
        </w:tc>
        <w:tc>
          <w:tcPr>
            <w:tcW w:w="845"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4" w:type="dxa"/>
            <w:vMerge w:val="continue"/>
            <w:vAlign w:val="center"/>
          </w:tcPr>
          <w:p>
            <w:pPr>
              <w:widowControl/>
              <w:spacing w:line="340" w:lineRule="exact"/>
              <w:jc w:val="left"/>
              <w:rPr>
                <w:rFonts w:ascii="Times New Roman" w:hAnsi="Times New Roman" w:eastAsia="宋体" w:cs="Times New Roman"/>
                <w:szCs w:val="21"/>
              </w:rPr>
            </w:pPr>
          </w:p>
        </w:tc>
        <w:tc>
          <w:tcPr>
            <w:tcW w:w="1290"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推土机</w:t>
            </w:r>
          </w:p>
        </w:tc>
        <w:tc>
          <w:tcPr>
            <w:tcW w:w="847"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72</w:t>
            </w:r>
          </w:p>
        </w:tc>
        <w:tc>
          <w:tcPr>
            <w:tcW w:w="779"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66</w:t>
            </w:r>
          </w:p>
        </w:tc>
        <w:tc>
          <w:tcPr>
            <w:tcW w:w="690"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59</w:t>
            </w:r>
          </w:p>
        </w:tc>
        <w:tc>
          <w:tcPr>
            <w:tcW w:w="704"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53</w:t>
            </w:r>
          </w:p>
        </w:tc>
        <w:tc>
          <w:tcPr>
            <w:tcW w:w="735"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52</w:t>
            </w:r>
          </w:p>
        </w:tc>
        <w:tc>
          <w:tcPr>
            <w:tcW w:w="780"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46</w:t>
            </w:r>
          </w:p>
        </w:tc>
        <w:tc>
          <w:tcPr>
            <w:tcW w:w="796"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40</w:t>
            </w:r>
          </w:p>
        </w:tc>
        <w:tc>
          <w:tcPr>
            <w:tcW w:w="845"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4" w:type="dxa"/>
            <w:vMerge w:val="continue"/>
            <w:vAlign w:val="center"/>
          </w:tcPr>
          <w:p>
            <w:pPr>
              <w:widowControl/>
              <w:spacing w:line="340" w:lineRule="exact"/>
              <w:jc w:val="left"/>
              <w:rPr>
                <w:rFonts w:ascii="Times New Roman" w:hAnsi="Times New Roman" w:eastAsia="宋体" w:cs="Times New Roman"/>
                <w:szCs w:val="21"/>
              </w:rPr>
            </w:pPr>
          </w:p>
        </w:tc>
        <w:tc>
          <w:tcPr>
            <w:tcW w:w="1290"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载重汽车</w:t>
            </w:r>
          </w:p>
        </w:tc>
        <w:tc>
          <w:tcPr>
            <w:tcW w:w="847"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71</w:t>
            </w:r>
          </w:p>
        </w:tc>
        <w:tc>
          <w:tcPr>
            <w:tcW w:w="779"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65</w:t>
            </w:r>
          </w:p>
        </w:tc>
        <w:tc>
          <w:tcPr>
            <w:tcW w:w="690"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58</w:t>
            </w:r>
          </w:p>
        </w:tc>
        <w:tc>
          <w:tcPr>
            <w:tcW w:w="704"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52</w:t>
            </w:r>
          </w:p>
        </w:tc>
        <w:tc>
          <w:tcPr>
            <w:tcW w:w="735"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51</w:t>
            </w:r>
          </w:p>
        </w:tc>
        <w:tc>
          <w:tcPr>
            <w:tcW w:w="780"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45</w:t>
            </w:r>
          </w:p>
        </w:tc>
        <w:tc>
          <w:tcPr>
            <w:tcW w:w="796"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39</w:t>
            </w:r>
          </w:p>
        </w:tc>
        <w:tc>
          <w:tcPr>
            <w:tcW w:w="845"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4" w:type="dxa"/>
            <w:vMerge w:val="continue"/>
            <w:vAlign w:val="center"/>
          </w:tcPr>
          <w:p>
            <w:pPr>
              <w:widowControl/>
              <w:spacing w:line="340" w:lineRule="exact"/>
              <w:jc w:val="left"/>
              <w:rPr>
                <w:rFonts w:ascii="Times New Roman" w:hAnsi="Times New Roman" w:eastAsia="宋体" w:cs="Times New Roman"/>
                <w:szCs w:val="21"/>
              </w:rPr>
            </w:pPr>
          </w:p>
        </w:tc>
        <w:tc>
          <w:tcPr>
            <w:tcW w:w="1290"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4"/>
              </w:rPr>
              <w:t>振捣器</w:t>
            </w:r>
          </w:p>
        </w:tc>
        <w:tc>
          <w:tcPr>
            <w:tcW w:w="847"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76</w:t>
            </w:r>
          </w:p>
        </w:tc>
        <w:tc>
          <w:tcPr>
            <w:tcW w:w="779"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70</w:t>
            </w:r>
          </w:p>
        </w:tc>
        <w:tc>
          <w:tcPr>
            <w:tcW w:w="690"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64</w:t>
            </w:r>
          </w:p>
        </w:tc>
        <w:tc>
          <w:tcPr>
            <w:tcW w:w="704"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58</w:t>
            </w:r>
          </w:p>
        </w:tc>
        <w:tc>
          <w:tcPr>
            <w:tcW w:w="735"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56</w:t>
            </w:r>
          </w:p>
        </w:tc>
        <w:tc>
          <w:tcPr>
            <w:tcW w:w="780"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50</w:t>
            </w:r>
          </w:p>
        </w:tc>
        <w:tc>
          <w:tcPr>
            <w:tcW w:w="796"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44</w:t>
            </w:r>
          </w:p>
        </w:tc>
        <w:tc>
          <w:tcPr>
            <w:tcW w:w="845"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40</w:t>
            </w:r>
          </w:p>
        </w:tc>
      </w:tr>
    </w:tbl>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从表5-4可看出：施工期间，昼间距离施工场界4</w:t>
      </w:r>
      <w:r>
        <w:rPr>
          <w:rFonts w:ascii="Times New Roman" w:hAnsi="Times New Roman" w:cs="Times New Roman"/>
          <w:sz w:val="24"/>
          <w:szCs w:val="24"/>
        </w:rPr>
        <w:t>0m</w:t>
      </w:r>
      <w:r>
        <w:rPr>
          <w:rFonts w:hint="eastAsia" w:ascii="Times New Roman" w:hAnsi="Times New Roman" w:cs="Times New Roman"/>
          <w:sz w:val="24"/>
          <w:szCs w:val="24"/>
        </w:rPr>
        <w:t>处，各施工机械所产生的噪声低于6</w:t>
      </w:r>
      <w:r>
        <w:rPr>
          <w:rFonts w:ascii="Times New Roman" w:hAnsi="Times New Roman" w:cs="Times New Roman"/>
          <w:sz w:val="24"/>
          <w:szCs w:val="24"/>
        </w:rPr>
        <w:t>0dB(A)</w:t>
      </w:r>
      <w:r>
        <w:rPr>
          <w:rFonts w:hint="eastAsia" w:ascii="Times New Roman" w:hAnsi="Times New Roman" w:cs="Times New Roman"/>
          <w:sz w:val="24"/>
          <w:szCs w:val="24"/>
        </w:rPr>
        <w:t>，能满足《建筑施工场界环境噪声排放标准》</w:t>
      </w:r>
      <w:r>
        <w:rPr>
          <w:rFonts w:ascii="Times New Roman" w:hAnsi="Times New Roman" w:cs="Times New Roman"/>
          <w:sz w:val="24"/>
          <w:szCs w:val="24"/>
        </w:rPr>
        <w:t>(GB12523-2011)</w:t>
      </w:r>
      <w:r>
        <w:rPr>
          <w:rFonts w:hint="eastAsia" w:ascii="Times New Roman" w:hAnsi="Times New Roman" w:cs="Times New Roman"/>
          <w:sz w:val="24"/>
          <w:szCs w:val="24"/>
        </w:rPr>
        <w:t>昼间标准限值要求，说明距离建设项目4</w:t>
      </w:r>
      <w:r>
        <w:rPr>
          <w:rFonts w:ascii="Times New Roman" w:hAnsi="Times New Roman" w:cs="Times New Roman"/>
          <w:sz w:val="24"/>
          <w:szCs w:val="24"/>
        </w:rPr>
        <w:t>0m</w:t>
      </w:r>
      <w:r>
        <w:rPr>
          <w:rFonts w:hint="eastAsia" w:ascii="Times New Roman" w:hAnsi="Times New Roman" w:cs="Times New Roman"/>
          <w:sz w:val="24"/>
          <w:szCs w:val="24"/>
        </w:rPr>
        <w:t>以内的居民受到的影响较大，</w:t>
      </w:r>
      <w:r>
        <w:rPr>
          <w:rFonts w:ascii="Times New Roman" w:hAnsi="Times New Roman" w:cs="Times New Roman"/>
          <w:sz w:val="24"/>
          <w:szCs w:val="24"/>
        </w:rPr>
        <w:t>建设单位拟采取以下措施进行治理：</w:t>
      </w:r>
      <w:r>
        <w:rPr>
          <w:rFonts w:hint="eastAsia" w:ascii="宋体" w:hAnsi="宋体" w:eastAsia="宋体" w:cs="宋体"/>
          <w:sz w:val="24"/>
          <w:szCs w:val="24"/>
        </w:rPr>
        <w:t>①</w:t>
      </w:r>
      <w:r>
        <w:rPr>
          <w:rFonts w:ascii="Times New Roman" w:hAnsi="Times New Roman" w:cs="Times New Roman"/>
          <w:sz w:val="24"/>
          <w:szCs w:val="24"/>
        </w:rPr>
        <w:t>合理安排施工机械布局，尽量将高噪声的施工设备集中放置，并采取减震降噪措施，禁止午休和夜间施工。</w:t>
      </w:r>
      <w:r>
        <w:rPr>
          <w:rFonts w:hint="eastAsia" w:ascii="宋体" w:hAnsi="宋体" w:eastAsia="宋体" w:cs="宋体"/>
          <w:sz w:val="24"/>
          <w:szCs w:val="24"/>
        </w:rPr>
        <w:t>②</w:t>
      </w:r>
      <w:r>
        <w:rPr>
          <w:rFonts w:ascii="Times New Roman" w:hAnsi="Times New Roman" w:cs="Times New Roman"/>
          <w:sz w:val="24"/>
          <w:szCs w:val="24"/>
        </w:rPr>
        <w:t>加强施工期的管理，选用低噪声、低振动的施工机械。</w:t>
      </w:r>
      <w:r>
        <w:rPr>
          <w:rFonts w:hint="eastAsia" w:ascii="宋体" w:hAnsi="宋体" w:eastAsia="宋体" w:cs="宋体"/>
          <w:sz w:val="24"/>
          <w:szCs w:val="24"/>
        </w:rPr>
        <w:t>③</w:t>
      </w:r>
      <w:r>
        <w:rPr>
          <w:rFonts w:ascii="Times New Roman" w:hAnsi="Times New Roman" w:cs="Times New Roman"/>
          <w:sz w:val="24"/>
          <w:szCs w:val="24"/>
        </w:rPr>
        <w:t>运输建筑材料的车辆要做到噪声级维持低水平运转，不得随意鸣笛。</w:t>
      </w:r>
      <w:r>
        <w:rPr>
          <w:rFonts w:hint="eastAsia" w:ascii="宋体" w:hAnsi="宋体" w:eastAsia="宋体" w:cs="宋体"/>
          <w:sz w:val="24"/>
          <w:szCs w:val="24"/>
        </w:rPr>
        <w:t>④</w:t>
      </w:r>
      <w:r>
        <w:rPr>
          <w:rFonts w:ascii="Times New Roman" w:hAnsi="Times New Roman" w:cs="Times New Roman"/>
          <w:sz w:val="24"/>
          <w:szCs w:val="24"/>
        </w:rPr>
        <w:t>动力机械设备应进行定期的维修、养护，以保证其在正常工况下工作。经上述措施后，施工期噪声可满足《建筑施工场界环境噪声排放标准》（GB12523-2011）表1标准限值。</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5.1.4固体废物影响分析</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施工期产生</w:t>
      </w:r>
      <w:r>
        <w:rPr>
          <w:rFonts w:hint="eastAsia" w:ascii="Times New Roman" w:hAnsi="Times New Roman" w:cs="Times New Roman"/>
          <w:sz w:val="24"/>
          <w:szCs w:val="24"/>
        </w:rPr>
        <w:t>施工人员生活垃圾</w:t>
      </w:r>
      <w:r>
        <w:rPr>
          <w:rFonts w:ascii="Times New Roman" w:hAnsi="Times New Roman" w:cs="Times New Roman"/>
          <w:sz w:val="24"/>
          <w:szCs w:val="24"/>
        </w:rPr>
        <w:t>要</w:t>
      </w:r>
      <w:r>
        <w:rPr>
          <w:rFonts w:hint="eastAsia" w:ascii="Times New Roman" w:hAnsi="Times New Roman" w:cs="Times New Roman"/>
          <w:sz w:val="24"/>
          <w:szCs w:val="24"/>
        </w:rPr>
        <w:t>分类收集，</w:t>
      </w:r>
      <w:r>
        <w:rPr>
          <w:rFonts w:ascii="Times New Roman" w:hAnsi="Times New Roman" w:cs="Times New Roman"/>
          <w:sz w:val="24"/>
          <w:szCs w:val="24"/>
        </w:rPr>
        <w:t>及时</w:t>
      </w:r>
      <w:r>
        <w:rPr>
          <w:rFonts w:hint="eastAsia" w:ascii="Times New Roman" w:hAnsi="Times New Roman" w:cs="Times New Roman"/>
          <w:sz w:val="24"/>
          <w:szCs w:val="24"/>
        </w:rPr>
        <w:t>清运</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虽然施工期产生的扬尘、噪声和废水会对项目周边环境造成影响，但是经采取妥善预防和控制措施后，其影响程度可降到最低浓度，并且污染影响会随着施工期的结束而消失。</w:t>
      </w:r>
    </w:p>
    <w:p>
      <w:pPr>
        <w:pStyle w:val="3"/>
        <w:spacing w:before="0" w:after="0" w:line="360" w:lineRule="auto"/>
        <w:rPr>
          <w:rFonts w:ascii="Times New Roman" w:hAnsi="Times New Roman" w:cs="Times New Roman"/>
          <w:sz w:val="28"/>
          <w:szCs w:val="28"/>
        </w:rPr>
      </w:pPr>
      <w:bookmarkStart w:id="33" w:name="_Toc13725358"/>
      <w:r>
        <w:rPr>
          <w:rFonts w:ascii="Times New Roman" w:hAnsi="Times New Roman" w:cs="Times New Roman"/>
          <w:sz w:val="28"/>
          <w:szCs w:val="28"/>
        </w:rPr>
        <w:t>5.2营运期环境影响预测与评价</w:t>
      </w:r>
      <w:bookmarkEnd w:id="33"/>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5.2.1大气环境影响分析</w:t>
      </w:r>
    </w:p>
    <w:p>
      <w:pPr>
        <w:pStyle w:val="5"/>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5.2.1.1 大气环境影响预测与评价</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（1）预测因子</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根据工程污染源</w:t>
      </w:r>
      <w:r>
        <w:rPr>
          <w:rFonts w:hint="eastAsia" w:ascii="Times New Roman" w:hAnsi="Times New Roman" w:cs="Times New Roman"/>
          <w:color w:val="000000" w:themeColor="text1"/>
          <w:sz w:val="24"/>
          <w:szCs w:val="24"/>
        </w:rPr>
        <w:t>排放特性及工程分析</w:t>
      </w:r>
      <w:r>
        <w:rPr>
          <w:rFonts w:ascii="Times New Roman" w:hAnsi="Times New Roman" w:cs="Times New Roman"/>
          <w:color w:val="000000" w:themeColor="text1"/>
          <w:sz w:val="24"/>
          <w:szCs w:val="24"/>
        </w:rPr>
        <w:t>结果，</w:t>
      </w:r>
      <w:r>
        <w:rPr>
          <w:rFonts w:hint="eastAsia" w:ascii="Times New Roman" w:hAnsi="Times New Roman" w:cs="Times New Roman"/>
          <w:color w:val="000000" w:themeColor="text1"/>
          <w:sz w:val="24"/>
          <w:szCs w:val="24"/>
        </w:rPr>
        <w:t>本项目确定大气预测因子为氨、H</w:t>
      </w:r>
      <w:r>
        <w:rPr>
          <w:rFonts w:hint="eastAsia" w:ascii="Times New Roman" w:hAnsi="Times New Roman" w:cs="Times New Roman"/>
          <w:color w:val="000000" w:themeColor="text1"/>
          <w:sz w:val="24"/>
          <w:szCs w:val="24"/>
          <w:vertAlign w:val="subscript"/>
        </w:rPr>
        <w:t>2</w:t>
      </w:r>
      <w:r>
        <w:rPr>
          <w:rFonts w:hint="eastAsia" w:ascii="Times New Roman" w:hAnsi="Times New Roman" w:cs="Times New Roman"/>
          <w:color w:val="000000" w:themeColor="text1"/>
          <w:sz w:val="24"/>
          <w:szCs w:val="24"/>
        </w:rPr>
        <w:t>S。</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（2）预测范围</w:t>
      </w:r>
    </w:p>
    <w:p>
      <w:pPr>
        <w:spacing w:line="360" w:lineRule="auto"/>
        <w:ind w:firstLine="480" w:firstLineChars="20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以</w:t>
      </w:r>
      <w:r>
        <w:rPr>
          <w:rFonts w:hint="eastAsia" w:ascii="Times New Roman" w:hAnsi="Times New Roman" w:cs="Times New Roman"/>
          <w:bCs/>
          <w:color w:val="000000" w:themeColor="text1"/>
          <w:sz w:val="24"/>
          <w:szCs w:val="24"/>
        </w:rPr>
        <w:t>项目厂址为中心区域</w:t>
      </w:r>
      <w:r>
        <w:rPr>
          <w:rFonts w:ascii="Times New Roman" w:hAnsi="Times New Roman" w:cs="Times New Roman"/>
          <w:bCs/>
          <w:color w:val="000000" w:themeColor="text1"/>
          <w:sz w:val="24"/>
          <w:szCs w:val="24"/>
        </w:rPr>
        <w:t>，</w:t>
      </w:r>
      <w:r>
        <w:rPr>
          <w:rFonts w:hint="eastAsia" w:ascii="Times New Roman" w:hAnsi="Times New Roman" w:cs="Times New Roman"/>
          <w:bCs/>
          <w:color w:val="000000" w:themeColor="text1"/>
          <w:sz w:val="24"/>
          <w:szCs w:val="24"/>
        </w:rPr>
        <w:t>边长</w:t>
      </w:r>
      <w:r>
        <w:rPr>
          <w:rFonts w:ascii="Times New Roman" w:hAnsi="Times New Roman" w:cs="Times New Roman"/>
          <w:bCs/>
          <w:color w:val="000000" w:themeColor="text1"/>
          <w:sz w:val="24"/>
          <w:szCs w:val="24"/>
        </w:rPr>
        <w:t>5km</w:t>
      </w:r>
      <w:r>
        <w:rPr>
          <w:rFonts w:hint="eastAsia" w:ascii="Times New Roman" w:hAnsi="Times New Roman" w:cs="Times New Roman"/>
          <w:bCs/>
          <w:color w:val="000000" w:themeColor="text1"/>
          <w:sz w:val="24"/>
          <w:szCs w:val="24"/>
        </w:rPr>
        <w:t>，约</w:t>
      </w:r>
      <w:r>
        <w:rPr>
          <w:rFonts w:ascii="Times New Roman" w:hAnsi="Times New Roman" w:cs="Times New Roman"/>
          <w:bCs/>
          <w:color w:val="000000" w:themeColor="text1"/>
          <w:sz w:val="24"/>
          <w:szCs w:val="24"/>
        </w:rPr>
        <w:t>25km</w:t>
      </w:r>
      <w:r>
        <w:rPr>
          <w:rFonts w:ascii="Times New Roman" w:hAnsi="Times New Roman" w:cs="Times New Roman"/>
          <w:bCs/>
          <w:color w:val="000000" w:themeColor="text1"/>
          <w:sz w:val="24"/>
          <w:szCs w:val="24"/>
          <w:vertAlign w:val="superscript"/>
        </w:rPr>
        <w:t>2</w:t>
      </w:r>
      <w:r>
        <w:rPr>
          <w:rFonts w:ascii="Times New Roman" w:hAnsi="Times New Roman" w:cs="Times New Roman"/>
          <w:bCs/>
          <w:color w:val="000000" w:themeColor="text1"/>
          <w:sz w:val="24"/>
          <w:szCs w:val="24"/>
        </w:rPr>
        <w:t xml:space="preserve"> </w:t>
      </w:r>
      <w:r>
        <w:rPr>
          <w:rFonts w:hint="eastAsia" w:ascii="Times New Roman" w:hAnsi="Times New Roman" w:cs="Times New Roman"/>
          <w:bCs/>
          <w:color w:val="000000" w:themeColor="text1"/>
          <w:sz w:val="24"/>
          <w:szCs w:val="24"/>
        </w:rPr>
        <w:t>矩形区域。</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（3）预测模式选取</w:t>
      </w:r>
    </w:p>
    <w:p>
      <w:pPr>
        <w:pStyle w:val="49"/>
        <w:ind w:firstLine="480"/>
        <w:rPr>
          <w:rFonts w:eastAsiaTheme="minorEastAsia"/>
          <w:color w:val="000000" w:themeColor="text1"/>
        </w:rPr>
      </w:pPr>
      <w:r>
        <w:rPr>
          <w:rFonts w:hint="eastAsia" w:eastAsiaTheme="minorEastAsia"/>
          <w:color w:val="000000" w:themeColor="text1"/>
        </w:rPr>
        <w:t>根据《环境影响评价技术导则 大气环境》(HJ2.2-2018)要求，选择附录A中推荐模式中估算模型进行计算污染源的最大环境影响，再按评价工作分级进行分级。采用AERSCREEN估算模式进行计算。</w:t>
      </w:r>
    </w:p>
    <w:p>
      <w:pPr>
        <w:pStyle w:val="49"/>
        <w:ind w:firstLine="480"/>
        <w:rPr>
          <w:rFonts w:hAnsi="宋体"/>
          <w:color w:val="000000" w:themeColor="text1"/>
        </w:rPr>
      </w:pPr>
      <w:r>
        <w:rPr>
          <w:rFonts w:hint="eastAsia" w:hAnsi="宋体"/>
          <w:color w:val="000000" w:themeColor="text1"/>
        </w:rPr>
        <w:t>（4）预测参数</w:t>
      </w:r>
    </w:p>
    <w:p>
      <w:pPr>
        <w:spacing w:line="520" w:lineRule="exact"/>
        <w:jc w:val="center"/>
        <w:rPr>
          <w:rFonts w:hAnsi="宋体"/>
          <w:b/>
          <w:color w:val="000000" w:themeColor="text1"/>
          <w:sz w:val="24"/>
        </w:rPr>
      </w:pPr>
    </w:p>
    <w:p>
      <w:pPr>
        <w:spacing w:line="520" w:lineRule="exact"/>
        <w:jc w:val="center"/>
        <w:rPr>
          <w:rFonts w:hAnsi="宋体"/>
          <w:b/>
          <w:color w:val="000000" w:themeColor="text1"/>
          <w:sz w:val="24"/>
        </w:rPr>
      </w:pPr>
    </w:p>
    <w:p>
      <w:pPr>
        <w:spacing w:line="520" w:lineRule="exact"/>
        <w:jc w:val="center"/>
        <w:rPr>
          <w:rFonts w:hAnsi="宋体"/>
          <w:b/>
          <w:color w:val="000000" w:themeColor="text1"/>
          <w:sz w:val="24"/>
        </w:rPr>
      </w:pPr>
    </w:p>
    <w:p>
      <w:pPr>
        <w:spacing w:line="520" w:lineRule="exact"/>
        <w:jc w:val="center"/>
        <w:rPr>
          <w:rFonts w:hAnsi="宋体"/>
          <w:b/>
          <w:color w:val="000000" w:themeColor="text1"/>
          <w:sz w:val="24"/>
        </w:rPr>
      </w:pPr>
    </w:p>
    <w:p>
      <w:pPr>
        <w:spacing w:line="520" w:lineRule="exact"/>
        <w:jc w:val="center"/>
        <w:rPr>
          <w:rFonts w:hAnsi="宋体"/>
          <w:b/>
          <w:color w:val="000000" w:themeColor="text1"/>
          <w:sz w:val="24"/>
        </w:rPr>
      </w:pPr>
    </w:p>
    <w:p>
      <w:pPr>
        <w:spacing w:line="520" w:lineRule="exact"/>
        <w:jc w:val="center"/>
        <w:rPr>
          <w:rFonts w:hAnsi="宋体"/>
          <w:b/>
          <w:color w:val="000000" w:themeColor="text1"/>
          <w:sz w:val="24"/>
        </w:rPr>
      </w:pPr>
    </w:p>
    <w:p>
      <w:pPr>
        <w:spacing w:line="520" w:lineRule="exact"/>
        <w:jc w:val="center"/>
        <w:rPr>
          <w:rFonts w:hAnsi="宋体"/>
          <w:b/>
          <w:color w:val="000000" w:themeColor="text1"/>
          <w:sz w:val="24"/>
        </w:rPr>
      </w:pPr>
    </w:p>
    <w:p>
      <w:pPr>
        <w:spacing w:line="520" w:lineRule="exact"/>
        <w:jc w:val="center"/>
        <w:rPr>
          <w:rFonts w:hAnsi="宋体"/>
          <w:b/>
          <w:color w:val="000000" w:themeColor="text1"/>
          <w:sz w:val="24"/>
        </w:rPr>
      </w:pPr>
    </w:p>
    <w:p>
      <w:pPr>
        <w:spacing w:line="520" w:lineRule="exact"/>
        <w:jc w:val="center"/>
        <w:rPr>
          <w:rFonts w:hAnsi="宋体"/>
          <w:b/>
          <w:color w:val="000000" w:themeColor="text1"/>
          <w:sz w:val="24"/>
        </w:rPr>
      </w:pPr>
    </w:p>
    <w:p>
      <w:pPr>
        <w:spacing w:line="520" w:lineRule="exact"/>
        <w:rPr>
          <w:rFonts w:hAnsi="宋体"/>
          <w:b/>
          <w:color w:val="000000" w:themeColor="text1"/>
          <w:sz w:val="24"/>
        </w:rPr>
      </w:pPr>
    </w:p>
    <w:p>
      <w:pPr>
        <w:spacing w:line="520" w:lineRule="exact"/>
        <w:jc w:val="center"/>
        <w:rPr>
          <w:rFonts w:hAnsi="宋体"/>
          <w:b/>
          <w:color w:val="000000" w:themeColor="text1"/>
          <w:sz w:val="24"/>
        </w:rPr>
        <w:sectPr>
          <w:pgSz w:w="11906" w:h="16838"/>
          <w:pgMar w:top="1440" w:right="1800" w:bottom="1440" w:left="1800" w:header="851" w:footer="992" w:gutter="0"/>
          <w:cols w:space="425" w:num="1"/>
          <w:docGrid w:type="lines" w:linePitch="312" w:charSpace="0"/>
        </w:sectPr>
      </w:pPr>
    </w:p>
    <w:p>
      <w:pPr>
        <w:spacing w:line="520" w:lineRule="exact"/>
        <w:jc w:val="center"/>
        <w:rPr>
          <w:rFonts w:hAnsi="宋体"/>
          <w:b/>
          <w:color w:val="000000" w:themeColor="text1"/>
          <w:sz w:val="24"/>
        </w:rPr>
      </w:pPr>
      <w:r>
        <w:rPr>
          <w:rFonts w:hAnsi="宋体"/>
          <w:b/>
          <w:color w:val="000000" w:themeColor="text1"/>
          <w:sz w:val="24"/>
        </w:rPr>
        <w:t>表</w:t>
      </w:r>
      <w:r>
        <w:rPr>
          <w:rFonts w:hint="eastAsia" w:ascii="Times New Roman" w:hAnsi="Times New Roman" w:cs="Times New Roman"/>
          <w:b/>
          <w:color w:val="000000" w:themeColor="text1"/>
          <w:sz w:val="24"/>
        </w:rPr>
        <w:t>5-5</w:t>
      </w:r>
      <w:r>
        <w:rPr>
          <w:b/>
          <w:color w:val="000000" w:themeColor="text1"/>
          <w:sz w:val="24"/>
        </w:rPr>
        <w:t xml:space="preserve">  </w:t>
      </w:r>
      <w:r>
        <w:rPr>
          <w:rFonts w:hAnsi="宋体"/>
          <w:b/>
          <w:color w:val="000000" w:themeColor="text1"/>
          <w:sz w:val="24"/>
        </w:rPr>
        <w:t>估算模式点源参数一览表</w:t>
      </w:r>
    </w:p>
    <w:tbl>
      <w:tblPr>
        <w:tblStyle w:val="27"/>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277"/>
        <w:gridCol w:w="1423"/>
        <w:gridCol w:w="1412"/>
        <w:gridCol w:w="1417"/>
        <w:gridCol w:w="1276"/>
        <w:gridCol w:w="1134"/>
        <w:gridCol w:w="1134"/>
        <w:gridCol w:w="1134"/>
        <w:gridCol w:w="1171"/>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5" w:hRule="atLeast"/>
        </w:trPr>
        <w:tc>
          <w:tcPr>
            <w:tcW w:w="1526" w:type="dxa"/>
            <w:vMerge w:val="restart"/>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污染源名称</w:t>
            </w:r>
          </w:p>
        </w:tc>
        <w:tc>
          <w:tcPr>
            <w:tcW w:w="1277" w:type="dxa"/>
            <w:vMerge w:val="restart"/>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污染物</w:t>
            </w:r>
          </w:p>
        </w:tc>
        <w:tc>
          <w:tcPr>
            <w:tcW w:w="2835" w:type="dxa"/>
            <w:gridSpan w:val="2"/>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坐标</w:t>
            </w:r>
          </w:p>
        </w:tc>
        <w:tc>
          <w:tcPr>
            <w:tcW w:w="1417" w:type="dxa"/>
            <w:vMerge w:val="restart"/>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排气筒底部海拔高度/m</w:t>
            </w:r>
          </w:p>
        </w:tc>
        <w:tc>
          <w:tcPr>
            <w:tcW w:w="1276" w:type="dxa"/>
            <w:vMerge w:val="restart"/>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排气筒出口内径/m</w:t>
            </w:r>
          </w:p>
        </w:tc>
        <w:tc>
          <w:tcPr>
            <w:tcW w:w="1134" w:type="dxa"/>
            <w:vMerge w:val="restart"/>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烟气流速/（m</w:t>
            </w:r>
            <w:r>
              <w:rPr>
                <w:rFonts w:hint="eastAsia" w:ascii="Times New Roman" w:hAnsi="Times New Roman" w:eastAsia="宋体" w:cs="Times New Roman"/>
                <w:color w:val="000000" w:themeColor="text1"/>
                <w:kern w:val="0"/>
                <w:szCs w:val="21"/>
                <w:vertAlign w:val="superscript"/>
              </w:rPr>
              <w:t>3</w:t>
            </w:r>
            <w:r>
              <w:rPr>
                <w:rFonts w:hint="eastAsia" w:ascii="Times New Roman" w:hAnsi="Times New Roman" w:eastAsia="宋体" w:cs="Times New Roman"/>
                <w:color w:val="000000" w:themeColor="text1"/>
                <w:kern w:val="0"/>
                <w:szCs w:val="21"/>
              </w:rPr>
              <w:t>/s）</w:t>
            </w:r>
          </w:p>
        </w:tc>
        <w:tc>
          <w:tcPr>
            <w:tcW w:w="1134" w:type="dxa"/>
            <w:vMerge w:val="restart"/>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烟气温度/℃</w:t>
            </w:r>
          </w:p>
        </w:tc>
        <w:tc>
          <w:tcPr>
            <w:tcW w:w="1134" w:type="dxa"/>
            <w:vMerge w:val="restart"/>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年排放小时数/h</w:t>
            </w:r>
          </w:p>
        </w:tc>
        <w:tc>
          <w:tcPr>
            <w:tcW w:w="1171" w:type="dxa"/>
            <w:vMerge w:val="restart"/>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排放工况</w:t>
            </w:r>
          </w:p>
        </w:tc>
        <w:tc>
          <w:tcPr>
            <w:tcW w:w="1270" w:type="dxa"/>
            <w:vMerge w:val="restart"/>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污染物排放</w:t>
            </w:r>
          </w:p>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26" w:type="dxa"/>
            <w:vMerge w:val="continue"/>
            <w:vAlign w:val="center"/>
          </w:tcPr>
          <w:p>
            <w:pPr>
              <w:spacing w:line="300" w:lineRule="exact"/>
              <w:jc w:val="center"/>
              <w:rPr>
                <w:rFonts w:ascii="Times New Roman" w:hAnsi="Times New Roman" w:eastAsia="宋体" w:cs="Times New Roman"/>
                <w:color w:val="000000" w:themeColor="text1"/>
                <w:kern w:val="0"/>
                <w:szCs w:val="21"/>
              </w:rPr>
            </w:pPr>
          </w:p>
        </w:tc>
        <w:tc>
          <w:tcPr>
            <w:tcW w:w="1277" w:type="dxa"/>
            <w:vMerge w:val="continue"/>
            <w:vAlign w:val="center"/>
          </w:tcPr>
          <w:p>
            <w:pPr>
              <w:widowControl/>
              <w:spacing w:line="240" w:lineRule="exact"/>
              <w:jc w:val="center"/>
              <w:rPr>
                <w:rFonts w:ascii="Times New Roman" w:hAnsi="Times New Roman" w:eastAsia="宋体" w:cs="Times New Roman"/>
                <w:color w:val="000000" w:themeColor="text1"/>
                <w:kern w:val="0"/>
                <w:szCs w:val="21"/>
              </w:rPr>
            </w:pPr>
          </w:p>
        </w:tc>
        <w:tc>
          <w:tcPr>
            <w:tcW w:w="1423" w:type="dxa"/>
            <w:vAlign w:val="center"/>
          </w:tcPr>
          <w:p>
            <w:pPr>
              <w:widowControl/>
              <w:spacing w:line="24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东经</w:t>
            </w:r>
          </w:p>
        </w:tc>
        <w:tc>
          <w:tcPr>
            <w:tcW w:w="1412" w:type="dxa"/>
            <w:vAlign w:val="center"/>
          </w:tcPr>
          <w:p>
            <w:pPr>
              <w:widowControl/>
              <w:spacing w:line="24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北纬</w:t>
            </w:r>
          </w:p>
        </w:tc>
        <w:tc>
          <w:tcPr>
            <w:tcW w:w="1417" w:type="dxa"/>
            <w:vMerge w:val="continue"/>
            <w:vAlign w:val="center"/>
          </w:tcPr>
          <w:p>
            <w:pPr>
              <w:spacing w:line="300" w:lineRule="exact"/>
              <w:jc w:val="center"/>
              <w:rPr>
                <w:rFonts w:ascii="Times New Roman" w:hAnsi="Times New Roman" w:eastAsia="宋体" w:cs="Times New Roman"/>
                <w:color w:val="000000" w:themeColor="text1"/>
                <w:kern w:val="0"/>
                <w:szCs w:val="21"/>
              </w:rPr>
            </w:pPr>
          </w:p>
        </w:tc>
        <w:tc>
          <w:tcPr>
            <w:tcW w:w="1276" w:type="dxa"/>
            <w:vMerge w:val="continue"/>
            <w:vAlign w:val="center"/>
          </w:tcPr>
          <w:p>
            <w:pPr>
              <w:spacing w:line="300" w:lineRule="exact"/>
              <w:jc w:val="center"/>
              <w:rPr>
                <w:rFonts w:ascii="Times New Roman" w:hAnsi="Times New Roman" w:eastAsia="宋体" w:cs="Times New Roman"/>
                <w:color w:val="000000" w:themeColor="text1"/>
                <w:kern w:val="0"/>
                <w:szCs w:val="21"/>
              </w:rPr>
            </w:pPr>
          </w:p>
        </w:tc>
        <w:tc>
          <w:tcPr>
            <w:tcW w:w="1134" w:type="dxa"/>
            <w:vMerge w:val="continue"/>
            <w:vAlign w:val="center"/>
          </w:tcPr>
          <w:p>
            <w:pPr>
              <w:spacing w:line="300" w:lineRule="exact"/>
              <w:jc w:val="center"/>
              <w:rPr>
                <w:rFonts w:ascii="Times New Roman" w:hAnsi="Times New Roman" w:eastAsia="宋体" w:cs="Times New Roman"/>
                <w:color w:val="000000" w:themeColor="text1"/>
                <w:kern w:val="0"/>
                <w:szCs w:val="21"/>
                <w:highlight w:val="yellow"/>
              </w:rPr>
            </w:pPr>
          </w:p>
        </w:tc>
        <w:tc>
          <w:tcPr>
            <w:tcW w:w="1134" w:type="dxa"/>
            <w:vMerge w:val="continue"/>
            <w:vAlign w:val="center"/>
          </w:tcPr>
          <w:p>
            <w:pPr>
              <w:spacing w:line="300" w:lineRule="exact"/>
              <w:jc w:val="center"/>
              <w:rPr>
                <w:rFonts w:ascii="Times New Roman" w:hAnsi="Times New Roman" w:eastAsia="宋体" w:cs="Times New Roman"/>
                <w:color w:val="000000" w:themeColor="text1"/>
                <w:kern w:val="0"/>
                <w:szCs w:val="21"/>
              </w:rPr>
            </w:pPr>
          </w:p>
        </w:tc>
        <w:tc>
          <w:tcPr>
            <w:tcW w:w="1134" w:type="dxa"/>
            <w:vMerge w:val="continue"/>
            <w:vAlign w:val="center"/>
          </w:tcPr>
          <w:p>
            <w:pPr>
              <w:spacing w:line="300" w:lineRule="exact"/>
              <w:jc w:val="center"/>
              <w:rPr>
                <w:rFonts w:ascii="Times New Roman" w:hAnsi="Times New Roman" w:eastAsia="宋体" w:cs="Times New Roman"/>
                <w:color w:val="000000" w:themeColor="text1"/>
                <w:kern w:val="0"/>
                <w:szCs w:val="21"/>
              </w:rPr>
            </w:pPr>
          </w:p>
        </w:tc>
        <w:tc>
          <w:tcPr>
            <w:tcW w:w="1171" w:type="dxa"/>
            <w:vMerge w:val="continue"/>
            <w:vAlign w:val="center"/>
          </w:tcPr>
          <w:p>
            <w:pPr>
              <w:spacing w:line="300" w:lineRule="exact"/>
              <w:jc w:val="center"/>
              <w:rPr>
                <w:rFonts w:ascii="Times New Roman" w:hAnsi="Times New Roman" w:eastAsia="宋体" w:cs="Times New Roman"/>
                <w:color w:val="000000" w:themeColor="text1"/>
                <w:kern w:val="0"/>
                <w:szCs w:val="21"/>
              </w:rPr>
            </w:pPr>
          </w:p>
        </w:tc>
        <w:tc>
          <w:tcPr>
            <w:tcW w:w="1270" w:type="dxa"/>
            <w:vMerge w:val="continue"/>
            <w:vAlign w:val="center"/>
          </w:tcPr>
          <w:p>
            <w:pPr>
              <w:spacing w:line="300" w:lineRule="exact"/>
              <w:jc w:val="center"/>
              <w:rPr>
                <w:rFonts w:ascii="Times New Roman" w:hAnsi="Times New Roman" w:eastAsia="宋体" w:cs="Times New Roman"/>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trPr>
        <w:tc>
          <w:tcPr>
            <w:tcW w:w="1526" w:type="dxa"/>
            <w:vMerge w:val="restart"/>
            <w:vAlign w:val="center"/>
          </w:tcPr>
          <w:p>
            <w:pPr>
              <w:spacing w:line="300" w:lineRule="exact"/>
              <w:jc w:val="center"/>
              <w:rPr>
                <w:rFonts w:ascii="Times New Roman" w:hAnsi="Times New Roman" w:eastAsia="宋体" w:cs="Times New Roman"/>
                <w:bCs/>
                <w:color w:val="000000" w:themeColor="text1"/>
                <w:kern w:val="0"/>
                <w:szCs w:val="21"/>
              </w:rPr>
            </w:pPr>
            <w:r>
              <w:rPr>
                <w:rFonts w:hint="eastAsia" w:ascii="Times New Roman" w:hAnsi="Times New Roman" w:eastAsia="宋体" w:cs="Times New Roman"/>
                <w:bCs/>
                <w:color w:val="000000" w:themeColor="text1"/>
                <w:kern w:val="0"/>
                <w:szCs w:val="21"/>
              </w:rPr>
              <w:t>污水站排气筒</w:t>
            </w:r>
          </w:p>
        </w:tc>
        <w:tc>
          <w:tcPr>
            <w:tcW w:w="1277" w:type="dxa"/>
            <w:vAlign w:val="center"/>
          </w:tcPr>
          <w:p>
            <w:pPr>
              <w:spacing w:line="300" w:lineRule="exact"/>
              <w:jc w:val="center"/>
              <w:rPr>
                <w:rFonts w:ascii="Times New Roman" w:hAnsi="Times New Roman" w:eastAsia="宋体" w:cs="Times New Roman"/>
                <w:bCs/>
                <w:color w:val="000000" w:themeColor="text1"/>
                <w:kern w:val="0"/>
                <w:szCs w:val="21"/>
              </w:rPr>
            </w:pPr>
            <w:r>
              <w:rPr>
                <w:rFonts w:hint="eastAsia" w:ascii="Times New Roman" w:hAnsi="Times New Roman" w:eastAsia="宋体" w:cs="Times New Roman"/>
                <w:bCs/>
                <w:color w:val="000000" w:themeColor="text1"/>
                <w:kern w:val="0"/>
                <w:szCs w:val="21"/>
              </w:rPr>
              <w:t>氨</w:t>
            </w:r>
          </w:p>
        </w:tc>
        <w:tc>
          <w:tcPr>
            <w:tcW w:w="1423" w:type="dxa"/>
            <w:vMerge w:val="restart"/>
            <w:vAlign w:val="center"/>
          </w:tcPr>
          <w:p>
            <w:pPr>
              <w:spacing w:line="24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kern w:val="0"/>
                <w:szCs w:val="21"/>
              </w:rPr>
              <w:t>115°</w:t>
            </w:r>
            <w:r>
              <w:rPr>
                <w:rFonts w:hint="eastAsia" w:ascii="Times New Roman" w:hAnsi="Times New Roman" w:eastAsia="宋体" w:cs="Times New Roman"/>
                <w:color w:val="000000" w:themeColor="text1"/>
                <w:kern w:val="0"/>
                <w:szCs w:val="21"/>
              </w:rPr>
              <w:t>30</w:t>
            </w:r>
            <w:r>
              <w:rPr>
                <w:rFonts w:ascii="Times New Roman" w:hAnsi="Times New Roman" w:eastAsia="宋体" w:cs="Times New Roman"/>
                <w:color w:val="000000" w:themeColor="text1"/>
                <w:kern w:val="0"/>
                <w:szCs w:val="21"/>
              </w:rPr>
              <w:t>'</w:t>
            </w:r>
            <w:r>
              <w:rPr>
                <w:rFonts w:hint="eastAsia" w:ascii="Times New Roman" w:hAnsi="Times New Roman" w:eastAsia="宋体" w:cs="Times New Roman"/>
                <w:color w:val="000000" w:themeColor="text1"/>
                <w:kern w:val="0"/>
                <w:szCs w:val="21"/>
              </w:rPr>
              <w:t>15.96</w:t>
            </w:r>
            <w:r>
              <w:rPr>
                <w:rFonts w:ascii="Times New Roman" w:hAnsi="Times New Roman" w:eastAsia="宋体" w:cs="Times New Roman"/>
                <w:color w:val="000000" w:themeColor="text1"/>
                <w:kern w:val="0"/>
                <w:szCs w:val="21"/>
              </w:rPr>
              <w:t>"</w:t>
            </w:r>
          </w:p>
        </w:tc>
        <w:tc>
          <w:tcPr>
            <w:tcW w:w="1412" w:type="dxa"/>
            <w:vMerge w:val="restart"/>
            <w:vAlign w:val="center"/>
          </w:tcPr>
          <w:p>
            <w:pPr>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38</w:t>
            </w:r>
            <w:r>
              <w:rPr>
                <w:rFonts w:ascii="Times New Roman" w:hAnsi="Times New Roman" w:eastAsia="宋体" w:cs="Times New Roman"/>
                <w:color w:val="000000" w:themeColor="text1"/>
                <w:kern w:val="0"/>
                <w:szCs w:val="21"/>
              </w:rPr>
              <w:t>°</w:t>
            </w:r>
            <w:r>
              <w:rPr>
                <w:rFonts w:hint="eastAsia" w:ascii="Times New Roman" w:hAnsi="Times New Roman" w:eastAsia="宋体" w:cs="Times New Roman"/>
                <w:color w:val="000000" w:themeColor="text1"/>
                <w:kern w:val="0"/>
                <w:szCs w:val="21"/>
              </w:rPr>
              <w:t>52</w:t>
            </w:r>
            <w:r>
              <w:rPr>
                <w:rFonts w:ascii="Times New Roman" w:hAnsi="Times New Roman" w:eastAsia="宋体" w:cs="Times New Roman"/>
                <w:color w:val="000000" w:themeColor="text1"/>
                <w:kern w:val="0"/>
                <w:szCs w:val="21"/>
              </w:rPr>
              <w:t>'</w:t>
            </w:r>
            <w:r>
              <w:rPr>
                <w:rFonts w:hint="eastAsia" w:ascii="Times New Roman" w:hAnsi="Times New Roman" w:eastAsia="宋体" w:cs="Times New Roman"/>
                <w:color w:val="000000" w:themeColor="text1"/>
                <w:kern w:val="0"/>
                <w:szCs w:val="21"/>
              </w:rPr>
              <w:t>59.92</w:t>
            </w:r>
            <w:r>
              <w:rPr>
                <w:rFonts w:ascii="Times New Roman" w:hAnsi="Times New Roman" w:eastAsia="宋体" w:cs="Times New Roman"/>
                <w:color w:val="000000" w:themeColor="text1"/>
                <w:kern w:val="0"/>
                <w:szCs w:val="21"/>
              </w:rPr>
              <w:t>"</w:t>
            </w:r>
          </w:p>
        </w:tc>
        <w:tc>
          <w:tcPr>
            <w:tcW w:w="1417" w:type="dxa"/>
            <w:vMerge w:val="restart"/>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15</w:t>
            </w:r>
          </w:p>
        </w:tc>
        <w:tc>
          <w:tcPr>
            <w:tcW w:w="1276" w:type="dxa"/>
            <w:vMerge w:val="restart"/>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0.5</w:t>
            </w:r>
          </w:p>
        </w:tc>
        <w:tc>
          <w:tcPr>
            <w:tcW w:w="1134" w:type="dxa"/>
            <w:vMerge w:val="restart"/>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14.15</w:t>
            </w:r>
          </w:p>
        </w:tc>
        <w:tc>
          <w:tcPr>
            <w:tcW w:w="1134" w:type="dxa"/>
            <w:vMerge w:val="restart"/>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20</w:t>
            </w:r>
          </w:p>
        </w:tc>
        <w:tc>
          <w:tcPr>
            <w:tcW w:w="1134" w:type="dxa"/>
            <w:vMerge w:val="restart"/>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8760</w:t>
            </w:r>
          </w:p>
        </w:tc>
        <w:tc>
          <w:tcPr>
            <w:tcW w:w="1171" w:type="dxa"/>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正常</w:t>
            </w:r>
          </w:p>
        </w:tc>
        <w:tc>
          <w:tcPr>
            <w:tcW w:w="1270" w:type="dxa"/>
            <w:vAlign w:val="center"/>
          </w:tcPr>
          <w:p>
            <w:pPr>
              <w:spacing w:line="300" w:lineRule="exact"/>
              <w:jc w:val="center"/>
              <w:rPr>
                <w:rFonts w:ascii="Times New Roman" w:hAnsi="Times New Roman" w:eastAsia="宋体" w:cs="Times New Roman"/>
                <w:bCs/>
                <w:color w:val="000000" w:themeColor="text1"/>
                <w:kern w:val="0"/>
                <w:szCs w:val="21"/>
              </w:rPr>
            </w:pPr>
            <w:r>
              <w:rPr>
                <w:rFonts w:hint="eastAsia" w:ascii="Times New Roman" w:hAnsi="Times New Roman" w:eastAsia="宋体" w:cs="Times New Roman"/>
                <w:bCs/>
                <w:color w:val="000000" w:themeColor="text1"/>
                <w:kern w:val="0"/>
                <w:szCs w:val="21"/>
              </w:rPr>
              <w:t>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26" w:type="dxa"/>
            <w:vMerge w:val="continue"/>
            <w:vAlign w:val="center"/>
          </w:tcPr>
          <w:p>
            <w:pPr>
              <w:spacing w:line="300" w:lineRule="exact"/>
              <w:jc w:val="center"/>
              <w:rPr>
                <w:rFonts w:ascii="Times New Roman" w:hAnsi="Times New Roman" w:eastAsia="宋体" w:cs="Times New Roman"/>
                <w:bCs/>
                <w:color w:val="000000" w:themeColor="text1"/>
                <w:kern w:val="0"/>
                <w:szCs w:val="21"/>
              </w:rPr>
            </w:pPr>
          </w:p>
        </w:tc>
        <w:tc>
          <w:tcPr>
            <w:tcW w:w="1277" w:type="dxa"/>
            <w:vAlign w:val="center"/>
          </w:tcPr>
          <w:p>
            <w:pPr>
              <w:spacing w:line="300" w:lineRule="exact"/>
              <w:jc w:val="center"/>
              <w:rPr>
                <w:rFonts w:ascii="Times New Roman" w:hAnsi="Times New Roman" w:eastAsia="宋体" w:cs="Times New Roman"/>
                <w:bCs/>
                <w:color w:val="000000" w:themeColor="text1"/>
                <w:kern w:val="0"/>
                <w:szCs w:val="21"/>
              </w:rPr>
            </w:pPr>
            <w:r>
              <w:rPr>
                <w:rFonts w:hint="eastAsia" w:ascii="Times New Roman" w:hAnsi="Times New Roman" w:eastAsia="宋体" w:cs="Times New Roman"/>
                <w:bCs/>
                <w:color w:val="000000" w:themeColor="text1"/>
                <w:kern w:val="0"/>
                <w:szCs w:val="21"/>
              </w:rPr>
              <w:t>硫化氢</w:t>
            </w:r>
          </w:p>
        </w:tc>
        <w:tc>
          <w:tcPr>
            <w:tcW w:w="1423" w:type="dxa"/>
            <w:vMerge w:val="continue"/>
            <w:vAlign w:val="center"/>
          </w:tcPr>
          <w:p>
            <w:pPr>
              <w:spacing w:line="240" w:lineRule="exact"/>
              <w:jc w:val="center"/>
              <w:rPr>
                <w:rFonts w:ascii="Times New Roman" w:hAnsi="Times New Roman" w:eastAsia="宋体" w:cs="Times New Roman"/>
                <w:color w:val="000000" w:themeColor="text1"/>
                <w:kern w:val="0"/>
                <w:szCs w:val="21"/>
              </w:rPr>
            </w:pPr>
          </w:p>
        </w:tc>
        <w:tc>
          <w:tcPr>
            <w:tcW w:w="1412" w:type="dxa"/>
            <w:vMerge w:val="continue"/>
            <w:vAlign w:val="center"/>
          </w:tcPr>
          <w:p>
            <w:pPr>
              <w:spacing w:line="240" w:lineRule="exact"/>
              <w:jc w:val="center"/>
              <w:rPr>
                <w:rFonts w:ascii="Times New Roman" w:hAnsi="Times New Roman" w:eastAsia="宋体" w:cs="Times New Roman"/>
                <w:color w:val="000000" w:themeColor="text1"/>
                <w:kern w:val="0"/>
                <w:szCs w:val="21"/>
              </w:rPr>
            </w:pPr>
          </w:p>
        </w:tc>
        <w:tc>
          <w:tcPr>
            <w:tcW w:w="1417" w:type="dxa"/>
            <w:vMerge w:val="continue"/>
            <w:vAlign w:val="center"/>
          </w:tcPr>
          <w:p>
            <w:pPr>
              <w:spacing w:line="300" w:lineRule="exact"/>
              <w:jc w:val="center"/>
              <w:rPr>
                <w:rFonts w:ascii="Times New Roman" w:hAnsi="Times New Roman" w:eastAsia="宋体" w:cs="Times New Roman"/>
                <w:color w:val="000000" w:themeColor="text1"/>
                <w:kern w:val="0"/>
                <w:szCs w:val="21"/>
              </w:rPr>
            </w:pPr>
          </w:p>
        </w:tc>
        <w:tc>
          <w:tcPr>
            <w:tcW w:w="1276" w:type="dxa"/>
            <w:vMerge w:val="continue"/>
            <w:vAlign w:val="center"/>
          </w:tcPr>
          <w:p>
            <w:pPr>
              <w:spacing w:line="300" w:lineRule="exact"/>
              <w:jc w:val="center"/>
              <w:rPr>
                <w:rFonts w:ascii="Times New Roman" w:hAnsi="Times New Roman" w:eastAsia="宋体" w:cs="Times New Roman"/>
                <w:color w:val="000000" w:themeColor="text1"/>
                <w:kern w:val="0"/>
                <w:szCs w:val="21"/>
              </w:rPr>
            </w:pPr>
          </w:p>
        </w:tc>
        <w:tc>
          <w:tcPr>
            <w:tcW w:w="1134" w:type="dxa"/>
            <w:vMerge w:val="continue"/>
            <w:vAlign w:val="center"/>
          </w:tcPr>
          <w:p>
            <w:pPr>
              <w:spacing w:line="300" w:lineRule="exact"/>
              <w:jc w:val="center"/>
              <w:rPr>
                <w:rFonts w:ascii="Times New Roman" w:hAnsi="Times New Roman" w:eastAsia="宋体" w:cs="Times New Roman"/>
                <w:color w:val="000000" w:themeColor="text1"/>
                <w:kern w:val="0"/>
                <w:szCs w:val="21"/>
              </w:rPr>
            </w:pPr>
          </w:p>
        </w:tc>
        <w:tc>
          <w:tcPr>
            <w:tcW w:w="1134" w:type="dxa"/>
            <w:vMerge w:val="continue"/>
            <w:vAlign w:val="center"/>
          </w:tcPr>
          <w:p>
            <w:pPr>
              <w:spacing w:line="300" w:lineRule="exact"/>
              <w:jc w:val="center"/>
              <w:rPr>
                <w:rFonts w:ascii="Times New Roman" w:hAnsi="Times New Roman" w:eastAsia="宋体" w:cs="Times New Roman"/>
                <w:color w:val="000000" w:themeColor="text1"/>
                <w:kern w:val="0"/>
                <w:szCs w:val="21"/>
              </w:rPr>
            </w:pPr>
          </w:p>
        </w:tc>
        <w:tc>
          <w:tcPr>
            <w:tcW w:w="1134" w:type="dxa"/>
            <w:vMerge w:val="continue"/>
            <w:vAlign w:val="center"/>
          </w:tcPr>
          <w:p>
            <w:pPr>
              <w:spacing w:line="300" w:lineRule="exact"/>
              <w:jc w:val="center"/>
              <w:rPr>
                <w:rFonts w:ascii="Times New Roman" w:hAnsi="Times New Roman" w:eastAsia="宋体" w:cs="Times New Roman"/>
                <w:color w:val="000000" w:themeColor="text1"/>
                <w:kern w:val="0"/>
                <w:szCs w:val="21"/>
              </w:rPr>
            </w:pPr>
          </w:p>
        </w:tc>
        <w:tc>
          <w:tcPr>
            <w:tcW w:w="1171" w:type="dxa"/>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正常</w:t>
            </w:r>
          </w:p>
        </w:tc>
        <w:tc>
          <w:tcPr>
            <w:tcW w:w="1270" w:type="dxa"/>
            <w:vAlign w:val="center"/>
          </w:tcPr>
          <w:p>
            <w:pPr>
              <w:spacing w:line="300" w:lineRule="exact"/>
              <w:jc w:val="center"/>
              <w:rPr>
                <w:rFonts w:ascii="Times New Roman" w:hAnsi="Times New Roman" w:eastAsia="宋体" w:cs="Times New Roman"/>
                <w:bCs/>
                <w:color w:val="000000" w:themeColor="text1"/>
                <w:kern w:val="0"/>
                <w:szCs w:val="21"/>
              </w:rPr>
            </w:pPr>
            <w:r>
              <w:rPr>
                <w:rFonts w:hint="eastAsia" w:ascii="Times New Roman" w:hAnsi="Times New Roman" w:eastAsia="宋体" w:cs="Times New Roman"/>
                <w:bCs/>
                <w:color w:val="000000" w:themeColor="text1"/>
                <w:kern w:val="0"/>
                <w:szCs w:val="21"/>
              </w:rPr>
              <w:t>0.003</w:t>
            </w:r>
          </w:p>
        </w:tc>
      </w:tr>
    </w:tbl>
    <w:p>
      <w:pPr>
        <w:spacing w:line="520" w:lineRule="exact"/>
        <w:jc w:val="center"/>
        <w:rPr>
          <w:rFonts w:hAnsi="宋体"/>
          <w:b/>
          <w:color w:val="000000" w:themeColor="text1"/>
          <w:sz w:val="24"/>
        </w:rPr>
      </w:pPr>
      <w:r>
        <w:rPr>
          <w:rFonts w:hAnsi="宋体"/>
          <w:b/>
          <w:color w:val="000000" w:themeColor="text1"/>
          <w:sz w:val="24"/>
        </w:rPr>
        <w:t>表</w:t>
      </w:r>
      <w:r>
        <w:rPr>
          <w:rFonts w:hint="eastAsia" w:ascii="Times New Roman" w:hAnsi="Times New Roman" w:cs="Times New Roman"/>
          <w:b/>
          <w:color w:val="000000" w:themeColor="text1"/>
          <w:sz w:val="24"/>
        </w:rPr>
        <w:t>5-6</w:t>
      </w:r>
      <w:r>
        <w:rPr>
          <w:b/>
          <w:color w:val="000000" w:themeColor="text1"/>
          <w:sz w:val="24"/>
        </w:rPr>
        <w:t xml:space="preserve">  </w:t>
      </w:r>
      <w:r>
        <w:rPr>
          <w:rFonts w:hAnsi="宋体"/>
          <w:b/>
          <w:color w:val="000000" w:themeColor="text1"/>
          <w:sz w:val="24"/>
        </w:rPr>
        <w:t>估算模式</w:t>
      </w:r>
      <w:r>
        <w:rPr>
          <w:rFonts w:hint="eastAsia" w:hAnsi="宋体"/>
          <w:b/>
          <w:color w:val="000000" w:themeColor="text1"/>
          <w:sz w:val="24"/>
        </w:rPr>
        <w:t>面</w:t>
      </w:r>
      <w:r>
        <w:rPr>
          <w:rFonts w:hAnsi="宋体"/>
          <w:b/>
          <w:color w:val="000000" w:themeColor="text1"/>
          <w:sz w:val="24"/>
        </w:rPr>
        <w:t>源参数一览表</w:t>
      </w:r>
    </w:p>
    <w:tbl>
      <w:tblPr>
        <w:tblStyle w:val="27"/>
        <w:tblW w:w="14174"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59"/>
        <w:gridCol w:w="1985"/>
        <w:gridCol w:w="1562"/>
        <w:gridCol w:w="1556"/>
        <w:gridCol w:w="1417"/>
        <w:gridCol w:w="850"/>
        <w:gridCol w:w="850"/>
        <w:gridCol w:w="1276"/>
        <w:gridCol w:w="833"/>
        <w:gridCol w:w="2095"/>
        <w:gridCol w:w="79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959" w:type="dxa"/>
            <w:vMerge w:val="restart"/>
            <w:tcBorders>
              <w:top w:val="single" w:color="auto" w:sz="6" w:space="0"/>
              <w:left w:val="single" w:color="auto" w:sz="6" w:space="0"/>
              <w:bottom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污染源名称</w:t>
            </w:r>
          </w:p>
        </w:tc>
        <w:tc>
          <w:tcPr>
            <w:tcW w:w="1985" w:type="dxa"/>
            <w:vMerge w:val="restart"/>
            <w:tcBorders>
              <w:top w:val="single" w:color="auto" w:sz="6" w:space="0"/>
              <w:left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污染物</w:t>
            </w:r>
          </w:p>
        </w:tc>
        <w:tc>
          <w:tcPr>
            <w:tcW w:w="3118" w:type="dxa"/>
            <w:gridSpan w:val="2"/>
            <w:tcBorders>
              <w:top w:val="single" w:color="auto" w:sz="6" w:space="0"/>
              <w:left w:val="single" w:color="auto" w:sz="6" w:space="0"/>
              <w:bottom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坐标</w:t>
            </w:r>
          </w:p>
        </w:tc>
        <w:tc>
          <w:tcPr>
            <w:tcW w:w="1417" w:type="dxa"/>
            <w:vMerge w:val="restart"/>
            <w:tcBorders>
              <w:top w:val="single" w:color="auto" w:sz="6" w:space="0"/>
              <w:left w:val="single" w:color="auto" w:sz="6" w:space="0"/>
              <w:bottom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海拔高度</w:t>
            </w:r>
            <w:r>
              <w:rPr>
                <w:rFonts w:ascii="Times New Roman" w:hAnsi="Times New Roman" w:eastAsia="宋体" w:cs="Times New Roman"/>
                <w:color w:val="000000" w:themeColor="text1"/>
                <w:kern w:val="0"/>
                <w:szCs w:val="21"/>
              </w:rPr>
              <w:t>/m</w:t>
            </w:r>
          </w:p>
        </w:tc>
        <w:tc>
          <w:tcPr>
            <w:tcW w:w="3809" w:type="dxa"/>
            <w:gridSpan w:val="4"/>
            <w:tcBorders>
              <w:top w:val="single" w:color="auto" w:sz="6" w:space="0"/>
              <w:left w:val="single" w:color="auto" w:sz="6" w:space="0"/>
              <w:bottom w:val="single" w:color="auto" w:sz="6" w:space="0"/>
              <w:right w:val="single" w:color="auto" w:sz="6" w:space="0"/>
            </w:tcBorders>
            <w:vAlign w:val="center"/>
          </w:tcPr>
          <w:p>
            <w:pPr>
              <w:snapToGrid w:val="0"/>
              <w:spacing w:line="240" w:lineRule="exact"/>
              <w:ind w:firstLine="422"/>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矩形面源</w:t>
            </w:r>
          </w:p>
        </w:tc>
        <w:tc>
          <w:tcPr>
            <w:tcW w:w="2095" w:type="dxa"/>
            <w:vMerge w:val="restart"/>
            <w:tcBorders>
              <w:top w:val="single" w:color="auto" w:sz="6" w:space="0"/>
              <w:left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污染物排放</w:t>
            </w:r>
          </w:p>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速率</w:t>
            </w:r>
          </w:p>
        </w:tc>
        <w:tc>
          <w:tcPr>
            <w:tcW w:w="791" w:type="dxa"/>
            <w:vMerge w:val="restart"/>
            <w:tcBorders>
              <w:top w:val="single" w:color="auto" w:sz="6" w:space="0"/>
              <w:left w:val="single" w:color="auto" w:sz="6" w:space="0"/>
              <w:bottom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单位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959" w:type="dxa"/>
            <w:vMerge w:val="continue"/>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宋体" w:cs="Times New Roman"/>
                <w:color w:val="000000" w:themeColor="text1"/>
                <w:szCs w:val="21"/>
              </w:rPr>
            </w:pPr>
          </w:p>
        </w:tc>
        <w:tc>
          <w:tcPr>
            <w:tcW w:w="1985" w:type="dxa"/>
            <w:vMerge w:val="continue"/>
            <w:tcBorders>
              <w:left w:val="single" w:color="auto" w:sz="6" w:space="0"/>
              <w:bottom w:val="single" w:color="auto" w:sz="6" w:space="0"/>
              <w:right w:val="single" w:color="auto" w:sz="6" w:space="0"/>
            </w:tcBorders>
            <w:vAlign w:val="center"/>
          </w:tcPr>
          <w:p>
            <w:pPr>
              <w:widowControl/>
              <w:spacing w:line="240" w:lineRule="exact"/>
              <w:jc w:val="center"/>
              <w:rPr>
                <w:rFonts w:ascii="Times New Roman" w:hAnsi="Times New Roman" w:eastAsia="宋体" w:cs="Times New Roman"/>
                <w:color w:val="000000" w:themeColor="text1"/>
                <w:kern w:val="0"/>
                <w:szCs w:val="21"/>
              </w:rPr>
            </w:pPr>
          </w:p>
        </w:tc>
        <w:tc>
          <w:tcPr>
            <w:tcW w:w="1562"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东经</w:t>
            </w:r>
          </w:p>
        </w:tc>
        <w:tc>
          <w:tcPr>
            <w:tcW w:w="1556"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北纬</w:t>
            </w:r>
          </w:p>
        </w:tc>
        <w:tc>
          <w:tcPr>
            <w:tcW w:w="1417" w:type="dxa"/>
            <w:vMerge w:val="continue"/>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宋体" w:cs="Times New Roman"/>
                <w:color w:val="000000" w:themeColor="text1"/>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长度</w:t>
            </w:r>
          </w:p>
        </w:tc>
        <w:tc>
          <w:tcPr>
            <w:tcW w:w="850" w:type="dxa"/>
            <w:tcBorders>
              <w:top w:val="single" w:color="auto" w:sz="6" w:space="0"/>
              <w:left w:val="single" w:color="auto" w:sz="6" w:space="0"/>
              <w:bottom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宽度</w:t>
            </w:r>
          </w:p>
        </w:tc>
        <w:tc>
          <w:tcPr>
            <w:tcW w:w="1276" w:type="dxa"/>
            <w:tcBorders>
              <w:top w:val="single" w:color="auto" w:sz="6" w:space="0"/>
              <w:left w:val="single" w:color="auto" w:sz="6" w:space="0"/>
              <w:bottom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与正北向夹角</w:t>
            </w:r>
            <w:r>
              <w:rPr>
                <w:rFonts w:ascii="Times New Roman" w:hAnsi="Times New Roman" w:eastAsia="宋体" w:cs="Times New Roman"/>
                <w:color w:val="000000" w:themeColor="text1"/>
                <w:kern w:val="0"/>
                <w:szCs w:val="21"/>
              </w:rPr>
              <w:t>/</w:t>
            </w:r>
            <w:r>
              <w:rPr>
                <w:rFonts w:hint="eastAsia" w:ascii="Times New Roman" w:hAnsi="Times New Roman" w:eastAsia="宋体" w:cs="Times New Roman"/>
                <w:color w:val="000000" w:themeColor="text1"/>
                <w:kern w:val="0"/>
                <w:szCs w:val="21"/>
              </w:rPr>
              <w:t>°</w:t>
            </w:r>
          </w:p>
        </w:tc>
        <w:tc>
          <w:tcPr>
            <w:tcW w:w="833" w:type="dxa"/>
            <w:tcBorders>
              <w:top w:val="single" w:color="auto" w:sz="6" w:space="0"/>
              <w:left w:val="single" w:color="auto" w:sz="6" w:space="0"/>
              <w:bottom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有效</w:t>
            </w:r>
          </w:p>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高度</w:t>
            </w:r>
          </w:p>
        </w:tc>
        <w:tc>
          <w:tcPr>
            <w:tcW w:w="2095" w:type="dxa"/>
            <w:vMerge w:val="continue"/>
            <w:tcBorders>
              <w:left w:val="single" w:color="auto" w:sz="6" w:space="0"/>
              <w:bottom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bCs/>
                <w:color w:val="000000" w:themeColor="text1"/>
                <w:szCs w:val="21"/>
              </w:rPr>
            </w:pPr>
          </w:p>
        </w:tc>
        <w:tc>
          <w:tcPr>
            <w:tcW w:w="791" w:type="dxa"/>
            <w:vMerge w:val="continue"/>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宋体" w:cs="Times New Roman"/>
                <w:color w:val="000000" w:themeColor="text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959" w:type="dxa"/>
            <w:vMerge w:val="restart"/>
            <w:tcBorders>
              <w:top w:val="single" w:color="auto" w:sz="6" w:space="0"/>
              <w:left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厂区</w:t>
            </w:r>
          </w:p>
        </w:tc>
        <w:tc>
          <w:tcPr>
            <w:tcW w:w="1985" w:type="dxa"/>
            <w:tcBorders>
              <w:top w:val="single" w:color="auto" w:sz="6" w:space="0"/>
              <w:left w:val="single" w:color="auto" w:sz="6" w:space="0"/>
              <w:right w:val="single" w:color="auto" w:sz="6" w:space="0"/>
            </w:tcBorders>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bCs/>
                <w:color w:val="000000" w:themeColor="text1"/>
                <w:kern w:val="0"/>
                <w:szCs w:val="21"/>
              </w:rPr>
              <w:t>氨</w:t>
            </w:r>
          </w:p>
        </w:tc>
        <w:tc>
          <w:tcPr>
            <w:tcW w:w="1562" w:type="dxa"/>
            <w:vMerge w:val="restart"/>
            <w:tcBorders>
              <w:top w:val="single" w:color="auto" w:sz="6" w:space="0"/>
              <w:left w:val="single" w:color="auto" w:sz="6" w:space="0"/>
              <w:right w:val="single" w:color="auto" w:sz="6" w:space="0"/>
            </w:tcBorders>
            <w:vAlign w:val="center"/>
          </w:tcPr>
          <w:p>
            <w:pPr>
              <w:spacing w:line="24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kern w:val="0"/>
                <w:szCs w:val="21"/>
              </w:rPr>
              <w:t>115°</w:t>
            </w:r>
            <w:r>
              <w:rPr>
                <w:rFonts w:hint="eastAsia" w:ascii="Times New Roman" w:hAnsi="Times New Roman" w:eastAsia="宋体" w:cs="Times New Roman"/>
                <w:color w:val="000000" w:themeColor="text1"/>
                <w:kern w:val="0"/>
                <w:szCs w:val="21"/>
              </w:rPr>
              <w:t>30</w:t>
            </w:r>
            <w:r>
              <w:rPr>
                <w:rFonts w:ascii="Times New Roman" w:hAnsi="Times New Roman" w:eastAsia="宋体" w:cs="Times New Roman"/>
                <w:color w:val="000000" w:themeColor="text1"/>
                <w:kern w:val="0"/>
                <w:szCs w:val="21"/>
              </w:rPr>
              <w:t>'</w:t>
            </w:r>
            <w:r>
              <w:rPr>
                <w:rFonts w:hint="eastAsia" w:ascii="Times New Roman" w:hAnsi="Times New Roman" w:eastAsia="宋体" w:cs="Times New Roman"/>
                <w:color w:val="000000" w:themeColor="text1"/>
                <w:kern w:val="0"/>
                <w:szCs w:val="21"/>
              </w:rPr>
              <w:t>15.96</w:t>
            </w:r>
            <w:r>
              <w:rPr>
                <w:rFonts w:ascii="Times New Roman" w:hAnsi="Times New Roman" w:eastAsia="宋体" w:cs="Times New Roman"/>
                <w:color w:val="000000" w:themeColor="text1"/>
                <w:kern w:val="0"/>
                <w:szCs w:val="21"/>
              </w:rPr>
              <w:t>"</w:t>
            </w:r>
          </w:p>
        </w:tc>
        <w:tc>
          <w:tcPr>
            <w:tcW w:w="1556" w:type="dxa"/>
            <w:vMerge w:val="restart"/>
            <w:tcBorders>
              <w:top w:val="single" w:color="auto" w:sz="6" w:space="0"/>
              <w:left w:val="single" w:color="auto" w:sz="6" w:space="0"/>
              <w:right w:val="single" w:color="auto" w:sz="6" w:space="0"/>
            </w:tcBorders>
            <w:vAlign w:val="center"/>
          </w:tcPr>
          <w:p>
            <w:pPr>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38</w:t>
            </w:r>
            <w:r>
              <w:rPr>
                <w:rFonts w:ascii="Times New Roman" w:hAnsi="Times New Roman" w:eastAsia="宋体" w:cs="Times New Roman"/>
                <w:color w:val="000000" w:themeColor="text1"/>
                <w:kern w:val="0"/>
                <w:szCs w:val="21"/>
              </w:rPr>
              <w:t>°</w:t>
            </w:r>
            <w:r>
              <w:rPr>
                <w:rFonts w:hint="eastAsia" w:ascii="Times New Roman" w:hAnsi="Times New Roman" w:eastAsia="宋体" w:cs="Times New Roman"/>
                <w:color w:val="000000" w:themeColor="text1"/>
                <w:kern w:val="0"/>
                <w:szCs w:val="21"/>
              </w:rPr>
              <w:t>52</w:t>
            </w:r>
            <w:r>
              <w:rPr>
                <w:rFonts w:ascii="Times New Roman" w:hAnsi="Times New Roman" w:eastAsia="宋体" w:cs="Times New Roman"/>
                <w:color w:val="000000" w:themeColor="text1"/>
                <w:kern w:val="0"/>
                <w:szCs w:val="21"/>
              </w:rPr>
              <w:t>'</w:t>
            </w:r>
            <w:r>
              <w:rPr>
                <w:rFonts w:hint="eastAsia" w:ascii="Times New Roman" w:hAnsi="Times New Roman" w:eastAsia="宋体" w:cs="Times New Roman"/>
                <w:color w:val="000000" w:themeColor="text1"/>
                <w:kern w:val="0"/>
                <w:szCs w:val="21"/>
              </w:rPr>
              <w:t>59.92</w:t>
            </w:r>
            <w:r>
              <w:rPr>
                <w:rFonts w:ascii="Times New Roman" w:hAnsi="Times New Roman" w:eastAsia="宋体" w:cs="Times New Roman"/>
                <w:color w:val="000000" w:themeColor="text1"/>
                <w:kern w:val="0"/>
                <w:szCs w:val="21"/>
              </w:rPr>
              <w:t>"</w:t>
            </w:r>
          </w:p>
        </w:tc>
        <w:tc>
          <w:tcPr>
            <w:tcW w:w="1417" w:type="dxa"/>
            <w:vMerge w:val="restart"/>
            <w:tcBorders>
              <w:top w:val="single" w:color="auto" w:sz="6" w:space="0"/>
              <w:left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23.266</w:t>
            </w:r>
          </w:p>
        </w:tc>
        <w:tc>
          <w:tcPr>
            <w:tcW w:w="850" w:type="dxa"/>
            <w:vMerge w:val="restart"/>
            <w:tcBorders>
              <w:top w:val="single" w:color="auto" w:sz="6" w:space="0"/>
              <w:left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48</w:t>
            </w:r>
          </w:p>
        </w:tc>
        <w:tc>
          <w:tcPr>
            <w:tcW w:w="850" w:type="dxa"/>
            <w:vMerge w:val="restart"/>
            <w:tcBorders>
              <w:top w:val="single" w:color="auto" w:sz="6" w:space="0"/>
              <w:left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20</w:t>
            </w:r>
          </w:p>
        </w:tc>
        <w:tc>
          <w:tcPr>
            <w:tcW w:w="1276" w:type="dxa"/>
            <w:vMerge w:val="restart"/>
            <w:tcBorders>
              <w:top w:val="single" w:color="auto" w:sz="6" w:space="0"/>
              <w:left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kern w:val="0"/>
                <w:szCs w:val="21"/>
              </w:rPr>
              <w:t>110</w:t>
            </w:r>
          </w:p>
        </w:tc>
        <w:tc>
          <w:tcPr>
            <w:tcW w:w="833" w:type="dxa"/>
            <w:vMerge w:val="restart"/>
            <w:tcBorders>
              <w:top w:val="single" w:color="auto" w:sz="6" w:space="0"/>
              <w:left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3.0</w:t>
            </w:r>
          </w:p>
        </w:tc>
        <w:tc>
          <w:tcPr>
            <w:tcW w:w="2095" w:type="dxa"/>
            <w:tcBorders>
              <w:top w:val="single" w:color="auto" w:sz="6" w:space="0"/>
              <w:left w:val="single" w:color="auto" w:sz="6" w:space="0"/>
              <w:right w:val="single" w:color="auto" w:sz="6" w:space="0"/>
            </w:tcBorders>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0.013</w:t>
            </w:r>
          </w:p>
        </w:tc>
        <w:tc>
          <w:tcPr>
            <w:tcW w:w="791" w:type="dxa"/>
            <w:tcBorders>
              <w:top w:val="single" w:color="auto" w:sz="6" w:space="0"/>
              <w:left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kern w:val="0"/>
                <w:szCs w:val="21"/>
              </w:rPr>
              <w:t>kg/h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959" w:type="dxa"/>
            <w:vMerge w:val="continue"/>
            <w:tcBorders>
              <w:left w:val="single" w:color="auto" w:sz="6" w:space="0"/>
              <w:bottom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kern w:val="0"/>
                <w:szCs w:val="21"/>
              </w:rPr>
            </w:pPr>
          </w:p>
        </w:tc>
        <w:tc>
          <w:tcPr>
            <w:tcW w:w="1985"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bCs/>
                <w:color w:val="000000" w:themeColor="text1"/>
                <w:kern w:val="0"/>
                <w:szCs w:val="21"/>
              </w:rPr>
              <w:t>硫化氢</w:t>
            </w:r>
          </w:p>
        </w:tc>
        <w:tc>
          <w:tcPr>
            <w:tcW w:w="1562" w:type="dxa"/>
            <w:vMerge w:val="continue"/>
            <w:tcBorders>
              <w:left w:val="single" w:color="auto" w:sz="6" w:space="0"/>
              <w:bottom w:val="single" w:color="auto" w:sz="6" w:space="0"/>
              <w:right w:val="single" w:color="auto" w:sz="6" w:space="0"/>
            </w:tcBorders>
            <w:vAlign w:val="center"/>
          </w:tcPr>
          <w:p>
            <w:pPr>
              <w:spacing w:line="240" w:lineRule="exact"/>
              <w:jc w:val="center"/>
              <w:rPr>
                <w:rFonts w:ascii="Times New Roman" w:hAnsi="Times New Roman" w:eastAsia="宋体" w:cs="Times New Roman"/>
                <w:color w:val="000000" w:themeColor="text1"/>
                <w:kern w:val="0"/>
                <w:szCs w:val="21"/>
              </w:rPr>
            </w:pPr>
          </w:p>
        </w:tc>
        <w:tc>
          <w:tcPr>
            <w:tcW w:w="1556" w:type="dxa"/>
            <w:vMerge w:val="continue"/>
            <w:tcBorders>
              <w:left w:val="single" w:color="auto" w:sz="6" w:space="0"/>
              <w:bottom w:val="single" w:color="auto" w:sz="6" w:space="0"/>
              <w:right w:val="single" w:color="auto" w:sz="6" w:space="0"/>
            </w:tcBorders>
            <w:vAlign w:val="center"/>
          </w:tcPr>
          <w:p>
            <w:pPr>
              <w:spacing w:line="240" w:lineRule="exact"/>
              <w:jc w:val="center"/>
              <w:rPr>
                <w:rFonts w:ascii="Times New Roman" w:hAnsi="Times New Roman" w:eastAsia="宋体" w:cs="Times New Roman"/>
                <w:color w:val="000000" w:themeColor="text1"/>
                <w:kern w:val="0"/>
                <w:szCs w:val="21"/>
              </w:rPr>
            </w:pPr>
          </w:p>
        </w:tc>
        <w:tc>
          <w:tcPr>
            <w:tcW w:w="1417" w:type="dxa"/>
            <w:vMerge w:val="continue"/>
            <w:tcBorders>
              <w:left w:val="single" w:color="auto" w:sz="6" w:space="0"/>
              <w:bottom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kern w:val="0"/>
                <w:szCs w:val="21"/>
              </w:rPr>
            </w:pPr>
          </w:p>
        </w:tc>
        <w:tc>
          <w:tcPr>
            <w:tcW w:w="850" w:type="dxa"/>
            <w:vMerge w:val="continue"/>
            <w:tcBorders>
              <w:left w:val="single" w:color="auto" w:sz="6" w:space="0"/>
              <w:bottom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kern w:val="0"/>
                <w:szCs w:val="21"/>
              </w:rPr>
            </w:pPr>
          </w:p>
        </w:tc>
        <w:tc>
          <w:tcPr>
            <w:tcW w:w="850" w:type="dxa"/>
            <w:vMerge w:val="continue"/>
            <w:tcBorders>
              <w:left w:val="single" w:color="auto" w:sz="6" w:space="0"/>
              <w:bottom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kern w:val="0"/>
                <w:szCs w:val="21"/>
              </w:rPr>
            </w:pPr>
          </w:p>
        </w:tc>
        <w:tc>
          <w:tcPr>
            <w:tcW w:w="1276" w:type="dxa"/>
            <w:vMerge w:val="continue"/>
            <w:tcBorders>
              <w:left w:val="single" w:color="auto" w:sz="6" w:space="0"/>
              <w:bottom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kern w:val="0"/>
                <w:szCs w:val="21"/>
              </w:rPr>
            </w:pPr>
          </w:p>
        </w:tc>
        <w:tc>
          <w:tcPr>
            <w:tcW w:w="833" w:type="dxa"/>
            <w:vMerge w:val="continue"/>
            <w:tcBorders>
              <w:left w:val="single" w:color="auto" w:sz="6" w:space="0"/>
              <w:bottom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kern w:val="0"/>
                <w:szCs w:val="21"/>
              </w:rPr>
            </w:pPr>
          </w:p>
        </w:tc>
        <w:tc>
          <w:tcPr>
            <w:tcW w:w="2095"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0.0006</w:t>
            </w:r>
          </w:p>
        </w:tc>
        <w:tc>
          <w:tcPr>
            <w:tcW w:w="791" w:type="dxa"/>
            <w:tcBorders>
              <w:top w:val="single" w:color="auto" w:sz="6" w:space="0"/>
              <w:left w:val="single" w:color="auto" w:sz="6" w:space="0"/>
              <w:bottom w:val="single" w:color="auto" w:sz="6" w:space="0"/>
              <w:right w:val="single" w:color="auto" w:sz="6" w:space="0"/>
            </w:tcBorders>
            <w:vAlign w:val="center"/>
          </w:tcPr>
          <w:p>
            <w:pPr>
              <w:snapToGrid w:val="0"/>
              <w:spacing w:line="240" w:lineRule="exact"/>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kg/h</w:t>
            </w:r>
          </w:p>
        </w:tc>
      </w:tr>
    </w:tbl>
    <w:p>
      <w:pPr>
        <w:spacing w:line="520" w:lineRule="exact"/>
        <w:jc w:val="center"/>
        <w:rPr>
          <w:rFonts w:hAnsi="宋体"/>
          <w:b/>
          <w:color w:val="000000" w:themeColor="text1"/>
          <w:sz w:val="24"/>
        </w:rPr>
      </w:pPr>
    </w:p>
    <w:p>
      <w:pPr>
        <w:spacing w:line="520" w:lineRule="exact"/>
        <w:jc w:val="center"/>
        <w:rPr>
          <w:b/>
          <w:color w:val="000000" w:themeColor="text1"/>
          <w:sz w:val="24"/>
        </w:rPr>
      </w:pPr>
    </w:p>
    <w:p>
      <w:pPr>
        <w:spacing w:line="340" w:lineRule="exact"/>
        <w:jc w:val="center"/>
        <w:rPr>
          <w:rFonts w:ascii="Times New Roman" w:hAnsi="Times New Roman" w:cs="Times New Roman"/>
          <w:color w:val="000000" w:themeColor="text1"/>
          <w:szCs w:val="21"/>
        </w:rPr>
        <w:sectPr>
          <w:pgSz w:w="16838" w:h="11906" w:orient="landscape"/>
          <w:pgMar w:top="1797" w:right="1440" w:bottom="1797" w:left="1440" w:header="851" w:footer="992" w:gutter="0"/>
          <w:cols w:space="425" w:num="1"/>
          <w:docGrid w:type="linesAndChars" w:linePitch="312" w:charSpace="0"/>
        </w:sectPr>
      </w:pPr>
    </w:p>
    <w:p>
      <w:pPr>
        <w:spacing w:line="480" w:lineRule="exact"/>
        <w:ind w:firstLine="422" w:firstLineChars="176"/>
        <w:rPr>
          <w:rFonts w:ascii="Times New Roman" w:hAnsi="Times New Roman" w:eastAsia="宋体" w:cs="Times New Roman"/>
          <w:color w:val="000000" w:themeColor="text1"/>
          <w:kern w:val="0"/>
          <w:sz w:val="24"/>
          <w:szCs w:val="24"/>
        </w:rPr>
      </w:pPr>
      <w:r>
        <w:rPr>
          <w:rFonts w:hint="eastAsia" w:ascii="Times New Roman" w:hAnsi="Times New Roman" w:eastAsia="宋体" w:cs="Times New Roman"/>
          <w:color w:val="000000" w:themeColor="text1"/>
          <w:kern w:val="0"/>
          <w:sz w:val="24"/>
          <w:szCs w:val="24"/>
        </w:rPr>
        <w:t>估算模型所用参数见表5-7。</w:t>
      </w:r>
    </w:p>
    <w:p>
      <w:pPr>
        <w:tabs>
          <w:tab w:val="left" w:pos="420"/>
        </w:tabs>
        <w:spacing w:line="340" w:lineRule="exact"/>
        <w:jc w:val="center"/>
        <w:rPr>
          <w:rFonts w:ascii="Times New Roman" w:hAnsi="Times New Roman" w:eastAsia="宋体" w:cs="Times New Roman"/>
          <w:b/>
          <w:color w:val="000000" w:themeColor="text1"/>
          <w:kern w:val="0"/>
          <w:sz w:val="24"/>
          <w:szCs w:val="24"/>
        </w:rPr>
      </w:pPr>
      <w:r>
        <w:rPr>
          <w:rFonts w:ascii="Times New Roman" w:hAnsi="宋体" w:eastAsia="宋体" w:cs="Times New Roman"/>
          <w:b/>
          <w:color w:val="000000" w:themeColor="text1"/>
          <w:kern w:val="0"/>
          <w:sz w:val="24"/>
          <w:szCs w:val="24"/>
        </w:rPr>
        <w:t>表</w:t>
      </w:r>
      <w:r>
        <w:rPr>
          <w:rFonts w:hint="eastAsia" w:ascii="Times New Roman" w:hAnsi="Times New Roman" w:eastAsia="宋体" w:cs="Times New Roman"/>
          <w:b/>
          <w:color w:val="000000" w:themeColor="text1"/>
          <w:kern w:val="0"/>
          <w:sz w:val="24"/>
          <w:szCs w:val="24"/>
        </w:rPr>
        <w:t>5-7</w:t>
      </w:r>
      <w:r>
        <w:rPr>
          <w:rFonts w:ascii="Times New Roman" w:hAnsi="Times New Roman" w:eastAsia="宋体" w:cs="Times New Roman"/>
          <w:b/>
          <w:color w:val="000000" w:themeColor="text1"/>
          <w:kern w:val="0"/>
          <w:sz w:val="24"/>
          <w:szCs w:val="24"/>
        </w:rPr>
        <w:t xml:space="preserve">  </w:t>
      </w:r>
      <w:r>
        <w:rPr>
          <w:rFonts w:ascii="Times New Roman" w:hAnsi="宋体" w:eastAsia="宋体" w:cs="Times New Roman"/>
          <w:b/>
          <w:color w:val="000000" w:themeColor="text1"/>
          <w:kern w:val="0"/>
          <w:sz w:val="24"/>
          <w:szCs w:val="24"/>
        </w:rPr>
        <w:t>估算模型参数表</w:t>
      </w:r>
    </w:p>
    <w:tbl>
      <w:tblPr>
        <w:tblStyle w:val="27"/>
        <w:tblW w:w="87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3451"/>
        <w:gridCol w:w="3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5095"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2"/>
              <w:jc w:val="center"/>
              <w:rPr>
                <w:rFonts w:ascii="Times New Roman" w:hAnsi="Times New Roman" w:eastAsia="宋体" w:cs="Times New Roman"/>
                <w:b/>
                <w:color w:val="000000" w:themeColor="text1"/>
                <w:szCs w:val="21"/>
              </w:rPr>
            </w:pPr>
            <w:r>
              <w:rPr>
                <w:rFonts w:hint="eastAsia" w:ascii="Times New Roman" w:hAnsi="Times New Roman" w:eastAsia="宋体" w:cs="Times New Roman"/>
                <w:b/>
                <w:color w:val="000000" w:themeColor="text1"/>
                <w:kern w:val="0"/>
                <w:szCs w:val="21"/>
              </w:rPr>
              <w:t>参数</w:t>
            </w:r>
          </w:p>
        </w:tc>
        <w:tc>
          <w:tcPr>
            <w:tcW w:w="3669"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2"/>
              <w:jc w:val="center"/>
              <w:rPr>
                <w:rFonts w:ascii="Times New Roman" w:hAnsi="Times New Roman" w:eastAsia="宋体" w:cs="Times New Roman"/>
                <w:b/>
                <w:color w:val="000000" w:themeColor="text1"/>
                <w:szCs w:val="21"/>
              </w:rPr>
            </w:pPr>
            <w:r>
              <w:rPr>
                <w:rFonts w:hint="eastAsia" w:ascii="Times New Roman" w:hAnsi="Times New Roman" w:eastAsia="宋体" w:cs="Times New Roman"/>
                <w:b/>
                <w:color w:val="000000" w:themeColor="text1"/>
                <w:kern w:val="0"/>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1644"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城市农村</w:t>
            </w:r>
            <w:r>
              <w:rPr>
                <w:rFonts w:ascii="Times New Roman" w:hAnsi="Times New Roman" w:eastAsia="宋体" w:cs="Times New Roman"/>
                <w:color w:val="000000" w:themeColor="text1"/>
                <w:kern w:val="0"/>
                <w:szCs w:val="21"/>
              </w:rPr>
              <w:t>/</w:t>
            </w:r>
            <w:r>
              <w:rPr>
                <w:rFonts w:hint="eastAsia" w:ascii="Times New Roman" w:hAnsi="Times New Roman" w:eastAsia="宋体" w:cs="Times New Roman"/>
                <w:color w:val="000000" w:themeColor="text1"/>
                <w:kern w:val="0"/>
                <w:szCs w:val="21"/>
              </w:rPr>
              <w:t>选项</w:t>
            </w:r>
          </w:p>
        </w:tc>
        <w:tc>
          <w:tcPr>
            <w:tcW w:w="3451"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城市</w:t>
            </w:r>
            <w:r>
              <w:rPr>
                <w:rFonts w:ascii="Times New Roman" w:hAnsi="Times New Roman" w:eastAsia="宋体" w:cs="Times New Roman"/>
                <w:color w:val="000000" w:themeColor="text1"/>
                <w:kern w:val="0"/>
                <w:szCs w:val="21"/>
              </w:rPr>
              <w:t>/</w:t>
            </w:r>
            <w:r>
              <w:rPr>
                <w:rFonts w:hint="eastAsia" w:ascii="Times New Roman" w:hAnsi="Times New Roman" w:eastAsia="宋体" w:cs="Times New Roman"/>
                <w:color w:val="000000" w:themeColor="text1"/>
                <w:kern w:val="0"/>
                <w:szCs w:val="21"/>
              </w:rPr>
              <w:t>农村</w:t>
            </w:r>
          </w:p>
        </w:tc>
        <w:tc>
          <w:tcPr>
            <w:tcW w:w="3669"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64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themeColor="text1"/>
                <w:szCs w:val="21"/>
              </w:rPr>
            </w:pPr>
          </w:p>
        </w:tc>
        <w:tc>
          <w:tcPr>
            <w:tcW w:w="3451"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人口数</w:t>
            </w:r>
            <w:r>
              <w:rPr>
                <w:rFonts w:ascii="Times New Roman" w:hAnsi="Times New Roman" w:eastAsia="宋体" w:cs="Times New Roman"/>
                <w:color w:val="000000" w:themeColor="text1"/>
                <w:kern w:val="0"/>
                <w:szCs w:val="21"/>
              </w:rPr>
              <w:t>(</w:t>
            </w:r>
            <w:r>
              <w:rPr>
                <w:rFonts w:hint="eastAsia" w:ascii="Times New Roman" w:hAnsi="Times New Roman" w:eastAsia="宋体" w:cs="Times New Roman"/>
                <w:color w:val="000000" w:themeColor="text1"/>
                <w:kern w:val="0"/>
                <w:szCs w:val="21"/>
              </w:rPr>
              <w:t>城市人口数</w:t>
            </w:r>
            <w:r>
              <w:rPr>
                <w:rFonts w:ascii="Times New Roman" w:hAnsi="Times New Roman" w:eastAsia="宋体" w:cs="Times New Roman"/>
                <w:color w:val="000000" w:themeColor="text1"/>
                <w:kern w:val="0"/>
                <w:szCs w:val="21"/>
              </w:rPr>
              <w:t>)</w:t>
            </w:r>
          </w:p>
        </w:tc>
        <w:tc>
          <w:tcPr>
            <w:tcW w:w="3669"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jc w:val="center"/>
        </w:trPr>
        <w:tc>
          <w:tcPr>
            <w:tcW w:w="5095"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最高环境温度</w:t>
            </w:r>
          </w:p>
        </w:tc>
        <w:tc>
          <w:tcPr>
            <w:tcW w:w="3669"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43</w:t>
            </w:r>
            <w:r>
              <w:rPr>
                <w:rFonts w:ascii="Times New Roman" w:hAnsi="Times New Roman" w:eastAsia="宋体" w:cs="Times New Roman"/>
                <w:color w:val="000000" w:themeColor="text1"/>
                <w:kern w:val="0"/>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5095"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最低环境温度</w:t>
            </w:r>
          </w:p>
        </w:tc>
        <w:tc>
          <w:tcPr>
            <w:tcW w:w="3669"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kern w:val="0"/>
                <w:szCs w:val="21"/>
              </w:rPr>
              <w:t>-</w:t>
            </w:r>
            <w:r>
              <w:rPr>
                <w:rFonts w:hint="eastAsia" w:ascii="Times New Roman" w:hAnsi="Times New Roman" w:eastAsia="宋体" w:cs="Times New Roman"/>
                <w:color w:val="000000" w:themeColor="text1"/>
                <w:kern w:val="0"/>
                <w:szCs w:val="21"/>
              </w:rPr>
              <w:t>12.2</w:t>
            </w:r>
            <w:r>
              <w:rPr>
                <w:rFonts w:ascii="Times New Roman" w:hAnsi="Times New Roman" w:eastAsia="宋体" w:cs="Times New Roman"/>
                <w:color w:val="000000" w:themeColor="text1"/>
                <w:kern w:val="0"/>
                <w:szCs w:val="21"/>
              </w:rPr>
              <w:t xml:space="preserve">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5095"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土地利用类型</w:t>
            </w:r>
          </w:p>
        </w:tc>
        <w:tc>
          <w:tcPr>
            <w:tcW w:w="3669"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医疗卫生设施用地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5095"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区域湿度条件</w:t>
            </w:r>
          </w:p>
        </w:tc>
        <w:tc>
          <w:tcPr>
            <w:tcW w:w="3669"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中等湿度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1644" w:type="dxa"/>
            <w:vMerge w:val="restart"/>
            <w:tcBorders>
              <w:top w:val="single" w:color="auto" w:sz="4" w:space="0"/>
              <w:left w:val="single" w:color="auto" w:sz="4" w:space="0"/>
              <w:right w:val="single" w:color="auto" w:sz="4" w:space="0"/>
            </w:tcBorders>
            <w:vAlign w:val="center"/>
          </w:tcPr>
          <w:p>
            <w:pPr>
              <w:snapToGrid w:val="0"/>
              <w:spacing w:line="240" w:lineRule="atLeas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是否考</w:t>
            </w:r>
          </w:p>
          <w:p>
            <w:pPr>
              <w:snapToGrid w:val="0"/>
              <w:spacing w:line="240" w:lineRule="atLeas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虑地形</w:t>
            </w:r>
          </w:p>
        </w:tc>
        <w:tc>
          <w:tcPr>
            <w:tcW w:w="3451"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考虑地形</w:t>
            </w:r>
          </w:p>
        </w:tc>
        <w:tc>
          <w:tcPr>
            <w:tcW w:w="3669"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1644" w:type="dxa"/>
            <w:vMerge w:val="continue"/>
            <w:tcBorders>
              <w:left w:val="single" w:color="auto" w:sz="4" w:space="0"/>
              <w:bottom w:val="single" w:color="auto" w:sz="4" w:space="0"/>
              <w:right w:val="single" w:color="auto" w:sz="4" w:space="0"/>
            </w:tcBorders>
            <w:vAlign w:val="center"/>
          </w:tcPr>
          <w:p>
            <w:pPr>
              <w:snapToGrid w:val="0"/>
              <w:spacing w:line="240" w:lineRule="atLeast"/>
              <w:jc w:val="center"/>
              <w:rPr>
                <w:rFonts w:ascii="Times New Roman" w:hAnsi="Times New Roman" w:eastAsia="宋体" w:cs="Times New Roman"/>
                <w:color w:val="000000" w:themeColor="text1"/>
                <w:kern w:val="0"/>
                <w:szCs w:val="21"/>
              </w:rPr>
            </w:pPr>
          </w:p>
        </w:tc>
        <w:tc>
          <w:tcPr>
            <w:tcW w:w="3451"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地形数据分辨率/m</w:t>
            </w:r>
          </w:p>
        </w:tc>
        <w:tc>
          <w:tcPr>
            <w:tcW w:w="3669"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1644"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是否考虑海岸线熏烟</w:t>
            </w:r>
          </w:p>
        </w:tc>
        <w:tc>
          <w:tcPr>
            <w:tcW w:w="3451"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考虑海岸线熏烟</w:t>
            </w:r>
          </w:p>
        </w:tc>
        <w:tc>
          <w:tcPr>
            <w:tcW w:w="3669"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firstLine="420"/>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否</w:t>
            </w:r>
          </w:p>
        </w:tc>
      </w:tr>
    </w:tbl>
    <w:p>
      <w:pPr>
        <w:pStyle w:val="49"/>
        <w:spacing w:line="500" w:lineRule="exact"/>
        <w:ind w:firstLine="199" w:firstLineChars="83"/>
        <w:rPr>
          <w:rFonts w:hAnsi="宋体"/>
          <w:color w:val="000000" w:themeColor="text1"/>
        </w:rPr>
      </w:pPr>
      <w:r>
        <w:rPr>
          <w:rFonts w:hint="eastAsia" w:hAnsi="宋体"/>
          <w:color w:val="000000" w:themeColor="text1"/>
        </w:rPr>
        <w:t>（5）评价等级确定</w:t>
      </w:r>
    </w:p>
    <w:p>
      <w:pPr>
        <w:spacing w:line="480" w:lineRule="exact"/>
        <w:ind w:firstLine="422" w:firstLineChars="176"/>
        <w:rPr>
          <w:rFonts w:ascii="Times New Roman" w:hAnsi="Times New Roman" w:eastAsia="宋体" w:cs="Times New Roman"/>
          <w:color w:val="000000" w:themeColor="text1"/>
          <w:kern w:val="0"/>
          <w:sz w:val="24"/>
          <w:szCs w:val="24"/>
        </w:rPr>
      </w:pPr>
      <w:r>
        <w:rPr>
          <w:rFonts w:hint="eastAsia" w:ascii="Times New Roman" w:hAnsi="Times New Roman" w:eastAsia="宋体" w:cs="Times New Roman"/>
          <w:color w:val="000000" w:themeColor="text1"/>
          <w:kern w:val="0"/>
          <w:sz w:val="24"/>
          <w:szCs w:val="24"/>
        </w:rPr>
        <w:t>本项目所有污染源的正常排放的污染物的</w:t>
      </w:r>
      <w:r>
        <w:rPr>
          <w:rFonts w:ascii="Times New Roman" w:hAnsi="Times New Roman" w:eastAsia="宋体" w:cs="Times New Roman"/>
          <w:color w:val="000000" w:themeColor="text1"/>
          <w:kern w:val="0"/>
          <w:sz w:val="24"/>
          <w:szCs w:val="24"/>
        </w:rPr>
        <w:t>P</w:t>
      </w:r>
      <w:r>
        <w:rPr>
          <w:rFonts w:ascii="Times New Roman" w:hAnsi="Times New Roman" w:eastAsia="宋体" w:cs="Times New Roman"/>
          <w:color w:val="000000" w:themeColor="text1"/>
          <w:kern w:val="0"/>
          <w:sz w:val="24"/>
          <w:szCs w:val="24"/>
          <w:vertAlign w:val="subscript"/>
        </w:rPr>
        <w:t>max</w:t>
      </w:r>
      <w:r>
        <w:rPr>
          <w:rFonts w:hint="eastAsia" w:ascii="Times New Roman" w:hAnsi="Times New Roman" w:eastAsia="宋体" w:cs="Times New Roman"/>
          <w:color w:val="000000" w:themeColor="text1"/>
          <w:kern w:val="0"/>
          <w:sz w:val="24"/>
          <w:szCs w:val="24"/>
        </w:rPr>
        <w:t>和</w:t>
      </w:r>
      <w:r>
        <w:rPr>
          <w:rFonts w:ascii="Times New Roman" w:hAnsi="Times New Roman" w:eastAsia="宋体" w:cs="Times New Roman"/>
          <w:color w:val="000000" w:themeColor="text1"/>
          <w:kern w:val="0"/>
          <w:sz w:val="24"/>
          <w:szCs w:val="24"/>
        </w:rPr>
        <w:t>D</w:t>
      </w:r>
      <w:r>
        <w:rPr>
          <w:rFonts w:ascii="Times New Roman" w:hAnsi="Times New Roman" w:eastAsia="宋体" w:cs="Times New Roman"/>
          <w:color w:val="000000" w:themeColor="text1"/>
          <w:kern w:val="0"/>
          <w:sz w:val="24"/>
          <w:szCs w:val="24"/>
          <w:vertAlign w:val="subscript"/>
        </w:rPr>
        <w:t>10%</w:t>
      </w:r>
      <w:r>
        <w:rPr>
          <w:rFonts w:hint="eastAsia" w:ascii="Times New Roman" w:hAnsi="Times New Roman" w:eastAsia="宋体" w:cs="Times New Roman"/>
          <w:color w:val="000000" w:themeColor="text1"/>
          <w:kern w:val="0"/>
          <w:sz w:val="24"/>
          <w:szCs w:val="24"/>
        </w:rPr>
        <w:t>预测结果如下：</w:t>
      </w:r>
    </w:p>
    <w:p>
      <w:pPr>
        <w:spacing w:line="480" w:lineRule="exact"/>
        <w:ind w:firstLine="424" w:firstLineChars="176"/>
        <w:jc w:val="center"/>
        <w:rPr>
          <w:rFonts w:ascii="Times New Roman" w:hAnsi="Times New Roman" w:eastAsia="宋体" w:cs="Times New Roman"/>
          <w:b/>
          <w:color w:val="000000" w:themeColor="text1"/>
          <w:kern w:val="0"/>
          <w:sz w:val="24"/>
          <w:szCs w:val="24"/>
        </w:rPr>
      </w:pPr>
      <w:r>
        <w:rPr>
          <w:rFonts w:hint="eastAsia" w:ascii="Times New Roman" w:hAnsi="Times New Roman" w:eastAsia="宋体" w:cs="Times New Roman"/>
          <w:b/>
          <w:color w:val="000000" w:themeColor="text1"/>
          <w:kern w:val="0"/>
          <w:sz w:val="24"/>
          <w:szCs w:val="24"/>
        </w:rPr>
        <w:t xml:space="preserve">表5-8  </w:t>
      </w:r>
      <w:r>
        <w:rPr>
          <w:rFonts w:ascii="Times New Roman" w:hAnsi="Times New Roman" w:eastAsia="宋体" w:cs="Times New Roman"/>
          <w:b/>
          <w:color w:val="000000" w:themeColor="text1"/>
          <w:kern w:val="0"/>
          <w:sz w:val="24"/>
          <w:szCs w:val="24"/>
        </w:rPr>
        <w:t xml:space="preserve"> P</w:t>
      </w:r>
      <w:r>
        <w:rPr>
          <w:rFonts w:ascii="Times New Roman" w:hAnsi="Times New Roman" w:eastAsia="宋体" w:cs="Times New Roman"/>
          <w:b/>
          <w:color w:val="000000" w:themeColor="text1"/>
          <w:kern w:val="0"/>
          <w:sz w:val="24"/>
          <w:szCs w:val="24"/>
          <w:vertAlign w:val="subscript"/>
        </w:rPr>
        <w:t>max</w:t>
      </w:r>
      <w:r>
        <w:rPr>
          <w:rFonts w:hint="eastAsia" w:ascii="Times New Roman" w:hAnsi="Times New Roman" w:eastAsia="宋体" w:cs="Times New Roman"/>
          <w:b/>
          <w:color w:val="000000" w:themeColor="text1"/>
          <w:kern w:val="0"/>
          <w:sz w:val="24"/>
          <w:szCs w:val="24"/>
        </w:rPr>
        <w:t>和</w:t>
      </w:r>
      <w:r>
        <w:rPr>
          <w:rFonts w:ascii="Times New Roman" w:hAnsi="Times New Roman" w:eastAsia="宋体" w:cs="Times New Roman"/>
          <w:b/>
          <w:color w:val="000000" w:themeColor="text1"/>
          <w:kern w:val="0"/>
          <w:sz w:val="24"/>
          <w:szCs w:val="24"/>
        </w:rPr>
        <w:t>D</w:t>
      </w:r>
      <w:r>
        <w:rPr>
          <w:rFonts w:ascii="Times New Roman" w:hAnsi="Times New Roman" w:eastAsia="宋体" w:cs="Times New Roman"/>
          <w:b/>
          <w:color w:val="000000" w:themeColor="text1"/>
          <w:kern w:val="0"/>
          <w:sz w:val="24"/>
          <w:szCs w:val="24"/>
          <w:vertAlign w:val="subscript"/>
        </w:rPr>
        <w:t>10%</w:t>
      </w:r>
      <w:r>
        <w:rPr>
          <w:rFonts w:hint="eastAsia" w:ascii="Times New Roman" w:hAnsi="Times New Roman" w:eastAsia="宋体" w:cs="Times New Roman"/>
          <w:b/>
          <w:color w:val="000000" w:themeColor="text1"/>
          <w:kern w:val="0"/>
          <w:sz w:val="24"/>
          <w:szCs w:val="24"/>
        </w:rPr>
        <w:t>预测和计算结果一览表</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3"/>
        <w:gridCol w:w="1517"/>
        <w:gridCol w:w="1243"/>
        <w:gridCol w:w="1657"/>
        <w:gridCol w:w="1379"/>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23"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rPr>
              <w:t>污染源名称</w:t>
            </w:r>
          </w:p>
        </w:tc>
        <w:tc>
          <w:tcPr>
            <w:tcW w:w="1517"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rPr>
              <w:t>评价因子</w:t>
            </w:r>
          </w:p>
        </w:tc>
        <w:tc>
          <w:tcPr>
            <w:tcW w:w="1243"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rPr>
              <w:t>评价标准</w:t>
            </w:r>
            <w:bookmarkStart w:id="64" w:name="_GoBack"/>
            <w:r>
              <w:rPr>
                <w:rFonts w:ascii="Times New Roman" w:hAnsi="Times New Roman" w:cs="Times New Roman"/>
                <w:color w:val="000000" w:themeColor="text1"/>
                <w:kern w:val="0"/>
                <w:szCs w:val="21"/>
                <w:highlight w:val="yellow"/>
              </w:rPr>
              <w:t>(</w:t>
            </w:r>
            <w:r>
              <w:rPr>
                <w:rFonts w:hint="eastAsia" w:ascii="Times New Roman" w:hAnsi="Times New Roman" w:cs="Times New Roman"/>
                <w:color w:val="000000" w:themeColor="text1"/>
                <w:kern w:val="0"/>
                <w:szCs w:val="21"/>
                <w:highlight w:val="yellow"/>
                <w:lang w:val="en-US" w:eastAsia="zh-CN"/>
              </w:rPr>
              <w:t>m</w:t>
            </w:r>
            <w:r>
              <w:rPr>
                <w:rFonts w:ascii="Times New Roman" w:hAnsi="Times New Roman" w:cs="Times New Roman"/>
                <w:color w:val="000000" w:themeColor="text1"/>
                <w:kern w:val="0"/>
                <w:szCs w:val="21"/>
                <w:highlight w:val="yellow"/>
              </w:rPr>
              <w:t>g/m</w:t>
            </w:r>
            <w:r>
              <w:rPr>
                <w:rFonts w:ascii="Times New Roman" w:hAnsi="Times New Roman" w:cs="Times New Roman"/>
                <w:color w:val="000000" w:themeColor="text1"/>
                <w:kern w:val="0"/>
                <w:szCs w:val="21"/>
                <w:highlight w:val="yellow"/>
                <w:vertAlign w:val="superscript"/>
              </w:rPr>
              <w:t>3</w:t>
            </w:r>
            <w:r>
              <w:rPr>
                <w:rFonts w:ascii="Times New Roman" w:hAnsi="Times New Roman" w:cs="Times New Roman"/>
                <w:color w:val="000000" w:themeColor="text1"/>
                <w:kern w:val="0"/>
                <w:szCs w:val="21"/>
                <w:highlight w:val="yellow"/>
              </w:rPr>
              <w:t>)</w:t>
            </w:r>
            <w:bookmarkEnd w:id="64"/>
          </w:p>
        </w:tc>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rPr>
              <w:t>C</w:t>
            </w:r>
            <w:r>
              <w:rPr>
                <w:rFonts w:ascii="Times New Roman" w:hAnsi="Times New Roman" w:cs="Times New Roman"/>
                <w:color w:val="000000" w:themeColor="text1"/>
                <w:kern w:val="0"/>
                <w:szCs w:val="21"/>
                <w:vertAlign w:val="subscript"/>
              </w:rPr>
              <w:t>max</w:t>
            </w:r>
            <w:r>
              <w:rPr>
                <w:rFonts w:ascii="Times New Roman" w:hAnsi="Times New Roman" w:cs="Times New Roman"/>
                <w:color w:val="000000" w:themeColor="text1"/>
                <w:kern w:val="0"/>
                <w:szCs w:val="21"/>
              </w:rPr>
              <w:t xml:space="preserve"> (mg/m</w:t>
            </w:r>
            <w:r>
              <w:rPr>
                <w:rFonts w:ascii="Times New Roman" w:hAnsi="Times New Roman" w:cs="Times New Roman"/>
                <w:color w:val="000000" w:themeColor="text1"/>
                <w:kern w:val="0"/>
                <w:szCs w:val="21"/>
                <w:vertAlign w:val="superscript"/>
              </w:rPr>
              <w:t>3</w:t>
            </w:r>
            <w:r>
              <w:rPr>
                <w:rFonts w:ascii="Times New Roman" w:hAnsi="Times New Roman" w:cs="Times New Roman"/>
                <w:color w:val="000000" w:themeColor="text1"/>
                <w:kern w:val="0"/>
                <w:szCs w:val="21"/>
              </w:rPr>
              <w:t>)</w:t>
            </w:r>
          </w:p>
        </w:tc>
        <w:tc>
          <w:tcPr>
            <w:tcW w:w="1379"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rPr>
              <w:t>P</w:t>
            </w:r>
            <w:r>
              <w:rPr>
                <w:rFonts w:ascii="Times New Roman" w:hAnsi="Times New Roman" w:cs="Times New Roman"/>
                <w:color w:val="000000" w:themeColor="text1"/>
                <w:kern w:val="0"/>
                <w:szCs w:val="21"/>
                <w:vertAlign w:val="subscript"/>
              </w:rPr>
              <w:t>max</w:t>
            </w:r>
            <w:r>
              <w:rPr>
                <w:rFonts w:ascii="Times New Roman" w:hAnsi="Times New Roman" w:cs="Times New Roman"/>
                <w:color w:val="000000" w:themeColor="text1"/>
                <w:kern w:val="0"/>
                <w:szCs w:val="21"/>
              </w:rPr>
              <w:t xml:space="preserve"> (%)</w:t>
            </w:r>
          </w:p>
        </w:tc>
        <w:tc>
          <w:tcPr>
            <w:tcW w:w="1103"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kern w:val="0"/>
                <w:szCs w:val="21"/>
              </w:rPr>
              <w:t>D</w:t>
            </w:r>
            <w:r>
              <w:rPr>
                <w:rFonts w:ascii="Times New Roman" w:hAnsi="Times New Roman" w:cs="Times New Roman"/>
                <w:color w:val="000000" w:themeColor="text1"/>
                <w:kern w:val="0"/>
                <w:szCs w:val="21"/>
                <w:vertAlign w:val="subscript"/>
              </w:rPr>
              <w:t>10%</w:t>
            </w:r>
            <w:r>
              <w:rPr>
                <w:rFonts w:ascii="Times New Roman" w:hAnsi="Times New Roman" w:cs="Times New Roman"/>
                <w:color w:val="000000" w:themeColor="text1"/>
                <w:kern w:val="0"/>
                <w:szCs w:val="21"/>
              </w:rPr>
              <w:t xml:space="preserve">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23" w:type="dxa"/>
            <w:vMerge w:val="restart"/>
            <w:tcBorders>
              <w:left w:val="single" w:color="auto" w:sz="4" w:space="0"/>
              <w:right w:val="single" w:color="auto" w:sz="4" w:space="0"/>
            </w:tcBorders>
            <w:vAlign w:val="center"/>
          </w:tcPr>
          <w:p>
            <w:pPr>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污水站排气筒</w:t>
            </w:r>
          </w:p>
        </w:tc>
        <w:tc>
          <w:tcPr>
            <w:tcW w:w="151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color w:val="000000" w:themeColor="text1"/>
                <w:kern w:val="0"/>
                <w:szCs w:val="21"/>
              </w:rPr>
              <w:t>氨</w:t>
            </w:r>
          </w:p>
        </w:tc>
        <w:tc>
          <w:tcPr>
            <w:tcW w:w="1243"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kern w:val="0"/>
                <w:szCs w:val="21"/>
              </w:rPr>
            </w:pPr>
            <w:r>
              <w:rPr>
                <w:rFonts w:hint="eastAsia" w:ascii="Times New Roman" w:hAnsi="Times New Roman" w:cs="Times New Roman"/>
                <w:color w:val="000000" w:themeColor="text1"/>
                <w:kern w:val="0"/>
                <w:szCs w:val="21"/>
              </w:rPr>
              <w:t>0.2</w:t>
            </w:r>
          </w:p>
        </w:tc>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1.08E-02</w:t>
            </w:r>
          </w:p>
        </w:tc>
        <w:tc>
          <w:tcPr>
            <w:tcW w:w="1379"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kern w:val="0"/>
                <w:szCs w:val="21"/>
              </w:rPr>
            </w:pPr>
            <w:r>
              <w:rPr>
                <w:rFonts w:hint="eastAsia" w:ascii="Times New Roman" w:hAnsi="Times New Roman" w:cs="Times New Roman"/>
                <w:color w:val="000000" w:themeColor="text1"/>
                <w:kern w:val="0"/>
                <w:szCs w:val="21"/>
              </w:rPr>
              <w:t>5.41</w:t>
            </w:r>
          </w:p>
        </w:tc>
        <w:tc>
          <w:tcPr>
            <w:tcW w:w="1103"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23" w:type="dxa"/>
            <w:vMerge w:val="continue"/>
            <w:tcBorders>
              <w:left w:val="single" w:color="auto" w:sz="4" w:space="0"/>
              <w:bottom w:val="single" w:color="auto" w:sz="4" w:space="0"/>
              <w:right w:val="single" w:color="auto" w:sz="4" w:space="0"/>
            </w:tcBorders>
            <w:vAlign w:val="center"/>
          </w:tcPr>
          <w:p>
            <w:pPr>
              <w:spacing w:line="300" w:lineRule="exact"/>
              <w:jc w:val="center"/>
              <w:rPr>
                <w:rFonts w:ascii="Times New Roman" w:hAnsi="Times New Roman" w:cs="Times New Roman"/>
                <w:bCs/>
                <w:color w:val="000000" w:themeColor="text1"/>
                <w:kern w:val="0"/>
                <w:szCs w:val="21"/>
              </w:rPr>
            </w:pPr>
          </w:p>
        </w:tc>
        <w:tc>
          <w:tcPr>
            <w:tcW w:w="151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cs="Times New Roman"/>
                <w:bCs/>
                <w:color w:val="000000" w:themeColor="text1"/>
                <w:kern w:val="0"/>
                <w:szCs w:val="21"/>
              </w:rPr>
            </w:pPr>
            <w:r>
              <w:rPr>
                <w:rFonts w:ascii="Times New Roman" w:hAnsi="Times New Roman" w:cs="Times New Roman"/>
                <w:bCs/>
                <w:color w:val="000000" w:themeColor="text1"/>
                <w:kern w:val="0"/>
                <w:szCs w:val="21"/>
              </w:rPr>
              <w:t>硫化氢</w:t>
            </w:r>
          </w:p>
        </w:tc>
        <w:tc>
          <w:tcPr>
            <w:tcW w:w="1243"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0.01</w:t>
            </w:r>
          </w:p>
        </w:tc>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5.00E-04</w:t>
            </w:r>
          </w:p>
        </w:tc>
        <w:tc>
          <w:tcPr>
            <w:tcW w:w="1379"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kern w:val="0"/>
                <w:szCs w:val="21"/>
              </w:rPr>
            </w:pPr>
            <w:r>
              <w:rPr>
                <w:rFonts w:hint="eastAsia" w:ascii="Times New Roman" w:hAnsi="Times New Roman" w:cs="Times New Roman"/>
                <w:color w:val="000000" w:themeColor="text1"/>
                <w:kern w:val="0"/>
                <w:szCs w:val="21"/>
              </w:rPr>
              <w:t>5.0</w:t>
            </w:r>
          </w:p>
        </w:tc>
        <w:tc>
          <w:tcPr>
            <w:tcW w:w="1103"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23" w:type="dxa"/>
            <w:vMerge w:val="restart"/>
            <w:tcBorders>
              <w:top w:val="single" w:color="auto" w:sz="4" w:space="0"/>
              <w:left w:val="single" w:color="auto" w:sz="4" w:space="0"/>
              <w:right w:val="single" w:color="auto" w:sz="4" w:space="0"/>
            </w:tcBorders>
            <w:vAlign w:val="center"/>
          </w:tcPr>
          <w:p>
            <w:pPr>
              <w:snapToGrid w:val="0"/>
              <w:spacing w:line="300" w:lineRule="exact"/>
              <w:ind w:firstLine="420"/>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厂区</w:t>
            </w:r>
          </w:p>
        </w:tc>
        <w:tc>
          <w:tcPr>
            <w:tcW w:w="151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cs="Times New Roman"/>
                <w:color w:val="000000" w:themeColor="text1"/>
                <w:kern w:val="0"/>
                <w:szCs w:val="21"/>
              </w:rPr>
            </w:pPr>
            <w:r>
              <w:rPr>
                <w:rFonts w:hint="eastAsia" w:ascii="Times New Roman" w:hAnsi="Times New Roman" w:cs="Times New Roman"/>
                <w:color w:val="000000" w:themeColor="text1"/>
                <w:kern w:val="0"/>
                <w:szCs w:val="21"/>
              </w:rPr>
              <w:t>氨</w:t>
            </w:r>
          </w:p>
        </w:tc>
        <w:tc>
          <w:tcPr>
            <w:tcW w:w="1243"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kern w:val="0"/>
                <w:szCs w:val="21"/>
              </w:rPr>
            </w:pPr>
            <w:r>
              <w:rPr>
                <w:rFonts w:hint="eastAsia" w:ascii="Times New Roman" w:hAnsi="Times New Roman" w:cs="Times New Roman"/>
                <w:color w:val="000000" w:themeColor="text1"/>
                <w:kern w:val="0"/>
                <w:szCs w:val="21"/>
              </w:rPr>
              <w:t>0.2</w:t>
            </w:r>
          </w:p>
        </w:tc>
        <w:tc>
          <w:tcPr>
            <w:tcW w:w="1657"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1.91E-02</w:t>
            </w:r>
          </w:p>
        </w:tc>
        <w:tc>
          <w:tcPr>
            <w:tcW w:w="1379"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9.56</w:t>
            </w:r>
          </w:p>
        </w:tc>
        <w:tc>
          <w:tcPr>
            <w:tcW w:w="110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23" w:type="dxa"/>
            <w:vMerge w:val="continue"/>
            <w:tcBorders>
              <w:left w:val="single" w:color="auto" w:sz="4" w:space="0"/>
              <w:bottom w:val="single" w:color="auto" w:sz="4" w:space="0"/>
              <w:right w:val="single" w:color="auto" w:sz="4" w:space="0"/>
            </w:tcBorders>
            <w:vAlign w:val="center"/>
          </w:tcPr>
          <w:p>
            <w:pPr>
              <w:snapToGrid w:val="0"/>
              <w:spacing w:line="300" w:lineRule="exact"/>
              <w:ind w:firstLine="420"/>
              <w:jc w:val="center"/>
              <w:rPr>
                <w:rFonts w:ascii="Times New Roman" w:hAnsi="Times New Roman" w:cs="Times New Roman"/>
                <w:color w:val="000000" w:themeColor="text1"/>
                <w:szCs w:val="21"/>
              </w:rPr>
            </w:pPr>
          </w:p>
        </w:tc>
        <w:tc>
          <w:tcPr>
            <w:tcW w:w="151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cs="Times New Roman"/>
                <w:color w:val="000000" w:themeColor="text1"/>
                <w:kern w:val="0"/>
                <w:szCs w:val="21"/>
              </w:rPr>
            </w:pPr>
            <w:r>
              <w:rPr>
                <w:rFonts w:ascii="Times New Roman" w:hAnsi="Times New Roman" w:cs="Times New Roman"/>
                <w:bCs/>
                <w:color w:val="000000" w:themeColor="text1"/>
                <w:kern w:val="0"/>
                <w:szCs w:val="21"/>
              </w:rPr>
              <w:t>硫化氢</w:t>
            </w:r>
          </w:p>
        </w:tc>
        <w:tc>
          <w:tcPr>
            <w:tcW w:w="1243"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ind w:firstLine="315" w:firstLineChars="150"/>
              <w:rPr>
                <w:rFonts w:ascii="Times New Roman" w:hAnsi="Times New Roman" w:cs="Times New Roman"/>
                <w:color w:val="000000" w:themeColor="text1"/>
                <w:kern w:val="0"/>
                <w:szCs w:val="21"/>
              </w:rPr>
            </w:pPr>
            <w:r>
              <w:rPr>
                <w:rFonts w:ascii="Times New Roman" w:hAnsi="Times New Roman" w:cs="Times New Roman"/>
                <w:color w:val="000000" w:themeColor="text1"/>
                <w:kern w:val="0"/>
                <w:szCs w:val="21"/>
              </w:rPr>
              <w:t>0.01</w:t>
            </w:r>
          </w:p>
        </w:tc>
        <w:tc>
          <w:tcPr>
            <w:tcW w:w="165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8.50E-04</w:t>
            </w:r>
          </w:p>
        </w:tc>
        <w:tc>
          <w:tcPr>
            <w:tcW w:w="137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8.50</w:t>
            </w:r>
          </w:p>
        </w:tc>
        <w:tc>
          <w:tcPr>
            <w:tcW w:w="110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bl>
    <w:p>
      <w:pPr>
        <w:spacing w:line="480" w:lineRule="exact"/>
        <w:ind w:firstLine="422" w:firstLineChars="176"/>
        <w:rPr>
          <w:rFonts w:ascii="Times New Roman" w:hAnsi="Times New Roman" w:eastAsia="宋体" w:cs="Times New Roman"/>
          <w:color w:val="000000" w:themeColor="text1"/>
          <w:kern w:val="0"/>
          <w:sz w:val="24"/>
          <w:szCs w:val="24"/>
        </w:rPr>
      </w:pPr>
      <w:r>
        <w:rPr>
          <w:rFonts w:hint="eastAsia" w:ascii="Times New Roman" w:hAnsi="Times New Roman" w:eastAsia="宋体" w:cs="Times New Roman"/>
          <w:color w:val="000000" w:themeColor="text1"/>
          <w:kern w:val="0"/>
          <w:sz w:val="24"/>
          <w:szCs w:val="24"/>
        </w:rPr>
        <w:t>综合分析，本项目</w:t>
      </w:r>
      <w:r>
        <w:rPr>
          <w:rFonts w:ascii="Times New Roman" w:hAnsi="Times New Roman" w:eastAsia="宋体" w:cs="Times New Roman"/>
          <w:color w:val="000000" w:themeColor="text1"/>
          <w:kern w:val="0"/>
          <w:sz w:val="24"/>
          <w:szCs w:val="24"/>
        </w:rPr>
        <w:t>P</w:t>
      </w:r>
      <w:r>
        <w:rPr>
          <w:rFonts w:ascii="Times New Roman" w:hAnsi="Times New Roman" w:eastAsia="宋体" w:cs="Times New Roman"/>
          <w:color w:val="000000" w:themeColor="text1"/>
          <w:kern w:val="0"/>
          <w:sz w:val="24"/>
          <w:szCs w:val="24"/>
          <w:vertAlign w:val="subscript"/>
        </w:rPr>
        <w:t>max</w:t>
      </w:r>
      <w:r>
        <w:rPr>
          <w:rFonts w:hint="eastAsia" w:ascii="Times New Roman" w:hAnsi="Times New Roman" w:eastAsia="宋体" w:cs="Times New Roman"/>
          <w:color w:val="000000" w:themeColor="text1"/>
          <w:kern w:val="0"/>
          <w:sz w:val="24"/>
          <w:szCs w:val="24"/>
        </w:rPr>
        <w:t>最大为面源排放的氨，</w:t>
      </w:r>
      <w:r>
        <w:rPr>
          <w:rFonts w:ascii="Times New Roman" w:hAnsi="Times New Roman" w:eastAsia="宋体" w:cs="Times New Roman"/>
          <w:color w:val="000000" w:themeColor="text1"/>
          <w:kern w:val="0"/>
          <w:sz w:val="24"/>
          <w:szCs w:val="24"/>
        </w:rPr>
        <w:t>P</w:t>
      </w:r>
      <w:r>
        <w:rPr>
          <w:rFonts w:ascii="Times New Roman" w:hAnsi="Times New Roman" w:eastAsia="宋体" w:cs="Times New Roman"/>
          <w:color w:val="000000" w:themeColor="text1"/>
          <w:kern w:val="0"/>
          <w:sz w:val="24"/>
          <w:szCs w:val="24"/>
          <w:vertAlign w:val="subscript"/>
        </w:rPr>
        <w:t>max</w:t>
      </w:r>
      <w:r>
        <w:rPr>
          <w:rFonts w:hint="eastAsia" w:ascii="Times New Roman" w:hAnsi="Times New Roman" w:eastAsia="宋体" w:cs="Times New Roman"/>
          <w:color w:val="000000" w:themeColor="text1"/>
          <w:kern w:val="0"/>
          <w:sz w:val="24"/>
          <w:szCs w:val="24"/>
        </w:rPr>
        <w:t>值为9.56</w:t>
      </w:r>
      <w:r>
        <w:rPr>
          <w:rFonts w:ascii="Times New Roman" w:hAnsi="Times New Roman" w:eastAsia="宋体" w:cs="Times New Roman"/>
          <w:color w:val="000000" w:themeColor="text1"/>
          <w:kern w:val="0"/>
          <w:sz w:val="24"/>
          <w:szCs w:val="24"/>
        </w:rPr>
        <w:t>%</w:t>
      </w:r>
      <w:r>
        <w:rPr>
          <w:rFonts w:hint="eastAsia" w:ascii="Times New Roman" w:hAnsi="Times New Roman" w:eastAsia="宋体" w:cs="Times New Roman"/>
          <w:color w:val="000000" w:themeColor="text1"/>
          <w:kern w:val="0"/>
          <w:sz w:val="24"/>
          <w:szCs w:val="24"/>
        </w:rPr>
        <w:t>，根据《环境影响评价技术导则</w:t>
      </w:r>
      <w:r>
        <w:rPr>
          <w:rFonts w:ascii="Times New Roman" w:hAnsi="Times New Roman" w:eastAsia="宋体" w:cs="Times New Roman"/>
          <w:color w:val="000000" w:themeColor="text1"/>
          <w:kern w:val="0"/>
          <w:sz w:val="24"/>
          <w:szCs w:val="24"/>
        </w:rPr>
        <w:t xml:space="preserve"> </w:t>
      </w:r>
      <w:r>
        <w:rPr>
          <w:rFonts w:hint="eastAsia" w:ascii="Times New Roman" w:hAnsi="Times New Roman" w:eastAsia="宋体" w:cs="Times New Roman"/>
          <w:color w:val="000000" w:themeColor="text1"/>
          <w:kern w:val="0"/>
          <w:sz w:val="24"/>
          <w:szCs w:val="24"/>
        </w:rPr>
        <w:t>大气环境》</w:t>
      </w:r>
      <w:r>
        <w:rPr>
          <w:rFonts w:ascii="Times New Roman" w:hAnsi="Times New Roman" w:eastAsia="宋体" w:cs="Times New Roman"/>
          <w:color w:val="000000" w:themeColor="text1"/>
          <w:kern w:val="0"/>
          <w:sz w:val="24"/>
          <w:szCs w:val="24"/>
        </w:rPr>
        <w:t>(HJ2.2-2018)</w:t>
      </w:r>
      <w:r>
        <w:rPr>
          <w:rFonts w:hint="eastAsia" w:ascii="Times New Roman" w:hAnsi="Times New Roman" w:eastAsia="宋体" w:cs="Times New Roman"/>
          <w:color w:val="000000" w:themeColor="text1"/>
          <w:kern w:val="0"/>
          <w:sz w:val="24"/>
          <w:szCs w:val="24"/>
        </w:rPr>
        <w:t>分级判据，确定本项目大气环境影响评价工作等级为二级。</w:t>
      </w:r>
    </w:p>
    <w:p>
      <w:pPr>
        <w:pStyle w:val="49"/>
        <w:numPr>
          <w:ilvl w:val="0"/>
          <w:numId w:val="10"/>
        </w:numPr>
        <w:spacing w:line="500" w:lineRule="exact"/>
        <w:ind w:firstLineChars="0"/>
        <w:rPr>
          <w:rFonts w:hAnsi="宋体"/>
          <w:color w:val="000000" w:themeColor="text1"/>
        </w:rPr>
      </w:pPr>
      <w:r>
        <w:rPr>
          <w:rFonts w:hint="eastAsia" w:hAnsi="宋体"/>
          <w:color w:val="000000" w:themeColor="text1"/>
        </w:rPr>
        <w:t>预测结果</w:t>
      </w:r>
    </w:p>
    <w:p>
      <w:pPr>
        <w:pStyle w:val="49"/>
        <w:spacing w:line="500" w:lineRule="exact"/>
        <w:ind w:firstLineChars="0"/>
        <w:rPr>
          <w:rFonts w:hAnsi="宋体"/>
          <w:color w:val="000000" w:themeColor="text1"/>
        </w:rPr>
      </w:pPr>
    </w:p>
    <w:p>
      <w:pPr>
        <w:pStyle w:val="49"/>
        <w:spacing w:line="500" w:lineRule="exact"/>
        <w:ind w:firstLineChars="0"/>
        <w:rPr>
          <w:rFonts w:hAnsi="宋体"/>
          <w:color w:val="000000" w:themeColor="text1"/>
        </w:rPr>
      </w:pPr>
    </w:p>
    <w:p>
      <w:pPr>
        <w:pStyle w:val="49"/>
        <w:spacing w:line="500" w:lineRule="exact"/>
        <w:ind w:firstLineChars="0"/>
        <w:rPr>
          <w:rFonts w:hAnsi="宋体"/>
          <w:color w:val="000000" w:themeColor="text1"/>
        </w:rPr>
      </w:pPr>
    </w:p>
    <w:p>
      <w:pPr>
        <w:pStyle w:val="49"/>
        <w:spacing w:line="500" w:lineRule="exact"/>
        <w:ind w:firstLineChars="0"/>
        <w:rPr>
          <w:rFonts w:hAnsi="宋体"/>
          <w:color w:val="000000" w:themeColor="text1"/>
        </w:rPr>
      </w:pPr>
    </w:p>
    <w:p>
      <w:pPr>
        <w:pStyle w:val="49"/>
        <w:spacing w:line="500" w:lineRule="exact"/>
        <w:ind w:firstLineChars="0"/>
        <w:rPr>
          <w:rFonts w:hAnsi="宋体"/>
          <w:color w:val="000000" w:themeColor="text1"/>
        </w:rPr>
      </w:pPr>
    </w:p>
    <w:p>
      <w:pPr>
        <w:pStyle w:val="49"/>
        <w:spacing w:line="500" w:lineRule="exact"/>
        <w:ind w:firstLineChars="0"/>
        <w:rPr>
          <w:rFonts w:hAnsi="宋体"/>
          <w:color w:val="000000" w:themeColor="text1"/>
        </w:rPr>
      </w:pPr>
    </w:p>
    <w:p>
      <w:pPr>
        <w:pStyle w:val="49"/>
        <w:spacing w:line="500" w:lineRule="exact"/>
        <w:ind w:firstLineChars="0"/>
        <w:rPr>
          <w:rFonts w:hAnsi="宋体"/>
          <w:color w:val="000000" w:themeColor="text1"/>
        </w:rPr>
      </w:pPr>
    </w:p>
    <w:p>
      <w:pPr>
        <w:tabs>
          <w:tab w:val="left" w:pos="-1260"/>
        </w:tabs>
        <w:spacing w:line="500" w:lineRule="exact"/>
        <w:jc w:val="center"/>
        <w:rPr>
          <w:rFonts w:ascii="Times New Roman" w:hAnsi="宋体" w:eastAsia="宋体" w:cs="Times New Roman"/>
          <w:b/>
          <w:color w:val="000000" w:themeColor="text1"/>
          <w:sz w:val="24"/>
          <w:szCs w:val="24"/>
        </w:rPr>
      </w:pPr>
      <w:r>
        <w:rPr>
          <w:rFonts w:ascii="Times New Roman" w:hAnsi="宋体" w:eastAsia="宋体" w:cs="Times New Roman"/>
          <w:b/>
          <w:color w:val="000000" w:themeColor="text1"/>
          <w:sz w:val="24"/>
          <w:szCs w:val="24"/>
        </w:rPr>
        <w:t>表</w:t>
      </w:r>
      <w:r>
        <w:rPr>
          <w:rFonts w:hint="eastAsia" w:ascii="Times New Roman" w:hAnsi="Times New Roman" w:eastAsia="宋体" w:cs="Times New Roman"/>
          <w:b/>
          <w:color w:val="000000" w:themeColor="text1"/>
          <w:sz w:val="24"/>
          <w:szCs w:val="24"/>
        </w:rPr>
        <w:t>5-9</w:t>
      </w:r>
      <w:r>
        <w:rPr>
          <w:rFonts w:ascii="Times New Roman" w:hAnsi="Times New Roman" w:eastAsia="宋体" w:cs="Times New Roman"/>
          <w:b/>
          <w:color w:val="000000" w:themeColor="text1"/>
          <w:sz w:val="24"/>
          <w:szCs w:val="24"/>
        </w:rPr>
        <w:t xml:space="preserve">  </w:t>
      </w:r>
      <w:r>
        <w:rPr>
          <w:rFonts w:ascii="Times New Roman" w:hAnsi="宋体" w:eastAsia="宋体" w:cs="Times New Roman"/>
          <w:b/>
          <w:color w:val="000000" w:themeColor="text1"/>
          <w:sz w:val="24"/>
          <w:szCs w:val="24"/>
        </w:rPr>
        <w:t>估算模式有组织预测结果一览表</w:t>
      </w:r>
    </w:p>
    <w:tbl>
      <w:tblPr>
        <w:tblStyle w:val="27"/>
        <w:tblW w:w="852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50"/>
        <w:gridCol w:w="1674"/>
        <w:gridCol w:w="1670"/>
        <w:gridCol w:w="1883"/>
        <w:gridCol w:w="17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Merge w:val="restart"/>
            <w:vAlign w:val="center"/>
          </w:tcPr>
          <w:p>
            <w:pPr>
              <w:spacing w:line="240" w:lineRule="exact"/>
              <w:jc w:val="center"/>
              <w:rPr>
                <w:rFonts w:ascii="Times New Roman" w:hAnsi="Times New Roman" w:cs="Times New Roman" w:eastAsiaTheme="majorEastAsia"/>
                <w:color w:val="000000" w:themeColor="text1"/>
                <w:kern w:val="0"/>
                <w:szCs w:val="21"/>
              </w:rPr>
            </w:pPr>
            <w:r>
              <w:rPr>
                <w:rFonts w:ascii="Times New Roman" w:hAnsi="Times New Roman" w:cs="Times New Roman" w:eastAsiaTheme="majorEastAsia"/>
                <w:color w:val="000000" w:themeColor="text1"/>
                <w:kern w:val="0"/>
                <w:szCs w:val="21"/>
              </w:rPr>
              <w:t>距离（m）</w:t>
            </w:r>
          </w:p>
        </w:tc>
        <w:tc>
          <w:tcPr>
            <w:tcW w:w="6972" w:type="dxa"/>
            <w:gridSpan w:val="4"/>
            <w:vAlign w:val="center"/>
          </w:tcPr>
          <w:p>
            <w:pPr>
              <w:spacing w:line="240" w:lineRule="exact"/>
              <w:jc w:val="center"/>
              <w:rPr>
                <w:rFonts w:ascii="Times New Roman" w:hAnsi="Times New Roman" w:cs="Times New Roman" w:eastAsiaTheme="majorEastAsia"/>
                <w:bCs/>
                <w:color w:val="000000" w:themeColor="text1"/>
                <w:kern w:val="0"/>
                <w:szCs w:val="21"/>
              </w:rPr>
            </w:pPr>
            <w:r>
              <w:rPr>
                <w:rFonts w:ascii="Times New Roman" w:hAnsi="Times New Roman" w:cs="Times New Roman" w:eastAsiaTheme="majorEastAsia"/>
                <w:bCs/>
                <w:color w:val="000000" w:themeColor="text1"/>
                <w:kern w:val="0"/>
                <w:szCs w:val="21"/>
              </w:rPr>
              <w:t>污水处理站排气筒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Merge w:val="continue"/>
            <w:vAlign w:val="center"/>
          </w:tcPr>
          <w:p>
            <w:pPr>
              <w:spacing w:line="240" w:lineRule="exact"/>
              <w:jc w:val="center"/>
              <w:rPr>
                <w:rFonts w:ascii="Times New Roman" w:hAnsi="Times New Roman" w:cs="Times New Roman" w:eastAsiaTheme="majorEastAsia"/>
                <w:color w:val="000000" w:themeColor="text1"/>
                <w:kern w:val="0"/>
                <w:szCs w:val="21"/>
              </w:rPr>
            </w:pPr>
          </w:p>
        </w:tc>
        <w:tc>
          <w:tcPr>
            <w:tcW w:w="3344" w:type="dxa"/>
            <w:gridSpan w:val="2"/>
            <w:vAlign w:val="center"/>
          </w:tcPr>
          <w:p>
            <w:pPr>
              <w:spacing w:line="240" w:lineRule="exact"/>
              <w:jc w:val="center"/>
              <w:rPr>
                <w:rFonts w:ascii="Times New Roman" w:hAnsi="Times New Roman" w:cs="Times New Roman" w:eastAsiaTheme="majorEastAsia"/>
                <w:bCs/>
                <w:color w:val="000000" w:themeColor="text1"/>
                <w:kern w:val="0"/>
                <w:szCs w:val="21"/>
              </w:rPr>
            </w:pPr>
            <w:r>
              <w:rPr>
                <w:rFonts w:ascii="Times New Roman" w:hAnsi="Times New Roman" w:cs="Times New Roman" w:eastAsiaTheme="majorEastAsia"/>
                <w:bCs/>
                <w:color w:val="000000" w:themeColor="text1"/>
                <w:kern w:val="0"/>
                <w:szCs w:val="21"/>
              </w:rPr>
              <w:t>氨</w:t>
            </w:r>
          </w:p>
        </w:tc>
        <w:tc>
          <w:tcPr>
            <w:tcW w:w="3628" w:type="dxa"/>
            <w:gridSpan w:val="2"/>
            <w:vAlign w:val="center"/>
          </w:tcPr>
          <w:p>
            <w:pPr>
              <w:spacing w:line="240" w:lineRule="exact"/>
              <w:jc w:val="center"/>
              <w:rPr>
                <w:rFonts w:ascii="Times New Roman" w:hAnsi="Times New Roman" w:cs="Times New Roman" w:eastAsiaTheme="majorEastAsia"/>
                <w:bCs/>
                <w:color w:val="000000" w:themeColor="text1"/>
                <w:kern w:val="0"/>
                <w:szCs w:val="21"/>
              </w:rPr>
            </w:pPr>
            <w:r>
              <w:rPr>
                <w:rFonts w:ascii="Times New Roman" w:hAnsi="Times New Roman" w:cs="Times New Roman" w:eastAsiaTheme="majorEastAsia"/>
                <w:bCs/>
                <w:color w:val="000000" w:themeColor="text1"/>
                <w:kern w:val="0"/>
                <w:szCs w:val="21"/>
              </w:rPr>
              <w:t>硫化氢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Merge w:val="continue"/>
            <w:vAlign w:val="center"/>
          </w:tcPr>
          <w:p>
            <w:pPr>
              <w:spacing w:line="240" w:lineRule="exact"/>
              <w:jc w:val="center"/>
              <w:rPr>
                <w:rFonts w:ascii="Times New Roman" w:hAnsi="Times New Roman" w:cs="Times New Roman" w:eastAsiaTheme="majorEastAsia"/>
                <w:color w:val="000000" w:themeColor="text1"/>
                <w:kern w:val="0"/>
                <w:szCs w:val="21"/>
              </w:rPr>
            </w:pPr>
          </w:p>
        </w:tc>
        <w:tc>
          <w:tcPr>
            <w:tcW w:w="1674" w:type="dxa"/>
            <w:vAlign w:val="center"/>
          </w:tcPr>
          <w:p>
            <w:pPr>
              <w:snapToGrid w:val="0"/>
              <w:spacing w:line="240" w:lineRule="exact"/>
              <w:jc w:val="center"/>
              <w:rPr>
                <w:rFonts w:ascii="Times New Roman" w:hAnsi="Times New Roman" w:cs="Times New Roman" w:eastAsiaTheme="majorEastAsia"/>
                <w:b/>
                <w:color w:val="000000" w:themeColor="text1"/>
                <w:kern w:val="0"/>
                <w:szCs w:val="21"/>
              </w:rPr>
            </w:pPr>
            <w:r>
              <w:rPr>
                <w:rFonts w:ascii="Times New Roman" w:hAnsi="Times New Roman" w:cs="Times New Roman" w:eastAsiaTheme="majorEastAsia"/>
                <w:b/>
                <w:color w:val="000000" w:themeColor="text1"/>
                <w:kern w:val="0"/>
                <w:szCs w:val="21"/>
              </w:rPr>
              <w:t>浓度（mg/m</w:t>
            </w:r>
            <w:r>
              <w:rPr>
                <w:rFonts w:ascii="Times New Roman" w:hAnsi="Times New Roman" w:cs="Times New Roman" w:eastAsiaTheme="majorEastAsia"/>
                <w:b/>
                <w:color w:val="000000" w:themeColor="text1"/>
                <w:kern w:val="0"/>
                <w:szCs w:val="21"/>
                <w:vertAlign w:val="superscript"/>
              </w:rPr>
              <w:t>3</w:t>
            </w:r>
            <w:r>
              <w:rPr>
                <w:rFonts w:ascii="Times New Roman" w:hAnsi="Times New Roman" w:cs="Times New Roman" w:eastAsiaTheme="majorEastAsia"/>
                <w:b/>
                <w:color w:val="000000" w:themeColor="text1"/>
                <w:kern w:val="0"/>
                <w:szCs w:val="21"/>
              </w:rPr>
              <w:t>）</w:t>
            </w:r>
          </w:p>
        </w:tc>
        <w:tc>
          <w:tcPr>
            <w:tcW w:w="1670" w:type="dxa"/>
            <w:vAlign w:val="center"/>
          </w:tcPr>
          <w:p>
            <w:pPr>
              <w:snapToGrid w:val="0"/>
              <w:spacing w:line="240" w:lineRule="exact"/>
              <w:jc w:val="center"/>
              <w:rPr>
                <w:rFonts w:ascii="Times New Roman" w:hAnsi="Times New Roman" w:cs="Times New Roman" w:eastAsiaTheme="majorEastAsia"/>
                <w:b/>
                <w:color w:val="000000" w:themeColor="text1"/>
                <w:kern w:val="0"/>
                <w:szCs w:val="21"/>
              </w:rPr>
            </w:pPr>
            <w:r>
              <w:rPr>
                <w:rFonts w:ascii="Times New Roman" w:hAnsi="Times New Roman" w:cs="Times New Roman" w:eastAsiaTheme="majorEastAsia"/>
                <w:b/>
                <w:color w:val="000000" w:themeColor="text1"/>
                <w:kern w:val="0"/>
                <w:szCs w:val="21"/>
              </w:rPr>
              <w:t>占标率（%）</w:t>
            </w:r>
          </w:p>
        </w:tc>
        <w:tc>
          <w:tcPr>
            <w:tcW w:w="1883" w:type="dxa"/>
            <w:vAlign w:val="center"/>
          </w:tcPr>
          <w:p>
            <w:pPr>
              <w:snapToGrid w:val="0"/>
              <w:spacing w:line="240" w:lineRule="exact"/>
              <w:jc w:val="center"/>
              <w:rPr>
                <w:rFonts w:ascii="Times New Roman" w:hAnsi="Times New Roman" w:cs="Times New Roman" w:eastAsiaTheme="majorEastAsia"/>
                <w:b/>
                <w:color w:val="000000" w:themeColor="text1"/>
                <w:kern w:val="0"/>
                <w:szCs w:val="21"/>
              </w:rPr>
            </w:pPr>
            <w:r>
              <w:rPr>
                <w:rFonts w:ascii="Times New Roman" w:hAnsi="Times New Roman" w:cs="Times New Roman" w:eastAsiaTheme="majorEastAsia"/>
                <w:b/>
                <w:color w:val="000000" w:themeColor="text1"/>
                <w:kern w:val="0"/>
                <w:szCs w:val="21"/>
              </w:rPr>
              <w:t>浓度（mg/m</w:t>
            </w:r>
            <w:r>
              <w:rPr>
                <w:rFonts w:ascii="Times New Roman" w:hAnsi="Times New Roman" w:cs="Times New Roman" w:eastAsiaTheme="majorEastAsia"/>
                <w:b/>
                <w:color w:val="000000" w:themeColor="text1"/>
                <w:kern w:val="0"/>
                <w:szCs w:val="21"/>
                <w:vertAlign w:val="superscript"/>
              </w:rPr>
              <w:t>3</w:t>
            </w:r>
            <w:r>
              <w:rPr>
                <w:rFonts w:ascii="Times New Roman" w:hAnsi="Times New Roman" w:cs="Times New Roman" w:eastAsiaTheme="majorEastAsia"/>
                <w:b/>
                <w:color w:val="000000" w:themeColor="text1"/>
                <w:kern w:val="0"/>
                <w:szCs w:val="21"/>
              </w:rPr>
              <w:t>）</w:t>
            </w:r>
          </w:p>
        </w:tc>
        <w:tc>
          <w:tcPr>
            <w:tcW w:w="1745" w:type="dxa"/>
            <w:vAlign w:val="center"/>
          </w:tcPr>
          <w:p>
            <w:pPr>
              <w:snapToGrid w:val="0"/>
              <w:spacing w:line="240" w:lineRule="exact"/>
              <w:jc w:val="center"/>
              <w:rPr>
                <w:rFonts w:ascii="Times New Roman" w:hAnsi="Times New Roman" w:cs="Times New Roman" w:eastAsiaTheme="majorEastAsia"/>
                <w:b/>
                <w:color w:val="000000" w:themeColor="text1"/>
                <w:kern w:val="0"/>
                <w:szCs w:val="21"/>
              </w:rPr>
            </w:pPr>
            <w:r>
              <w:rPr>
                <w:rFonts w:ascii="Times New Roman" w:hAnsi="Times New Roman" w:cs="Times New Roman" w:eastAsiaTheme="majorEastAsia"/>
                <w:b/>
                <w:color w:val="000000" w:themeColor="text1"/>
                <w:kern w:val="0"/>
                <w:szCs w:val="21"/>
              </w:rPr>
              <w:t>占标率（%）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ascii="Times New Roman" w:hAnsi="Times New Roman" w:cs="Times New Roman" w:eastAsiaTheme="majorEastAsia"/>
                <w:color w:val="000000" w:themeColor="text1"/>
                <w:kern w:val="0"/>
                <w:szCs w:val="21"/>
              </w:rPr>
              <w:t>10</w:t>
            </w:r>
          </w:p>
        </w:tc>
        <w:tc>
          <w:tcPr>
            <w:tcW w:w="1674" w:type="dxa"/>
            <w:vAlign w:val="center"/>
          </w:tcPr>
          <w:p>
            <w:pPr>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1.89E-04</w:t>
            </w:r>
          </w:p>
        </w:tc>
        <w:tc>
          <w:tcPr>
            <w:tcW w:w="1670" w:type="dxa"/>
            <w:vAlign w:val="center"/>
          </w:tcPr>
          <w:p>
            <w:pPr>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0.</w:t>
            </w:r>
            <w:r>
              <w:rPr>
                <w:rFonts w:hint="eastAsia" w:ascii="Times New Roman" w:hAnsi="Times New Roman" w:cs="Times New Roman" w:eastAsiaTheme="majorEastAsia"/>
                <w:color w:val="000000" w:themeColor="text1"/>
                <w:szCs w:val="21"/>
              </w:rPr>
              <w:t>09</w:t>
            </w:r>
          </w:p>
        </w:tc>
        <w:tc>
          <w:tcPr>
            <w:tcW w:w="1883" w:type="dxa"/>
            <w:vAlign w:val="center"/>
          </w:tcPr>
          <w:p>
            <w:pPr>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8.86E-06</w:t>
            </w:r>
          </w:p>
        </w:tc>
        <w:tc>
          <w:tcPr>
            <w:tcW w:w="1745" w:type="dxa"/>
            <w:vAlign w:val="center"/>
          </w:tcPr>
          <w:p>
            <w:pPr>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0.</w:t>
            </w:r>
            <w:r>
              <w:rPr>
                <w:rFonts w:hint="eastAsia" w:ascii="Times New Roman" w:hAnsi="Times New Roman" w:cs="Times New Roman" w:eastAsiaTheme="majorEastAsia"/>
                <w:color w:val="000000" w:themeColor="text1"/>
                <w:szCs w:val="21"/>
              </w:rPr>
              <w:t>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100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1.07E-02</w:t>
            </w:r>
          </w:p>
        </w:tc>
        <w:tc>
          <w:tcPr>
            <w:tcW w:w="1670"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5.34</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5.01E-04</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5.01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200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7.31E-03</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3.66</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3.43E-04</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3.66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300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4.82E-03</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2.41</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2.26E-04</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2.41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400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3.45E-03</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1.72</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1.61E-04</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1.72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500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2.61E-03</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1.31</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1.23E-04</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1.31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600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2.07E-03</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1.04</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9.71E-05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1.04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700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1.70E-03</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0.85</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7.97E-05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800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1.45E-03</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0.72</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6.78E-05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900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1.25E-03</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0.62</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5.86E-05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1000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1.09E-03</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0.55</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5.13E-05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1100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9.68E-04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0.48</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4.54E-05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1200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8.65E-04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0.43</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4.06E-05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1300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7.80E-04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0.39</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3.65E-05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1400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7.08E-04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0.35</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3.32E-05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1500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6.46E-04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0.32</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3.03E-05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1600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5.93E-04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0.30</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2.78E-05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1700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5.47E-04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0.27</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2.56E-05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1800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5.07E-04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0.25</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2.38E-05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1900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4.72E-04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0.24</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2.21E-05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2000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4.40E-04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0.22</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2.06E-05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2100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4.12E-04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0.21</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1.93E-05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2200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3.87E-04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0.21</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1.81E-05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2300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3.64E-04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0.19</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1.71E-05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2400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3.44E-04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0.17</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1.61E-05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2500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3.25E-04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0.16</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1.52E-05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ascii="Times New Roman" w:hAnsi="Times New Roman" w:cs="Times New Roman" w:eastAsiaTheme="majorEastAsia"/>
                <w:color w:val="000000" w:themeColor="text1"/>
                <w:kern w:val="0"/>
                <w:szCs w:val="21"/>
              </w:rPr>
              <w:t>下风向最大距离</w:t>
            </w:r>
          </w:p>
        </w:tc>
        <w:tc>
          <w:tcPr>
            <w:tcW w:w="1674" w:type="dxa"/>
            <w:vAlign w:val="center"/>
          </w:tcPr>
          <w:p>
            <w:pPr>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1.07E-02</w:t>
            </w:r>
          </w:p>
        </w:tc>
        <w:tc>
          <w:tcPr>
            <w:tcW w:w="1670" w:type="dxa"/>
            <w:vAlign w:val="center"/>
          </w:tcPr>
          <w:p>
            <w:pPr>
              <w:jc w:val="center"/>
              <w:rPr>
                <w:rFonts w:ascii="Times New Roman" w:hAnsi="Times New Roman" w:cs="Times New Roman" w:eastAsiaTheme="majorEastAsia"/>
                <w:color w:val="000000" w:themeColor="text1"/>
                <w:szCs w:val="21"/>
              </w:rPr>
            </w:pPr>
            <w:r>
              <w:rPr>
                <w:rFonts w:hint="eastAsia" w:ascii="Times New Roman" w:hAnsi="Times New Roman" w:cs="Times New Roman" w:eastAsiaTheme="majorEastAsia"/>
                <w:color w:val="000000" w:themeColor="text1"/>
                <w:szCs w:val="21"/>
              </w:rPr>
              <w:t>5.34</w:t>
            </w:r>
          </w:p>
        </w:tc>
        <w:tc>
          <w:tcPr>
            <w:tcW w:w="1883" w:type="dxa"/>
            <w:vAlign w:val="center"/>
          </w:tcPr>
          <w:p>
            <w:pPr>
              <w:spacing w:line="240" w:lineRule="exact"/>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5.01E-04</w:t>
            </w:r>
          </w:p>
        </w:tc>
        <w:tc>
          <w:tcPr>
            <w:tcW w:w="1745" w:type="dxa"/>
            <w:vAlign w:val="center"/>
          </w:tcPr>
          <w:p>
            <w:pPr>
              <w:spacing w:line="240" w:lineRule="exact"/>
              <w:jc w:val="center"/>
              <w:rPr>
                <w:rFonts w:ascii="Times New Roman" w:hAnsi="Times New Roman" w:cs="Times New Roman" w:eastAsiaTheme="majorEastAsia"/>
                <w:color w:val="000000" w:themeColor="text1"/>
                <w:szCs w:val="21"/>
              </w:rPr>
            </w:pPr>
            <w:r>
              <w:rPr>
                <w:rFonts w:hint="eastAsia" w:ascii="Times New Roman" w:hAnsi="Times New Roman" w:cs="Times New Roman" w:eastAsiaTheme="majorEastAsia"/>
                <w:color w:val="000000" w:themeColor="text1"/>
                <w:szCs w:val="21"/>
              </w:rPr>
              <w:t>5.01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ascii="Times New Roman" w:hAnsi="Times New Roman" w:cs="Times New Roman" w:eastAsiaTheme="majorEastAsia"/>
                <w:color w:val="000000" w:themeColor="text1"/>
                <w:kern w:val="0"/>
                <w:szCs w:val="21"/>
              </w:rPr>
              <w:t>D10%最远距离</w:t>
            </w:r>
          </w:p>
        </w:tc>
        <w:tc>
          <w:tcPr>
            <w:tcW w:w="1674" w:type="dxa"/>
            <w:vAlign w:val="center"/>
          </w:tcPr>
          <w:p>
            <w:pPr>
              <w:spacing w:line="240" w:lineRule="exact"/>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w:t>
            </w:r>
          </w:p>
        </w:tc>
        <w:tc>
          <w:tcPr>
            <w:tcW w:w="1670" w:type="dxa"/>
            <w:vAlign w:val="center"/>
          </w:tcPr>
          <w:p>
            <w:pPr>
              <w:spacing w:line="240" w:lineRule="exact"/>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w:t>
            </w:r>
          </w:p>
        </w:tc>
        <w:tc>
          <w:tcPr>
            <w:tcW w:w="1883" w:type="dxa"/>
            <w:vAlign w:val="center"/>
          </w:tcPr>
          <w:p>
            <w:pPr>
              <w:spacing w:line="240" w:lineRule="exact"/>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w:t>
            </w:r>
          </w:p>
        </w:tc>
        <w:tc>
          <w:tcPr>
            <w:tcW w:w="1745" w:type="dxa"/>
            <w:vAlign w:val="center"/>
          </w:tcPr>
          <w:p>
            <w:pPr>
              <w:spacing w:line="240" w:lineRule="exact"/>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w:t>
            </w:r>
          </w:p>
        </w:tc>
      </w:tr>
    </w:tbl>
    <w:p>
      <w:pPr>
        <w:tabs>
          <w:tab w:val="left" w:pos="-1260"/>
        </w:tabs>
        <w:spacing w:line="500" w:lineRule="exact"/>
        <w:jc w:val="center"/>
        <w:rPr>
          <w:rFonts w:ascii="Times New Roman" w:hAnsi="宋体" w:eastAsia="宋体" w:cs="Times New Roman"/>
          <w:b/>
          <w:color w:val="000000" w:themeColor="text1"/>
          <w:sz w:val="24"/>
          <w:szCs w:val="24"/>
        </w:rPr>
      </w:pPr>
      <w:r>
        <w:rPr>
          <w:rFonts w:hint="eastAsia" w:ascii="Times New Roman" w:hAnsi="宋体" w:eastAsia="宋体" w:cs="Times New Roman"/>
          <w:b/>
          <w:color w:val="000000" w:themeColor="text1"/>
          <w:sz w:val="24"/>
          <w:szCs w:val="24"/>
        </w:rPr>
        <w:t xml:space="preserve">   </w:t>
      </w:r>
    </w:p>
    <w:p>
      <w:pPr>
        <w:tabs>
          <w:tab w:val="left" w:pos="-1260"/>
        </w:tabs>
        <w:spacing w:line="500" w:lineRule="exact"/>
        <w:jc w:val="center"/>
        <w:rPr>
          <w:rFonts w:ascii="Times New Roman" w:hAnsi="宋体" w:eastAsia="宋体" w:cs="Times New Roman"/>
          <w:b/>
          <w:color w:val="000000" w:themeColor="text1"/>
          <w:sz w:val="24"/>
          <w:szCs w:val="24"/>
        </w:rPr>
      </w:pPr>
    </w:p>
    <w:p>
      <w:pPr>
        <w:tabs>
          <w:tab w:val="left" w:pos="-1260"/>
        </w:tabs>
        <w:spacing w:line="500" w:lineRule="exact"/>
        <w:jc w:val="center"/>
        <w:rPr>
          <w:rFonts w:ascii="Times New Roman" w:hAnsi="宋体" w:eastAsia="宋体" w:cs="Times New Roman"/>
          <w:b/>
          <w:color w:val="000000" w:themeColor="text1"/>
          <w:sz w:val="24"/>
          <w:szCs w:val="24"/>
        </w:rPr>
      </w:pPr>
    </w:p>
    <w:p>
      <w:pPr>
        <w:tabs>
          <w:tab w:val="left" w:pos="-1260"/>
        </w:tabs>
        <w:spacing w:line="500" w:lineRule="exact"/>
        <w:jc w:val="center"/>
        <w:rPr>
          <w:rFonts w:ascii="Times New Roman" w:hAnsi="宋体" w:eastAsia="宋体" w:cs="Times New Roman"/>
          <w:b/>
          <w:color w:val="000000" w:themeColor="text1"/>
          <w:sz w:val="24"/>
          <w:szCs w:val="24"/>
        </w:rPr>
      </w:pPr>
    </w:p>
    <w:p>
      <w:pPr>
        <w:tabs>
          <w:tab w:val="left" w:pos="-1260"/>
        </w:tabs>
        <w:spacing w:line="500" w:lineRule="exact"/>
        <w:jc w:val="center"/>
        <w:rPr>
          <w:rFonts w:ascii="Times New Roman" w:hAnsi="宋体" w:eastAsia="宋体" w:cs="Times New Roman"/>
          <w:b/>
          <w:color w:val="000000" w:themeColor="text1"/>
          <w:sz w:val="24"/>
          <w:szCs w:val="24"/>
        </w:rPr>
      </w:pPr>
      <w:r>
        <w:rPr>
          <w:rFonts w:hint="eastAsia" w:ascii="Times New Roman" w:hAnsi="宋体" w:eastAsia="宋体" w:cs="Times New Roman"/>
          <w:b/>
          <w:color w:val="000000" w:themeColor="text1"/>
          <w:sz w:val="24"/>
          <w:szCs w:val="24"/>
        </w:rPr>
        <w:t xml:space="preserve">  </w:t>
      </w:r>
      <w:r>
        <w:rPr>
          <w:rFonts w:ascii="Times New Roman" w:hAnsi="宋体" w:eastAsia="宋体" w:cs="Times New Roman"/>
          <w:b/>
          <w:color w:val="000000" w:themeColor="text1"/>
          <w:sz w:val="24"/>
          <w:szCs w:val="24"/>
        </w:rPr>
        <w:t>表</w:t>
      </w:r>
      <w:r>
        <w:rPr>
          <w:rFonts w:hint="eastAsia" w:ascii="Times New Roman" w:hAnsi="Times New Roman" w:eastAsia="宋体" w:cs="Times New Roman"/>
          <w:b/>
          <w:color w:val="000000" w:themeColor="text1"/>
          <w:sz w:val="24"/>
          <w:szCs w:val="24"/>
        </w:rPr>
        <w:t>5-10</w:t>
      </w:r>
      <w:r>
        <w:rPr>
          <w:rFonts w:ascii="Times New Roman" w:hAnsi="Times New Roman" w:eastAsia="宋体" w:cs="Times New Roman"/>
          <w:b/>
          <w:color w:val="000000" w:themeColor="text1"/>
          <w:sz w:val="24"/>
          <w:szCs w:val="24"/>
        </w:rPr>
        <w:t xml:space="preserve"> </w:t>
      </w:r>
      <w:r>
        <w:rPr>
          <w:rFonts w:hint="eastAsia" w:ascii="Times New Roman" w:hAnsi="Times New Roman" w:eastAsia="宋体" w:cs="Times New Roman"/>
          <w:b/>
          <w:color w:val="000000" w:themeColor="text1"/>
          <w:sz w:val="24"/>
          <w:szCs w:val="24"/>
        </w:rPr>
        <w:t xml:space="preserve">   </w:t>
      </w:r>
      <w:r>
        <w:rPr>
          <w:rFonts w:ascii="Times New Roman" w:hAnsi="宋体" w:eastAsia="宋体" w:cs="Times New Roman"/>
          <w:b/>
          <w:color w:val="000000" w:themeColor="text1"/>
          <w:sz w:val="24"/>
          <w:szCs w:val="24"/>
        </w:rPr>
        <w:t>估算模式</w:t>
      </w:r>
      <w:r>
        <w:rPr>
          <w:rFonts w:hint="eastAsia" w:ascii="Times New Roman" w:hAnsi="宋体" w:eastAsia="宋体" w:cs="Times New Roman"/>
          <w:b/>
          <w:color w:val="000000" w:themeColor="text1"/>
          <w:sz w:val="24"/>
          <w:szCs w:val="24"/>
        </w:rPr>
        <w:t>无</w:t>
      </w:r>
      <w:r>
        <w:rPr>
          <w:rFonts w:ascii="Times New Roman" w:hAnsi="宋体" w:eastAsia="宋体" w:cs="Times New Roman"/>
          <w:b/>
          <w:color w:val="000000" w:themeColor="text1"/>
          <w:sz w:val="24"/>
          <w:szCs w:val="24"/>
        </w:rPr>
        <w:t>组织预测结果一览表</w:t>
      </w:r>
    </w:p>
    <w:tbl>
      <w:tblPr>
        <w:tblStyle w:val="27"/>
        <w:tblW w:w="852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50"/>
        <w:gridCol w:w="1674"/>
        <w:gridCol w:w="1670"/>
        <w:gridCol w:w="1883"/>
        <w:gridCol w:w="17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Merge w:val="restart"/>
            <w:vAlign w:val="center"/>
          </w:tcPr>
          <w:p>
            <w:pPr>
              <w:spacing w:line="240" w:lineRule="exact"/>
              <w:jc w:val="center"/>
              <w:rPr>
                <w:rFonts w:ascii="Times New Roman" w:hAnsi="Times New Roman" w:cs="Times New Roman" w:eastAsiaTheme="majorEastAsia"/>
                <w:color w:val="000000" w:themeColor="text1"/>
                <w:kern w:val="0"/>
                <w:szCs w:val="21"/>
              </w:rPr>
            </w:pPr>
            <w:r>
              <w:rPr>
                <w:rFonts w:ascii="Times New Roman" w:hAnsi="Times New Roman" w:cs="Times New Roman" w:eastAsiaTheme="majorEastAsia"/>
                <w:color w:val="000000" w:themeColor="text1"/>
                <w:kern w:val="0"/>
                <w:szCs w:val="21"/>
              </w:rPr>
              <w:t>距离（m）</w:t>
            </w:r>
          </w:p>
        </w:tc>
        <w:tc>
          <w:tcPr>
            <w:tcW w:w="6972" w:type="dxa"/>
            <w:gridSpan w:val="4"/>
            <w:vAlign w:val="center"/>
          </w:tcPr>
          <w:p>
            <w:pPr>
              <w:spacing w:line="240" w:lineRule="exact"/>
              <w:jc w:val="center"/>
              <w:rPr>
                <w:rFonts w:ascii="Times New Roman" w:hAnsi="Times New Roman" w:cs="Times New Roman" w:eastAsiaTheme="majorEastAsia"/>
                <w:bCs/>
                <w:color w:val="000000" w:themeColor="text1"/>
                <w:kern w:val="0"/>
                <w:szCs w:val="21"/>
              </w:rPr>
            </w:pPr>
            <w:r>
              <w:rPr>
                <w:rFonts w:ascii="Times New Roman" w:hAnsi="Times New Roman" w:cs="Times New Roman" w:eastAsiaTheme="majorEastAsia"/>
                <w:bCs/>
                <w:color w:val="000000" w:themeColor="text1"/>
                <w:kern w:val="0"/>
                <w:szCs w:val="21"/>
              </w:rPr>
              <w:t>无组织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Merge w:val="continue"/>
            <w:vAlign w:val="center"/>
          </w:tcPr>
          <w:p>
            <w:pPr>
              <w:spacing w:line="240" w:lineRule="exact"/>
              <w:jc w:val="center"/>
              <w:rPr>
                <w:rFonts w:ascii="Times New Roman" w:hAnsi="Times New Roman" w:cs="Times New Roman" w:eastAsiaTheme="majorEastAsia"/>
                <w:color w:val="000000" w:themeColor="text1"/>
                <w:kern w:val="0"/>
                <w:szCs w:val="21"/>
              </w:rPr>
            </w:pPr>
          </w:p>
        </w:tc>
        <w:tc>
          <w:tcPr>
            <w:tcW w:w="3344" w:type="dxa"/>
            <w:gridSpan w:val="2"/>
            <w:vAlign w:val="center"/>
          </w:tcPr>
          <w:p>
            <w:pPr>
              <w:spacing w:line="240" w:lineRule="exact"/>
              <w:jc w:val="center"/>
              <w:rPr>
                <w:rFonts w:ascii="Times New Roman" w:hAnsi="Times New Roman" w:cs="Times New Roman" w:eastAsiaTheme="majorEastAsia"/>
                <w:bCs/>
                <w:color w:val="000000" w:themeColor="text1"/>
                <w:kern w:val="0"/>
                <w:szCs w:val="21"/>
              </w:rPr>
            </w:pPr>
            <w:r>
              <w:rPr>
                <w:rFonts w:ascii="Times New Roman" w:hAnsi="Times New Roman" w:cs="Times New Roman" w:eastAsiaTheme="majorEastAsia"/>
                <w:bCs/>
                <w:color w:val="000000" w:themeColor="text1"/>
                <w:kern w:val="0"/>
                <w:szCs w:val="21"/>
              </w:rPr>
              <w:t>氨</w:t>
            </w:r>
          </w:p>
        </w:tc>
        <w:tc>
          <w:tcPr>
            <w:tcW w:w="3628" w:type="dxa"/>
            <w:gridSpan w:val="2"/>
            <w:vAlign w:val="center"/>
          </w:tcPr>
          <w:p>
            <w:pPr>
              <w:spacing w:line="240" w:lineRule="exact"/>
              <w:jc w:val="center"/>
              <w:rPr>
                <w:rFonts w:ascii="Times New Roman" w:hAnsi="Times New Roman" w:cs="Times New Roman" w:eastAsiaTheme="majorEastAsia"/>
                <w:bCs/>
                <w:color w:val="000000" w:themeColor="text1"/>
                <w:kern w:val="0"/>
                <w:szCs w:val="21"/>
              </w:rPr>
            </w:pPr>
            <w:r>
              <w:rPr>
                <w:rFonts w:ascii="Times New Roman" w:hAnsi="Times New Roman" w:cs="Times New Roman" w:eastAsiaTheme="majorEastAsia"/>
                <w:bCs/>
                <w:color w:val="000000" w:themeColor="text1"/>
                <w:kern w:val="0"/>
                <w:szCs w:val="21"/>
              </w:rPr>
              <w:t>硫化氢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Merge w:val="continue"/>
            <w:vAlign w:val="center"/>
          </w:tcPr>
          <w:p>
            <w:pPr>
              <w:spacing w:line="240" w:lineRule="exact"/>
              <w:jc w:val="center"/>
              <w:rPr>
                <w:rFonts w:ascii="Times New Roman" w:hAnsi="Times New Roman" w:cs="Times New Roman" w:eastAsiaTheme="majorEastAsia"/>
                <w:color w:val="000000" w:themeColor="text1"/>
                <w:kern w:val="0"/>
                <w:szCs w:val="21"/>
              </w:rPr>
            </w:pPr>
          </w:p>
        </w:tc>
        <w:tc>
          <w:tcPr>
            <w:tcW w:w="1674" w:type="dxa"/>
            <w:vAlign w:val="center"/>
          </w:tcPr>
          <w:p>
            <w:pPr>
              <w:snapToGrid w:val="0"/>
              <w:spacing w:line="240" w:lineRule="exact"/>
              <w:jc w:val="center"/>
              <w:rPr>
                <w:rFonts w:ascii="Times New Roman" w:hAnsi="Times New Roman" w:cs="Times New Roman" w:eastAsiaTheme="majorEastAsia"/>
                <w:b/>
                <w:color w:val="000000" w:themeColor="text1"/>
                <w:kern w:val="0"/>
                <w:szCs w:val="21"/>
              </w:rPr>
            </w:pPr>
            <w:r>
              <w:rPr>
                <w:rFonts w:ascii="Times New Roman" w:hAnsi="Times New Roman" w:cs="Times New Roman" w:eastAsiaTheme="majorEastAsia"/>
                <w:b/>
                <w:color w:val="000000" w:themeColor="text1"/>
                <w:kern w:val="0"/>
                <w:szCs w:val="21"/>
              </w:rPr>
              <w:t>浓度（mg/m</w:t>
            </w:r>
            <w:r>
              <w:rPr>
                <w:rFonts w:ascii="Times New Roman" w:hAnsi="Times New Roman" w:cs="Times New Roman" w:eastAsiaTheme="majorEastAsia"/>
                <w:b/>
                <w:color w:val="000000" w:themeColor="text1"/>
                <w:kern w:val="0"/>
                <w:szCs w:val="21"/>
                <w:vertAlign w:val="superscript"/>
              </w:rPr>
              <w:t>3</w:t>
            </w:r>
            <w:r>
              <w:rPr>
                <w:rFonts w:ascii="Times New Roman" w:hAnsi="Times New Roman" w:cs="Times New Roman" w:eastAsiaTheme="majorEastAsia"/>
                <w:b/>
                <w:color w:val="000000" w:themeColor="text1"/>
                <w:kern w:val="0"/>
                <w:szCs w:val="21"/>
              </w:rPr>
              <w:t>）</w:t>
            </w:r>
          </w:p>
        </w:tc>
        <w:tc>
          <w:tcPr>
            <w:tcW w:w="1670" w:type="dxa"/>
            <w:vAlign w:val="center"/>
          </w:tcPr>
          <w:p>
            <w:pPr>
              <w:snapToGrid w:val="0"/>
              <w:spacing w:line="240" w:lineRule="exact"/>
              <w:jc w:val="center"/>
              <w:rPr>
                <w:rFonts w:ascii="Times New Roman" w:hAnsi="Times New Roman" w:cs="Times New Roman" w:eastAsiaTheme="majorEastAsia"/>
                <w:b/>
                <w:color w:val="000000" w:themeColor="text1"/>
                <w:kern w:val="0"/>
                <w:szCs w:val="21"/>
              </w:rPr>
            </w:pPr>
            <w:r>
              <w:rPr>
                <w:rFonts w:ascii="Times New Roman" w:hAnsi="Times New Roman" w:cs="Times New Roman" w:eastAsiaTheme="majorEastAsia"/>
                <w:b/>
                <w:color w:val="000000" w:themeColor="text1"/>
                <w:kern w:val="0"/>
                <w:szCs w:val="21"/>
              </w:rPr>
              <w:t>占标率（%）</w:t>
            </w:r>
          </w:p>
        </w:tc>
        <w:tc>
          <w:tcPr>
            <w:tcW w:w="1883" w:type="dxa"/>
            <w:vAlign w:val="center"/>
          </w:tcPr>
          <w:p>
            <w:pPr>
              <w:snapToGrid w:val="0"/>
              <w:spacing w:line="240" w:lineRule="exact"/>
              <w:jc w:val="center"/>
              <w:rPr>
                <w:rFonts w:ascii="Times New Roman" w:hAnsi="Times New Roman" w:cs="Times New Roman" w:eastAsiaTheme="majorEastAsia"/>
                <w:b/>
                <w:color w:val="000000" w:themeColor="text1"/>
                <w:kern w:val="0"/>
                <w:szCs w:val="21"/>
              </w:rPr>
            </w:pPr>
            <w:r>
              <w:rPr>
                <w:rFonts w:ascii="Times New Roman" w:hAnsi="Times New Roman" w:cs="Times New Roman" w:eastAsiaTheme="majorEastAsia"/>
                <w:b/>
                <w:color w:val="000000" w:themeColor="text1"/>
                <w:kern w:val="0"/>
                <w:szCs w:val="21"/>
              </w:rPr>
              <w:t>浓度（mg/m</w:t>
            </w:r>
            <w:r>
              <w:rPr>
                <w:rFonts w:ascii="Times New Roman" w:hAnsi="Times New Roman" w:cs="Times New Roman" w:eastAsiaTheme="majorEastAsia"/>
                <w:b/>
                <w:color w:val="000000" w:themeColor="text1"/>
                <w:kern w:val="0"/>
                <w:szCs w:val="21"/>
                <w:vertAlign w:val="superscript"/>
              </w:rPr>
              <w:t>3</w:t>
            </w:r>
            <w:r>
              <w:rPr>
                <w:rFonts w:ascii="Times New Roman" w:hAnsi="Times New Roman" w:cs="Times New Roman" w:eastAsiaTheme="majorEastAsia"/>
                <w:b/>
                <w:color w:val="000000" w:themeColor="text1"/>
                <w:kern w:val="0"/>
                <w:szCs w:val="21"/>
              </w:rPr>
              <w:t>）</w:t>
            </w:r>
          </w:p>
        </w:tc>
        <w:tc>
          <w:tcPr>
            <w:tcW w:w="1745" w:type="dxa"/>
            <w:vAlign w:val="center"/>
          </w:tcPr>
          <w:p>
            <w:pPr>
              <w:snapToGrid w:val="0"/>
              <w:spacing w:line="240" w:lineRule="exact"/>
              <w:jc w:val="center"/>
              <w:rPr>
                <w:rFonts w:ascii="Times New Roman" w:hAnsi="Times New Roman" w:cs="Times New Roman" w:eastAsiaTheme="majorEastAsia"/>
                <w:b/>
                <w:color w:val="000000" w:themeColor="text1"/>
                <w:kern w:val="0"/>
                <w:szCs w:val="21"/>
              </w:rPr>
            </w:pPr>
            <w:r>
              <w:rPr>
                <w:rFonts w:ascii="Times New Roman" w:hAnsi="Times New Roman" w:cs="Times New Roman" w:eastAsiaTheme="majorEastAsia"/>
                <w:b/>
                <w:color w:val="000000" w:themeColor="text1"/>
                <w:kern w:val="0"/>
                <w:szCs w:val="21"/>
              </w:rPr>
              <w:t>占标率（%）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ascii="Times New Roman" w:hAnsi="Times New Roman" w:cs="Times New Roman" w:eastAsiaTheme="majorEastAsia"/>
                <w:color w:val="000000" w:themeColor="text1"/>
                <w:kern w:val="0"/>
                <w:szCs w:val="21"/>
              </w:rPr>
              <w:t>10</w:t>
            </w:r>
          </w:p>
        </w:tc>
        <w:tc>
          <w:tcPr>
            <w:tcW w:w="1674" w:type="dxa"/>
            <w:vAlign w:val="center"/>
          </w:tcPr>
          <w:p>
            <w:pPr>
              <w:spacing w:line="240" w:lineRule="exact"/>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1.44E-02</w:t>
            </w:r>
          </w:p>
        </w:tc>
        <w:tc>
          <w:tcPr>
            <w:tcW w:w="1670" w:type="dxa"/>
            <w:vAlign w:val="center"/>
          </w:tcPr>
          <w:p>
            <w:pPr>
              <w:spacing w:line="240" w:lineRule="exact"/>
              <w:jc w:val="center"/>
              <w:rPr>
                <w:rFonts w:ascii="Times New Roman" w:hAnsi="Times New Roman" w:cs="Times New Roman" w:eastAsiaTheme="majorEastAsia"/>
                <w:color w:val="000000" w:themeColor="text1"/>
                <w:szCs w:val="21"/>
              </w:rPr>
            </w:pPr>
            <w:r>
              <w:rPr>
                <w:rFonts w:hint="eastAsia" w:ascii="Times New Roman" w:hAnsi="Times New Roman" w:cs="Times New Roman" w:eastAsiaTheme="majorEastAsia"/>
                <w:color w:val="000000" w:themeColor="text1"/>
                <w:szCs w:val="21"/>
              </w:rPr>
              <w:t>7.22</w:t>
            </w:r>
          </w:p>
        </w:tc>
        <w:tc>
          <w:tcPr>
            <w:tcW w:w="1883" w:type="dxa"/>
            <w:vAlign w:val="center"/>
          </w:tcPr>
          <w:p>
            <w:pPr>
              <w:spacing w:line="240" w:lineRule="exact"/>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6.42E-04</w:t>
            </w:r>
          </w:p>
        </w:tc>
        <w:tc>
          <w:tcPr>
            <w:tcW w:w="1745" w:type="dxa"/>
            <w:vAlign w:val="center"/>
          </w:tcPr>
          <w:p>
            <w:pPr>
              <w:spacing w:line="240" w:lineRule="exact"/>
              <w:jc w:val="center"/>
              <w:rPr>
                <w:rFonts w:ascii="Times New Roman" w:hAnsi="Times New Roman" w:cs="Times New Roman" w:eastAsiaTheme="majorEastAsia"/>
                <w:color w:val="000000" w:themeColor="text1"/>
                <w:szCs w:val="21"/>
              </w:rPr>
            </w:pPr>
            <w:r>
              <w:rPr>
                <w:rFonts w:hint="eastAsia" w:ascii="Times New Roman" w:hAnsi="Times New Roman" w:cs="Times New Roman" w:eastAsiaTheme="majorEastAsia"/>
                <w:color w:val="000000" w:themeColor="text1"/>
                <w:szCs w:val="21"/>
              </w:rPr>
              <w:t>6.42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100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7.93E-03</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3.96</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3.52E-04</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3.52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200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3.47E-03</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1.73</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1.54E-04</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1.54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300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2.05E-03</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1.03</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9.12E-05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0.91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400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1.40E-03</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0.70</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6.23E-05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500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1.04E-03</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0.52</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4.62E-05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600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8.24E-04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0.41</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3.66E-05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700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6.67E-04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0.33</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2.97E-05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800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5.56E-04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0.28</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2.47E-05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900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4.73E-04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0.24</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2.10E-05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1000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4.10E-04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0.20</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1.82E-05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1100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3.60E-04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0.18</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1.60E-05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1200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3.19E-04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0.16</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1.42E-05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1300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2.86E-04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0.14</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1.27E-05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1400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2.59E-04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0.13</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1.15E-05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1500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2.35E-04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0.12</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1.05E-05</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1600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2.16E-04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0.11</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9.58E-06</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1700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1.98E-04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0.10</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8.82E-06</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1800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1.84E-04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0.09</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8.16E-06</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1900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1.70E-04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0.09</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7.58E-06</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2000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1.59E-04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0.08</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7.06E-06</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2100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1.49E-04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0.07</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6.61E-06</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2200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1.40E-04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0.07</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6.20E-06</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2300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1.31E-04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0.07</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5.83E-06</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2400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1.24E-04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0.06</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5.51E-06</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2500</w:t>
            </w:r>
          </w:p>
        </w:tc>
        <w:tc>
          <w:tcPr>
            <w:tcW w:w="1674"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1.17E-04</w:t>
            </w:r>
          </w:p>
        </w:tc>
        <w:tc>
          <w:tcPr>
            <w:tcW w:w="1670"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0.06</w:t>
            </w:r>
          </w:p>
        </w:tc>
        <w:tc>
          <w:tcPr>
            <w:tcW w:w="1883" w:type="dxa"/>
            <w:vAlign w:val="center"/>
          </w:tcPr>
          <w:p>
            <w:pPr>
              <w:jc w:val="center"/>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5.21E-06</w:t>
            </w:r>
          </w:p>
        </w:tc>
        <w:tc>
          <w:tcPr>
            <w:tcW w:w="1745" w:type="dxa"/>
            <w:vAlign w:val="center"/>
          </w:tcPr>
          <w:p>
            <w:pPr>
              <w:jc w:val="center"/>
              <w:rPr>
                <w:rFonts w:ascii="Times New Roman" w:hAnsi="Times New Roman" w:cs="Times New Roman" w:eastAsiaTheme="majorEastAsia"/>
                <w:color w:val="000000" w:themeColor="text1"/>
              </w:rPr>
            </w:pPr>
            <w:r>
              <w:rPr>
                <w:rFonts w:hint="eastAsia" w:ascii="Times New Roman" w:hAnsi="Times New Roman" w:cs="Times New Roman" w:eastAsiaTheme="majorEastAsia"/>
                <w:color w:val="000000" w:themeColor="text1"/>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ascii="Times New Roman" w:hAnsi="Times New Roman" w:cs="Times New Roman" w:eastAsiaTheme="majorEastAsia"/>
                <w:color w:val="000000" w:themeColor="text1"/>
                <w:kern w:val="0"/>
                <w:szCs w:val="21"/>
              </w:rPr>
              <w:t>下风向最大距离</w:t>
            </w:r>
          </w:p>
        </w:tc>
        <w:tc>
          <w:tcPr>
            <w:tcW w:w="1674"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ascii="Times New Roman" w:hAnsi="Times New Roman" w:cs="Times New Roman" w:eastAsiaTheme="majorEastAsia"/>
                <w:color w:val="000000" w:themeColor="text1"/>
                <w:kern w:val="0"/>
                <w:szCs w:val="21"/>
              </w:rPr>
              <w:t>1.91E-02</w:t>
            </w:r>
          </w:p>
        </w:tc>
        <w:tc>
          <w:tcPr>
            <w:tcW w:w="167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hint="eastAsia" w:ascii="Times New Roman" w:hAnsi="Times New Roman" w:cs="Times New Roman" w:eastAsiaTheme="majorEastAsia"/>
                <w:color w:val="000000" w:themeColor="text1"/>
                <w:kern w:val="0"/>
                <w:szCs w:val="21"/>
              </w:rPr>
              <w:t>9.56</w:t>
            </w:r>
          </w:p>
        </w:tc>
        <w:tc>
          <w:tcPr>
            <w:tcW w:w="1883" w:type="dxa"/>
            <w:vAlign w:val="center"/>
          </w:tcPr>
          <w:p>
            <w:pPr>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8.50E-04</w:t>
            </w:r>
          </w:p>
        </w:tc>
        <w:tc>
          <w:tcPr>
            <w:tcW w:w="1745" w:type="dxa"/>
            <w:vAlign w:val="center"/>
          </w:tcPr>
          <w:p>
            <w:pPr>
              <w:jc w:val="center"/>
              <w:rPr>
                <w:rFonts w:ascii="Times New Roman" w:hAnsi="Times New Roman" w:cs="Times New Roman" w:eastAsiaTheme="majorEastAsia"/>
                <w:color w:val="000000" w:themeColor="text1"/>
                <w:szCs w:val="21"/>
              </w:rPr>
            </w:pPr>
            <w:r>
              <w:rPr>
                <w:rFonts w:hint="eastAsia" w:ascii="Times New Roman" w:hAnsi="Times New Roman" w:cs="Times New Roman" w:eastAsiaTheme="majorEastAsia"/>
                <w:color w:val="000000" w:themeColor="text1"/>
                <w:szCs w:val="21"/>
              </w:rPr>
              <w:t>8.50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0" w:type="dxa"/>
            <w:vAlign w:val="center"/>
          </w:tcPr>
          <w:p>
            <w:pPr>
              <w:widowControl/>
              <w:spacing w:line="240" w:lineRule="exact"/>
              <w:jc w:val="center"/>
              <w:rPr>
                <w:rFonts w:ascii="Times New Roman" w:hAnsi="Times New Roman" w:cs="Times New Roman" w:eastAsiaTheme="majorEastAsia"/>
                <w:color w:val="000000" w:themeColor="text1"/>
                <w:kern w:val="0"/>
                <w:szCs w:val="21"/>
              </w:rPr>
            </w:pPr>
            <w:r>
              <w:rPr>
                <w:rFonts w:ascii="Times New Roman" w:hAnsi="Times New Roman" w:cs="Times New Roman" w:eastAsiaTheme="majorEastAsia"/>
                <w:color w:val="000000" w:themeColor="text1"/>
                <w:kern w:val="0"/>
                <w:szCs w:val="21"/>
              </w:rPr>
              <w:t>D10%最远距离</w:t>
            </w:r>
          </w:p>
        </w:tc>
        <w:tc>
          <w:tcPr>
            <w:tcW w:w="1674" w:type="dxa"/>
            <w:vAlign w:val="center"/>
          </w:tcPr>
          <w:p>
            <w:pPr>
              <w:spacing w:line="240" w:lineRule="exact"/>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w:t>
            </w:r>
          </w:p>
        </w:tc>
        <w:tc>
          <w:tcPr>
            <w:tcW w:w="1670" w:type="dxa"/>
            <w:vAlign w:val="center"/>
          </w:tcPr>
          <w:p>
            <w:pPr>
              <w:spacing w:line="240" w:lineRule="exact"/>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w:t>
            </w:r>
          </w:p>
        </w:tc>
        <w:tc>
          <w:tcPr>
            <w:tcW w:w="1883" w:type="dxa"/>
            <w:vAlign w:val="center"/>
          </w:tcPr>
          <w:p>
            <w:pPr>
              <w:spacing w:line="240" w:lineRule="exact"/>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w:t>
            </w:r>
          </w:p>
        </w:tc>
        <w:tc>
          <w:tcPr>
            <w:tcW w:w="1745" w:type="dxa"/>
            <w:vAlign w:val="center"/>
          </w:tcPr>
          <w:p>
            <w:pPr>
              <w:spacing w:line="240" w:lineRule="exact"/>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w:t>
            </w:r>
          </w:p>
        </w:tc>
      </w:tr>
    </w:tbl>
    <w:p>
      <w:pPr>
        <w:spacing w:line="360" w:lineRule="auto"/>
        <w:ind w:left="-23" w:firstLine="480" w:firstLineChars="200"/>
        <w:rPr>
          <w:rFonts w:ascii="Times New Roman" w:hAnsi="宋体" w:eastAsia="宋体" w:cs="Times New Roman"/>
          <w:color w:val="000000" w:themeColor="text1"/>
          <w:sz w:val="24"/>
          <w:szCs w:val="24"/>
        </w:rPr>
      </w:pPr>
      <w:r>
        <w:rPr>
          <w:rFonts w:hint="eastAsia" w:ascii="Times New Roman" w:hAnsi="宋体" w:eastAsia="宋体" w:cs="Times New Roman"/>
          <w:color w:val="000000" w:themeColor="text1"/>
          <w:sz w:val="24"/>
          <w:szCs w:val="24"/>
        </w:rPr>
        <w:t>由表5-10分析可知，由上述分析结果可知，本项目氨、硫化氢最大地面质量浓度及占标率均较小，估算模式已考虑了最不利的气象条件，分析结果表明，本项目废气排放不会对周围环境空气质量产生明显污染影响。</w:t>
      </w:r>
    </w:p>
    <w:p>
      <w:pPr>
        <w:spacing w:line="360" w:lineRule="auto"/>
        <w:ind w:left="-23" w:firstLine="480" w:firstLineChars="200"/>
        <w:rPr>
          <w:rFonts w:ascii="Times New Roman" w:hAnsi="宋体" w:eastAsia="宋体" w:cs="Times New Roman"/>
          <w:color w:val="000000" w:themeColor="text1"/>
          <w:sz w:val="24"/>
          <w:szCs w:val="24"/>
        </w:rPr>
      </w:pPr>
      <w:r>
        <w:rPr>
          <w:rFonts w:hint="eastAsia" w:ascii="Times New Roman" w:hAnsi="宋体" w:eastAsia="宋体" w:cs="Times New Roman"/>
          <w:color w:val="000000" w:themeColor="text1"/>
          <w:sz w:val="24"/>
          <w:szCs w:val="24"/>
        </w:rPr>
        <w:t>（6）厂界浓度达标分析</w:t>
      </w:r>
    </w:p>
    <w:p>
      <w:pPr>
        <w:spacing w:line="360" w:lineRule="auto"/>
        <w:ind w:left="-23" w:firstLine="480" w:firstLineChars="200"/>
        <w:rPr>
          <w:rFonts w:ascii="Times New Roman" w:hAnsi="宋体" w:eastAsia="宋体" w:cs="Times New Roman"/>
          <w:color w:val="000000" w:themeColor="text1"/>
          <w:sz w:val="24"/>
          <w:szCs w:val="24"/>
        </w:rPr>
      </w:pPr>
      <w:r>
        <w:rPr>
          <w:rFonts w:hint="eastAsia" w:ascii="Times New Roman" w:hAnsi="宋体" w:eastAsia="宋体" w:cs="Times New Roman"/>
          <w:color w:val="000000" w:themeColor="text1"/>
          <w:sz w:val="24"/>
          <w:szCs w:val="24"/>
        </w:rPr>
        <w:t>本次评价在东厂界、南厂界、西厂界、北厂界外各污染物无组织排放预测结果见表5-11。</w:t>
      </w:r>
    </w:p>
    <w:p>
      <w:pPr>
        <w:spacing w:line="360" w:lineRule="auto"/>
        <w:ind w:left="-23" w:firstLine="482" w:firstLineChars="200"/>
        <w:jc w:val="center"/>
        <w:rPr>
          <w:rFonts w:ascii="Times New Roman" w:hAnsi="宋体" w:eastAsia="宋体" w:cs="Times New Roman"/>
          <w:b/>
          <w:color w:val="000000" w:themeColor="text1"/>
          <w:sz w:val="24"/>
          <w:szCs w:val="24"/>
        </w:rPr>
      </w:pPr>
      <w:r>
        <w:rPr>
          <w:rFonts w:hint="eastAsia" w:ascii="Times New Roman" w:hAnsi="宋体" w:eastAsia="宋体" w:cs="Times New Roman"/>
          <w:b/>
          <w:color w:val="000000" w:themeColor="text1"/>
          <w:sz w:val="24"/>
          <w:szCs w:val="24"/>
        </w:rPr>
        <w:t>表5-11  本项目厂界、周界外污染物预测浓度</w:t>
      </w:r>
      <w:r>
        <w:rPr>
          <w:rFonts w:ascii="Times New Roman" w:hAnsi="Times New Roman" w:eastAsia="宋体" w:cs="Times New Roman"/>
          <w:b/>
          <w:color w:val="000000" w:themeColor="text1"/>
          <w:sz w:val="24"/>
          <w:szCs w:val="21"/>
        </w:rPr>
        <w:t>mg/m</w:t>
      </w:r>
      <w:r>
        <w:rPr>
          <w:rFonts w:ascii="Times New Roman" w:hAnsi="Times New Roman" w:eastAsia="宋体" w:cs="Times New Roman"/>
          <w:b/>
          <w:color w:val="000000" w:themeColor="text1"/>
          <w:sz w:val="24"/>
          <w:szCs w:val="21"/>
          <w:vertAlign w:val="superscript"/>
        </w:rPr>
        <w:t>3</w:t>
      </w: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844"/>
        <w:gridCol w:w="1841"/>
        <w:gridCol w:w="1561"/>
        <w:gridCol w:w="1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26" w:type="dxa"/>
            <w:vAlign w:val="center"/>
          </w:tcPr>
          <w:p>
            <w:pPr>
              <w:jc w:val="center"/>
              <w:rPr>
                <w:rFonts w:ascii="Times New Roman" w:hAnsi="宋体" w:eastAsia="宋体" w:cs="Times New Roman"/>
                <w:color w:val="000000" w:themeColor="text1"/>
                <w:szCs w:val="21"/>
              </w:rPr>
            </w:pPr>
            <w:r>
              <w:rPr>
                <w:rFonts w:hint="eastAsia" w:ascii="Times New Roman" w:hAnsi="宋体" w:eastAsia="宋体" w:cs="Times New Roman"/>
                <w:color w:val="000000" w:themeColor="text1"/>
                <w:szCs w:val="21"/>
              </w:rPr>
              <w:t>污染物</w:t>
            </w:r>
          </w:p>
        </w:tc>
        <w:tc>
          <w:tcPr>
            <w:tcW w:w="1844"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东厂界</w:t>
            </w:r>
          </w:p>
          <w:p>
            <w:pPr>
              <w:jc w:val="center"/>
              <w:rPr>
                <w:rFonts w:ascii="Times New Roman" w:hAnsi="Times New Roman" w:eastAsia="宋体" w:cs="Times New Roman"/>
                <w:color w:val="000000" w:themeColor="text1"/>
                <w:szCs w:val="21"/>
              </w:rPr>
            </w:pPr>
            <w:r>
              <w:rPr>
                <w:rFonts w:ascii="Times New Roman" w:cs="Times New Roman"/>
                <w:color w:val="000000" w:themeColor="text1"/>
                <w:szCs w:val="21"/>
              </w:rPr>
              <w:t>（距厂界</w:t>
            </w:r>
            <w:r>
              <w:rPr>
                <w:rFonts w:hint="eastAsia" w:ascii="Times New Roman" w:hAnsi="Times New Roman" w:cs="Times New Roman"/>
                <w:color w:val="000000" w:themeColor="text1"/>
                <w:szCs w:val="21"/>
              </w:rPr>
              <w:t>10</w:t>
            </w:r>
            <w:r>
              <w:rPr>
                <w:rFonts w:ascii="Times New Roman" w:hAnsi="Times New Roman" w:cs="Times New Roman"/>
                <w:color w:val="000000" w:themeColor="text1"/>
                <w:szCs w:val="21"/>
              </w:rPr>
              <w:t>m</w:t>
            </w:r>
            <w:r>
              <w:rPr>
                <w:rFonts w:ascii="Times New Roman" w:cs="Times New Roman"/>
                <w:color w:val="000000" w:themeColor="text1"/>
                <w:szCs w:val="21"/>
              </w:rPr>
              <w:t>）</w:t>
            </w:r>
          </w:p>
        </w:tc>
        <w:tc>
          <w:tcPr>
            <w:tcW w:w="1841"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南厂界</w:t>
            </w:r>
          </w:p>
          <w:p>
            <w:pPr>
              <w:jc w:val="center"/>
              <w:rPr>
                <w:rFonts w:ascii="Times New Roman" w:hAnsi="Times New Roman" w:eastAsia="宋体" w:cs="Times New Roman"/>
                <w:color w:val="000000" w:themeColor="text1"/>
                <w:szCs w:val="21"/>
              </w:rPr>
            </w:pPr>
            <w:r>
              <w:rPr>
                <w:rFonts w:ascii="Times New Roman" w:cs="Times New Roman"/>
                <w:color w:val="000000" w:themeColor="text1"/>
                <w:szCs w:val="21"/>
              </w:rPr>
              <w:t>（距厂界</w:t>
            </w:r>
            <w:r>
              <w:rPr>
                <w:rFonts w:hint="eastAsia" w:ascii="Times New Roman" w:hAnsi="Times New Roman" w:cs="Times New Roman"/>
                <w:color w:val="000000" w:themeColor="text1"/>
                <w:szCs w:val="21"/>
              </w:rPr>
              <w:t>10</w:t>
            </w:r>
            <w:r>
              <w:rPr>
                <w:rFonts w:ascii="Times New Roman" w:hAnsi="Times New Roman" w:cs="Times New Roman"/>
                <w:color w:val="000000" w:themeColor="text1"/>
                <w:szCs w:val="21"/>
              </w:rPr>
              <w:t>m</w:t>
            </w:r>
            <w:r>
              <w:rPr>
                <w:rFonts w:ascii="Times New Roman" w:cs="Times New Roman"/>
                <w:color w:val="000000" w:themeColor="text1"/>
                <w:szCs w:val="21"/>
              </w:rPr>
              <w:t>）</w:t>
            </w:r>
          </w:p>
        </w:tc>
        <w:tc>
          <w:tcPr>
            <w:tcW w:w="1561"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西厂界</w:t>
            </w:r>
          </w:p>
          <w:p>
            <w:pPr>
              <w:jc w:val="center"/>
              <w:rPr>
                <w:rFonts w:ascii="Times New Roman" w:hAnsi="Times New Roman" w:eastAsia="宋体" w:cs="Times New Roman"/>
                <w:color w:val="000000" w:themeColor="text1"/>
                <w:szCs w:val="21"/>
              </w:rPr>
            </w:pPr>
            <w:r>
              <w:rPr>
                <w:rFonts w:ascii="Times New Roman" w:cs="Times New Roman"/>
                <w:color w:val="000000" w:themeColor="text1"/>
                <w:szCs w:val="21"/>
              </w:rPr>
              <w:t>（距厂界</w:t>
            </w:r>
            <w:r>
              <w:rPr>
                <w:rFonts w:hint="eastAsia" w:ascii="Times New Roman" w:hAnsi="Times New Roman" w:cs="Times New Roman"/>
                <w:color w:val="000000" w:themeColor="text1"/>
                <w:szCs w:val="21"/>
              </w:rPr>
              <w:t>10</w:t>
            </w:r>
            <w:r>
              <w:rPr>
                <w:rFonts w:ascii="Times New Roman" w:hAnsi="Times New Roman" w:cs="Times New Roman"/>
                <w:color w:val="000000" w:themeColor="text1"/>
                <w:szCs w:val="21"/>
              </w:rPr>
              <w:t>m</w:t>
            </w:r>
            <w:r>
              <w:rPr>
                <w:rFonts w:ascii="Times New Roman" w:cs="Times New Roman"/>
                <w:color w:val="000000" w:themeColor="text1"/>
                <w:szCs w:val="21"/>
              </w:rPr>
              <w:t>）</w:t>
            </w:r>
          </w:p>
        </w:tc>
        <w:tc>
          <w:tcPr>
            <w:tcW w:w="1750" w:type="dxa"/>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北厂界</w:t>
            </w:r>
          </w:p>
          <w:p>
            <w:pPr>
              <w:jc w:val="center"/>
              <w:rPr>
                <w:rFonts w:ascii="Times New Roman" w:hAnsi="Times New Roman" w:eastAsia="宋体" w:cs="Times New Roman"/>
                <w:color w:val="000000" w:themeColor="text1"/>
                <w:szCs w:val="21"/>
              </w:rPr>
            </w:pPr>
            <w:r>
              <w:rPr>
                <w:rFonts w:ascii="Times New Roman" w:cs="Times New Roman"/>
                <w:color w:val="000000" w:themeColor="text1"/>
                <w:szCs w:val="21"/>
              </w:rPr>
              <w:t>（距厂界</w:t>
            </w:r>
            <w:r>
              <w:rPr>
                <w:rFonts w:hint="eastAsia" w:ascii="Times New Roman" w:hAnsi="Times New Roman" w:cs="Times New Roman"/>
                <w:color w:val="000000" w:themeColor="text1"/>
                <w:szCs w:val="21"/>
              </w:rPr>
              <w:t>200</w:t>
            </w:r>
            <w:r>
              <w:rPr>
                <w:rFonts w:ascii="Times New Roman" w:hAnsi="Times New Roman" w:cs="Times New Roman"/>
                <w:color w:val="000000" w:themeColor="text1"/>
                <w:szCs w:val="21"/>
              </w:rPr>
              <w:t>m</w:t>
            </w:r>
            <w:r>
              <w:rPr>
                <w:rFonts w:ascii="Times New Roman" w:cs="Times New Roman"/>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26" w:type="dxa"/>
            <w:vAlign w:val="center"/>
          </w:tcPr>
          <w:p>
            <w:pPr>
              <w:jc w:val="center"/>
              <w:rPr>
                <w:rFonts w:ascii="Times New Roman" w:hAnsi="宋体" w:eastAsia="宋体" w:cs="Times New Roman"/>
                <w:color w:val="000000" w:themeColor="text1"/>
                <w:szCs w:val="21"/>
              </w:rPr>
            </w:pPr>
            <w:r>
              <w:rPr>
                <w:rFonts w:hint="eastAsia" w:ascii="Times New Roman" w:hAnsi="宋体" w:eastAsia="宋体" w:cs="Times New Roman"/>
                <w:color w:val="000000" w:themeColor="text1"/>
                <w:szCs w:val="21"/>
              </w:rPr>
              <w:t>氨</w:t>
            </w:r>
          </w:p>
        </w:tc>
        <w:tc>
          <w:tcPr>
            <w:tcW w:w="1844" w:type="dxa"/>
            <w:vAlign w:val="center"/>
          </w:tcPr>
          <w:p>
            <w:pPr>
              <w:jc w:val="center"/>
              <w:rPr>
                <w:rFonts w:ascii="Times New Roman" w:hAnsi="宋体" w:eastAsia="宋体" w:cs="Times New Roman"/>
                <w:color w:val="000000" w:themeColor="text1"/>
                <w:szCs w:val="21"/>
              </w:rPr>
            </w:pPr>
            <w:r>
              <w:rPr>
                <w:rFonts w:ascii="Times New Roman" w:hAnsi="宋体" w:eastAsia="宋体" w:cs="Times New Roman"/>
                <w:color w:val="000000" w:themeColor="text1"/>
                <w:szCs w:val="21"/>
              </w:rPr>
              <w:t>3.26E-06</w:t>
            </w:r>
          </w:p>
        </w:tc>
        <w:tc>
          <w:tcPr>
            <w:tcW w:w="1841" w:type="dxa"/>
            <w:vAlign w:val="center"/>
          </w:tcPr>
          <w:p>
            <w:pPr>
              <w:jc w:val="center"/>
              <w:rPr>
                <w:rFonts w:ascii="Times New Roman" w:hAnsi="宋体" w:eastAsia="宋体" w:cs="Times New Roman"/>
                <w:color w:val="000000" w:themeColor="text1"/>
                <w:szCs w:val="21"/>
              </w:rPr>
            </w:pPr>
            <w:r>
              <w:rPr>
                <w:rFonts w:ascii="Times New Roman" w:hAnsi="宋体" w:eastAsia="宋体" w:cs="Times New Roman"/>
                <w:color w:val="000000" w:themeColor="text1"/>
                <w:szCs w:val="21"/>
              </w:rPr>
              <w:t>2.73E-05</w:t>
            </w:r>
          </w:p>
        </w:tc>
        <w:tc>
          <w:tcPr>
            <w:tcW w:w="1561" w:type="dxa"/>
            <w:vAlign w:val="center"/>
          </w:tcPr>
          <w:p>
            <w:pPr>
              <w:jc w:val="center"/>
              <w:rPr>
                <w:rFonts w:ascii="Times New Roman" w:hAnsi="宋体" w:eastAsia="宋体" w:cs="Times New Roman"/>
                <w:color w:val="000000" w:themeColor="text1"/>
                <w:szCs w:val="21"/>
              </w:rPr>
            </w:pPr>
            <w:r>
              <w:rPr>
                <w:rFonts w:ascii="Times New Roman" w:hAnsi="宋体" w:eastAsia="宋体" w:cs="Times New Roman"/>
                <w:color w:val="000000" w:themeColor="text1"/>
                <w:szCs w:val="21"/>
              </w:rPr>
              <w:t>3.26E-06</w:t>
            </w:r>
          </w:p>
        </w:tc>
        <w:tc>
          <w:tcPr>
            <w:tcW w:w="1750" w:type="dxa"/>
            <w:vAlign w:val="center"/>
          </w:tcPr>
          <w:p>
            <w:pPr>
              <w:jc w:val="center"/>
              <w:rPr>
                <w:rFonts w:ascii="Times New Roman" w:hAnsi="宋体" w:eastAsia="宋体" w:cs="Times New Roman"/>
                <w:color w:val="000000" w:themeColor="text1"/>
                <w:szCs w:val="21"/>
              </w:rPr>
            </w:pPr>
            <w:r>
              <w:rPr>
                <w:rFonts w:ascii="Times New Roman" w:hAnsi="宋体" w:eastAsia="宋体" w:cs="Times New Roman"/>
                <w:color w:val="000000" w:themeColor="text1"/>
                <w:szCs w:val="21"/>
              </w:rPr>
              <w:t>3.26E-06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26" w:type="dxa"/>
            <w:vAlign w:val="center"/>
          </w:tcPr>
          <w:p>
            <w:pPr>
              <w:jc w:val="center"/>
              <w:rPr>
                <w:rFonts w:ascii="Times New Roman" w:hAnsi="宋体" w:eastAsia="宋体" w:cs="Times New Roman"/>
                <w:color w:val="000000" w:themeColor="text1"/>
                <w:szCs w:val="21"/>
              </w:rPr>
            </w:pPr>
            <w:r>
              <w:rPr>
                <w:rFonts w:hint="eastAsia" w:ascii="Times New Roman" w:hAnsi="宋体" w:eastAsia="宋体" w:cs="Times New Roman"/>
                <w:color w:val="000000" w:themeColor="text1"/>
                <w:szCs w:val="21"/>
              </w:rPr>
              <w:t>硫化氢</w:t>
            </w:r>
          </w:p>
        </w:tc>
        <w:tc>
          <w:tcPr>
            <w:tcW w:w="1844" w:type="dxa"/>
            <w:vAlign w:val="center"/>
          </w:tcPr>
          <w:p>
            <w:pPr>
              <w:jc w:val="center"/>
              <w:rPr>
                <w:rFonts w:ascii="Times New Roman" w:hAnsi="宋体" w:eastAsia="宋体" w:cs="Times New Roman"/>
                <w:color w:val="000000" w:themeColor="text1"/>
                <w:szCs w:val="21"/>
              </w:rPr>
            </w:pPr>
            <w:r>
              <w:rPr>
                <w:rFonts w:ascii="Times New Roman" w:hAnsi="宋体" w:eastAsia="宋体" w:cs="Times New Roman"/>
                <w:color w:val="000000" w:themeColor="text1"/>
                <w:szCs w:val="21"/>
              </w:rPr>
              <w:t>3.84E-07</w:t>
            </w:r>
          </w:p>
        </w:tc>
        <w:tc>
          <w:tcPr>
            <w:tcW w:w="1841" w:type="dxa"/>
            <w:vAlign w:val="center"/>
          </w:tcPr>
          <w:p>
            <w:pPr>
              <w:jc w:val="center"/>
              <w:rPr>
                <w:rFonts w:ascii="Times New Roman" w:hAnsi="宋体" w:eastAsia="宋体" w:cs="Times New Roman"/>
                <w:color w:val="000000" w:themeColor="text1"/>
                <w:szCs w:val="21"/>
              </w:rPr>
            </w:pPr>
            <w:r>
              <w:rPr>
                <w:rFonts w:ascii="Times New Roman" w:hAnsi="宋体" w:eastAsia="宋体" w:cs="Times New Roman"/>
                <w:color w:val="000000" w:themeColor="text1"/>
                <w:szCs w:val="21"/>
              </w:rPr>
              <w:t>3.22E-06</w:t>
            </w:r>
          </w:p>
        </w:tc>
        <w:tc>
          <w:tcPr>
            <w:tcW w:w="1561" w:type="dxa"/>
            <w:vAlign w:val="center"/>
          </w:tcPr>
          <w:p>
            <w:pPr>
              <w:jc w:val="center"/>
              <w:rPr>
                <w:rFonts w:ascii="Times New Roman" w:hAnsi="宋体" w:eastAsia="宋体" w:cs="Times New Roman"/>
                <w:color w:val="000000" w:themeColor="text1"/>
                <w:szCs w:val="21"/>
              </w:rPr>
            </w:pPr>
            <w:r>
              <w:rPr>
                <w:rFonts w:ascii="Times New Roman" w:hAnsi="宋体" w:eastAsia="宋体" w:cs="Times New Roman"/>
                <w:color w:val="000000" w:themeColor="text1"/>
                <w:szCs w:val="21"/>
              </w:rPr>
              <w:t>3.84E-07</w:t>
            </w:r>
          </w:p>
        </w:tc>
        <w:tc>
          <w:tcPr>
            <w:tcW w:w="1750" w:type="dxa"/>
            <w:vAlign w:val="center"/>
          </w:tcPr>
          <w:p>
            <w:pPr>
              <w:jc w:val="center"/>
              <w:rPr>
                <w:rFonts w:ascii="Times New Roman" w:hAnsi="宋体" w:eastAsia="宋体" w:cs="Times New Roman"/>
                <w:color w:val="000000" w:themeColor="text1"/>
                <w:szCs w:val="21"/>
              </w:rPr>
            </w:pPr>
            <w:r>
              <w:rPr>
                <w:rFonts w:ascii="Times New Roman" w:hAnsi="宋体" w:eastAsia="宋体" w:cs="Times New Roman"/>
                <w:color w:val="000000" w:themeColor="text1"/>
                <w:szCs w:val="21"/>
              </w:rPr>
              <w:t>3.84E-07</w:t>
            </w:r>
          </w:p>
        </w:tc>
      </w:tr>
    </w:tbl>
    <w:p>
      <w:pPr>
        <w:spacing w:line="360" w:lineRule="auto"/>
        <w:ind w:left="-23" w:firstLine="480" w:firstLineChars="200"/>
        <w:rPr>
          <w:rFonts w:ascii="Times New Roman" w:hAnsi="宋体" w:eastAsia="宋体" w:cs="Times New Roman"/>
          <w:color w:val="000000" w:themeColor="text1"/>
          <w:sz w:val="24"/>
          <w:szCs w:val="24"/>
        </w:rPr>
      </w:pPr>
      <w:r>
        <w:rPr>
          <w:rFonts w:hint="eastAsia" w:ascii="Times New Roman" w:hAnsi="宋体" w:eastAsia="宋体" w:cs="Times New Roman"/>
          <w:color w:val="000000" w:themeColor="text1"/>
          <w:sz w:val="24"/>
          <w:szCs w:val="24"/>
        </w:rPr>
        <w:t>由表5-11可以看出，厂界</w:t>
      </w:r>
      <w:r>
        <w:rPr>
          <w:rFonts w:ascii="Times New Roman" w:hAnsi="宋体" w:eastAsia="宋体" w:cs="Times New Roman"/>
          <w:color w:val="000000" w:themeColor="text1"/>
          <w:sz w:val="24"/>
          <w:szCs w:val="24"/>
        </w:rPr>
        <w:t>硫化氢</w:t>
      </w:r>
      <w:r>
        <w:rPr>
          <w:rFonts w:hint="eastAsia" w:ascii="Times New Roman" w:hAnsi="宋体" w:eastAsia="宋体" w:cs="Times New Roman"/>
          <w:color w:val="000000" w:themeColor="text1"/>
          <w:sz w:val="24"/>
          <w:szCs w:val="24"/>
        </w:rPr>
        <w:t>、氨无组织</w:t>
      </w:r>
      <w:r>
        <w:rPr>
          <w:rFonts w:ascii="Times New Roman" w:hAnsi="宋体" w:eastAsia="宋体" w:cs="Times New Roman"/>
          <w:color w:val="000000" w:themeColor="text1"/>
          <w:sz w:val="24"/>
          <w:szCs w:val="24"/>
        </w:rPr>
        <w:t>排放</w:t>
      </w:r>
      <w:r>
        <w:rPr>
          <w:rFonts w:hint="eastAsia" w:ascii="Times New Roman" w:hAnsi="宋体" w:eastAsia="宋体" w:cs="Times New Roman"/>
          <w:color w:val="000000" w:themeColor="text1"/>
          <w:sz w:val="24"/>
          <w:szCs w:val="24"/>
        </w:rPr>
        <w:t>浓度满足《医疗机构水污染物排放标准》（GB18466-2005）表3污水处理站周边大气污染物最高允许浓度（氨≤1.0mg/m</w:t>
      </w:r>
      <w:r>
        <w:rPr>
          <w:rFonts w:hint="eastAsia" w:ascii="Times New Roman" w:hAnsi="宋体" w:eastAsia="宋体" w:cs="Times New Roman"/>
          <w:color w:val="000000" w:themeColor="text1"/>
          <w:sz w:val="24"/>
          <w:szCs w:val="24"/>
          <w:vertAlign w:val="superscript"/>
        </w:rPr>
        <w:t>3</w:t>
      </w:r>
      <w:r>
        <w:rPr>
          <w:rFonts w:hint="eastAsia" w:ascii="Times New Roman" w:hAnsi="宋体" w:eastAsia="宋体" w:cs="Times New Roman"/>
          <w:color w:val="000000" w:themeColor="text1"/>
          <w:sz w:val="24"/>
          <w:szCs w:val="24"/>
        </w:rPr>
        <w:t>、硫化氢≤0.03mg/m</w:t>
      </w:r>
      <w:r>
        <w:rPr>
          <w:rFonts w:hint="eastAsia" w:ascii="Times New Roman" w:hAnsi="宋体" w:eastAsia="宋体" w:cs="Times New Roman"/>
          <w:color w:val="000000" w:themeColor="text1"/>
          <w:sz w:val="24"/>
          <w:szCs w:val="24"/>
          <w:vertAlign w:val="superscript"/>
        </w:rPr>
        <w:t>3</w:t>
      </w:r>
      <w:r>
        <w:rPr>
          <w:rFonts w:hint="eastAsia" w:ascii="Times New Roman" w:hAnsi="宋体" w:eastAsia="宋体" w:cs="Times New Roman"/>
          <w:color w:val="000000" w:themeColor="text1"/>
          <w:sz w:val="24"/>
          <w:szCs w:val="24"/>
        </w:rPr>
        <w:t>）</w:t>
      </w:r>
      <w:r>
        <w:rPr>
          <w:rFonts w:ascii="Times New Roman" w:hAnsi="宋体" w:eastAsia="宋体" w:cs="Times New Roman"/>
          <w:color w:val="000000" w:themeColor="text1"/>
          <w:sz w:val="24"/>
          <w:szCs w:val="24"/>
        </w:rPr>
        <w:t>。</w:t>
      </w:r>
      <w:r>
        <w:rPr>
          <w:rFonts w:hint="eastAsia" w:ascii="Times New Roman" w:hAnsi="宋体" w:eastAsia="宋体" w:cs="Times New Roman"/>
          <w:color w:val="000000" w:themeColor="text1"/>
          <w:sz w:val="24"/>
          <w:szCs w:val="24"/>
        </w:rPr>
        <w:t>厂界浓度均达标。</w:t>
      </w:r>
    </w:p>
    <w:p>
      <w:pPr>
        <w:pStyle w:val="5"/>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5.2.1.3 污染物排放量核算</w:t>
      </w:r>
    </w:p>
    <w:p>
      <w:pPr>
        <w:spacing w:line="360" w:lineRule="auto"/>
        <w:ind w:left="-23" w:firstLine="480" w:firstLineChars="200"/>
        <w:rPr>
          <w:rFonts w:ascii="Times New Roman" w:hAnsi="宋体" w:eastAsia="宋体" w:cs="Times New Roman"/>
          <w:color w:val="000000" w:themeColor="text1"/>
          <w:sz w:val="24"/>
          <w:szCs w:val="24"/>
        </w:rPr>
      </w:pPr>
      <w:r>
        <w:rPr>
          <w:rFonts w:hint="eastAsia" w:ascii="Times New Roman" w:hAnsi="宋体" w:eastAsia="宋体" w:cs="Times New Roman"/>
          <w:color w:val="000000" w:themeColor="text1"/>
          <w:sz w:val="24"/>
          <w:szCs w:val="24"/>
        </w:rPr>
        <w:t>1、</w:t>
      </w:r>
      <w:r>
        <w:rPr>
          <w:rFonts w:hint="eastAsia" w:ascii="Times New Roman" w:hAnsi="Times New Roman" w:cs="Times New Roman"/>
          <w:color w:val="000000" w:themeColor="text1"/>
          <w:sz w:val="24"/>
          <w:szCs w:val="24"/>
        </w:rPr>
        <w:t>有组织排放量核算</w:t>
      </w:r>
    </w:p>
    <w:p>
      <w:pPr>
        <w:spacing w:line="440" w:lineRule="exact"/>
        <w:ind w:firstLine="482" w:firstLineChars="20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表</w:t>
      </w:r>
      <w:r>
        <w:rPr>
          <w:rFonts w:hint="eastAsia" w:ascii="Times New Roman" w:hAnsi="Times New Roman" w:cs="Times New Roman"/>
          <w:b/>
          <w:color w:val="000000" w:themeColor="text1"/>
          <w:sz w:val="24"/>
          <w:szCs w:val="24"/>
        </w:rPr>
        <w:t>5-12</w:t>
      </w:r>
      <w:r>
        <w:rPr>
          <w:rFonts w:ascii="Times New Roman" w:hAnsi="Times New Roman" w:cs="Times New Roman"/>
          <w:b/>
          <w:color w:val="000000" w:themeColor="text1"/>
          <w:sz w:val="24"/>
          <w:szCs w:val="24"/>
        </w:rPr>
        <w:t xml:space="preserve">  </w:t>
      </w:r>
      <w:r>
        <w:rPr>
          <w:rFonts w:hint="eastAsia"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大气污染物有组织排放量核算表</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420"/>
        <w:gridCol w:w="1420"/>
        <w:gridCol w:w="1421"/>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1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序号</w:t>
            </w:r>
          </w:p>
        </w:tc>
        <w:tc>
          <w:tcPr>
            <w:tcW w:w="142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排放口编号</w:t>
            </w:r>
          </w:p>
        </w:tc>
        <w:tc>
          <w:tcPr>
            <w:tcW w:w="142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污染物</w:t>
            </w:r>
          </w:p>
        </w:tc>
        <w:tc>
          <w:tcPr>
            <w:tcW w:w="142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核算排放浓度</w:t>
            </w:r>
            <w:r>
              <w:rPr>
                <w:rFonts w:ascii="Times New Roman" w:hAnsi="Times New Roman" w:cs="Times New Roman"/>
                <w:color w:val="000000" w:themeColor="text1"/>
                <w:szCs w:val="21"/>
              </w:rPr>
              <w:t>/</w:t>
            </w:r>
            <w:r>
              <w:rPr>
                <w:rFonts w:ascii="Times New Roman" w:cs="Times New Roman" w:hAnsiTheme="minorEastAsia"/>
                <w:color w:val="000000" w:themeColor="text1"/>
                <w:szCs w:val="21"/>
              </w:rPr>
              <w:t>（</w:t>
            </w:r>
            <w:r>
              <w:rPr>
                <w:rFonts w:ascii="Times New Roman" w:hAnsi="Times New Roman" w:cs="Times New Roman"/>
                <w:color w:val="000000" w:themeColor="text1"/>
                <w:szCs w:val="21"/>
              </w:rPr>
              <w:t>mg/m</w:t>
            </w:r>
            <w:r>
              <w:rPr>
                <w:rFonts w:ascii="Times New Roman" w:hAnsi="Times New Roman" w:cs="Times New Roman"/>
                <w:color w:val="000000" w:themeColor="text1"/>
                <w:szCs w:val="21"/>
                <w:vertAlign w:val="superscript"/>
              </w:rPr>
              <w:t>3</w:t>
            </w:r>
            <w:r>
              <w:rPr>
                <w:rFonts w:ascii="Times New Roman" w:cs="Times New Roman" w:hAnsiTheme="minorEastAsia"/>
                <w:color w:val="000000" w:themeColor="text1"/>
                <w:szCs w:val="21"/>
              </w:rPr>
              <w:t>）</w:t>
            </w:r>
          </w:p>
        </w:tc>
        <w:tc>
          <w:tcPr>
            <w:tcW w:w="142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核算排放速率</w:t>
            </w:r>
            <w:r>
              <w:rPr>
                <w:rFonts w:ascii="Times New Roman" w:hAnsi="Times New Roman" w:cs="Times New Roman"/>
                <w:color w:val="000000" w:themeColor="text1"/>
                <w:szCs w:val="21"/>
              </w:rPr>
              <w:t>/</w:t>
            </w:r>
            <w:r>
              <w:rPr>
                <w:rFonts w:ascii="Times New Roman" w:cs="Times New Roman" w:hAnsiTheme="minorEastAsia"/>
                <w:color w:val="000000" w:themeColor="text1"/>
                <w:szCs w:val="21"/>
              </w:rPr>
              <w:t>（</w:t>
            </w:r>
            <w:r>
              <w:rPr>
                <w:rFonts w:ascii="Times New Roman" w:hAnsi="Times New Roman" w:cs="Times New Roman"/>
                <w:color w:val="000000" w:themeColor="text1"/>
                <w:szCs w:val="21"/>
              </w:rPr>
              <w:t>kg/h</w:t>
            </w:r>
            <w:r>
              <w:rPr>
                <w:rFonts w:ascii="Times New Roman" w:cs="Times New Roman" w:hAnsiTheme="minorEastAsia"/>
                <w:color w:val="000000" w:themeColor="text1"/>
                <w:szCs w:val="21"/>
              </w:rPr>
              <w:t>）</w:t>
            </w:r>
          </w:p>
        </w:tc>
        <w:tc>
          <w:tcPr>
            <w:tcW w:w="142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核算年排放量</w:t>
            </w:r>
            <w:r>
              <w:rPr>
                <w:rFonts w:ascii="Times New Roman" w:hAnsi="Times New Roman" w:cs="Times New Roman"/>
                <w:color w:val="000000" w:themeColor="text1"/>
                <w:szCs w:val="21"/>
              </w:rPr>
              <w:t>/</w:t>
            </w:r>
            <w:r>
              <w:rPr>
                <w:rFonts w:ascii="Times New Roman" w:cs="Times New Roman" w:hAnsiTheme="minorEastAsia"/>
                <w:color w:val="000000" w:themeColor="text1"/>
                <w:szCs w:val="21"/>
              </w:rPr>
              <w:t>（</w:t>
            </w:r>
            <w:r>
              <w:rPr>
                <w:rFonts w:ascii="Times New Roman" w:hAnsi="Times New Roman" w:cs="Times New Roman"/>
                <w:color w:val="000000" w:themeColor="text1"/>
                <w:szCs w:val="21"/>
              </w:rPr>
              <w:t>t/a</w:t>
            </w:r>
            <w:r>
              <w:rPr>
                <w:rFonts w:ascii="Times New Roman" w:cs="Times New Roman" w:hAnsiTheme="minor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22" w:type="dxa"/>
            <w:gridSpan w:val="6"/>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hint="eastAsia" w:ascii="Times New Roman" w:cs="Times New Roman" w:hAnsiTheme="minorEastAsia"/>
                <w:color w:val="000000" w:themeColor="text1"/>
                <w:szCs w:val="21"/>
              </w:rPr>
              <w:t>一般</w:t>
            </w:r>
            <w:r>
              <w:rPr>
                <w:rFonts w:ascii="Times New Roman" w:cs="Times New Roman" w:hAnsiTheme="minorEastAsia"/>
                <w:color w:val="000000" w:themeColor="text1"/>
                <w:szCs w:val="21"/>
              </w:rPr>
              <w:t>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19" w:type="dxa"/>
            <w:vMerge w:val="restart"/>
            <w:tcBorders>
              <w:left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1420" w:type="dxa"/>
            <w:vMerge w:val="restart"/>
            <w:tcBorders>
              <w:left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DA001</w:t>
            </w:r>
          </w:p>
        </w:tc>
        <w:tc>
          <w:tcPr>
            <w:tcW w:w="142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hint="eastAsia" w:ascii="Times New Roman" w:cs="Times New Roman" w:hAnsiTheme="minorEastAsia"/>
                <w:color w:val="000000" w:themeColor="text1"/>
                <w:szCs w:val="21"/>
              </w:rPr>
              <w:t>氨</w:t>
            </w:r>
          </w:p>
        </w:tc>
        <w:tc>
          <w:tcPr>
            <w:tcW w:w="142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6.450</w:t>
            </w:r>
          </w:p>
        </w:tc>
        <w:tc>
          <w:tcPr>
            <w:tcW w:w="142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0.064</w:t>
            </w:r>
          </w:p>
        </w:tc>
        <w:tc>
          <w:tcPr>
            <w:tcW w:w="142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19"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rPr>
            </w:pPr>
          </w:p>
        </w:tc>
        <w:tc>
          <w:tcPr>
            <w:tcW w:w="1420"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rPr>
            </w:pPr>
          </w:p>
        </w:tc>
        <w:tc>
          <w:tcPr>
            <w:tcW w:w="142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H</w:t>
            </w:r>
            <w:r>
              <w:rPr>
                <w:rFonts w:hint="eastAsia" w:ascii="Times New Roman" w:hAnsi="Times New Roman" w:cs="Times New Roman"/>
                <w:color w:val="000000" w:themeColor="text1"/>
                <w:szCs w:val="21"/>
                <w:vertAlign w:val="subscript"/>
              </w:rPr>
              <w:t>2</w:t>
            </w:r>
            <w:r>
              <w:rPr>
                <w:rFonts w:hint="eastAsia" w:ascii="Times New Roman" w:hAnsi="Times New Roman" w:cs="Times New Roman"/>
                <w:color w:val="000000" w:themeColor="text1"/>
                <w:szCs w:val="21"/>
              </w:rPr>
              <w:t>S</w:t>
            </w:r>
          </w:p>
        </w:tc>
        <w:tc>
          <w:tcPr>
            <w:tcW w:w="142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0.262</w:t>
            </w:r>
          </w:p>
        </w:tc>
        <w:tc>
          <w:tcPr>
            <w:tcW w:w="142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0.003</w:t>
            </w:r>
          </w:p>
        </w:tc>
        <w:tc>
          <w:tcPr>
            <w:tcW w:w="142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39"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hint="eastAsia" w:ascii="Times New Roman" w:cs="Times New Roman" w:hAnsiTheme="minorEastAsia"/>
                <w:color w:val="000000" w:themeColor="text1"/>
                <w:szCs w:val="21"/>
              </w:rPr>
              <w:t>一般</w:t>
            </w:r>
            <w:r>
              <w:rPr>
                <w:rFonts w:ascii="Times New Roman" w:cs="Times New Roman" w:hAnsiTheme="minorEastAsia"/>
                <w:color w:val="000000" w:themeColor="text1"/>
                <w:szCs w:val="21"/>
              </w:rPr>
              <w:t>排放口合计</w:t>
            </w:r>
          </w:p>
        </w:tc>
        <w:tc>
          <w:tcPr>
            <w:tcW w:w="4262" w:type="dxa"/>
            <w:gridSpan w:val="3"/>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hint="eastAsia" w:ascii="Times New Roman" w:cs="Times New Roman" w:hAnsiTheme="minorEastAsia"/>
                <w:color w:val="000000" w:themeColor="text1"/>
                <w:szCs w:val="21"/>
              </w:rPr>
              <w:t>氨</w:t>
            </w:r>
          </w:p>
        </w:tc>
        <w:tc>
          <w:tcPr>
            <w:tcW w:w="142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3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rPr>
            </w:pPr>
          </w:p>
        </w:tc>
        <w:tc>
          <w:tcPr>
            <w:tcW w:w="4262" w:type="dxa"/>
            <w:gridSpan w:val="3"/>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H</w:t>
            </w:r>
            <w:r>
              <w:rPr>
                <w:rFonts w:hint="eastAsia" w:ascii="Times New Roman" w:hAnsi="Times New Roman" w:cs="Times New Roman"/>
                <w:color w:val="000000" w:themeColor="text1"/>
                <w:szCs w:val="21"/>
                <w:vertAlign w:val="subscript"/>
              </w:rPr>
              <w:t>2</w:t>
            </w:r>
            <w:r>
              <w:rPr>
                <w:rFonts w:hint="eastAsia" w:ascii="Times New Roman" w:hAnsi="Times New Roman" w:cs="Times New Roman"/>
                <w:color w:val="000000" w:themeColor="text1"/>
                <w:szCs w:val="21"/>
              </w:rPr>
              <w:t>S</w:t>
            </w:r>
          </w:p>
        </w:tc>
        <w:tc>
          <w:tcPr>
            <w:tcW w:w="142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0.023</w:t>
            </w:r>
          </w:p>
        </w:tc>
      </w:tr>
    </w:tbl>
    <w:p>
      <w:pPr>
        <w:spacing w:line="360" w:lineRule="auto"/>
        <w:ind w:left="-23" w:firstLine="480" w:firstLineChars="200"/>
        <w:rPr>
          <w:rFonts w:ascii="Times New Roman" w:hAnsi="宋体" w:eastAsia="宋体" w:cs="Times New Roman"/>
          <w:color w:val="000000" w:themeColor="text1"/>
          <w:sz w:val="24"/>
          <w:szCs w:val="24"/>
        </w:rPr>
      </w:pPr>
      <w:r>
        <w:rPr>
          <w:rFonts w:hint="eastAsia" w:ascii="Times New Roman" w:hAnsi="宋体" w:eastAsia="宋体" w:cs="Times New Roman"/>
          <w:color w:val="000000" w:themeColor="text1"/>
          <w:sz w:val="24"/>
          <w:szCs w:val="24"/>
        </w:rPr>
        <w:t>2、</w:t>
      </w:r>
      <w:r>
        <w:rPr>
          <w:rFonts w:ascii="Times New Roman" w:hAnsi="Times New Roman" w:cs="Times New Roman"/>
          <w:color w:val="000000" w:themeColor="text1"/>
          <w:sz w:val="24"/>
          <w:szCs w:val="24"/>
        </w:rPr>
        <w:t>无组织排放量核算</w:t>
      </w:r>
    </w:p>
    <w:p>
      <w:pPr>
        <w:spacing w:line="440" w:lineRule="exact"/>
        <w:ind w:firstLine="482" w:firstLineChars="20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表</w:t>
      </w:r>
      <w:r>
        <w:rPr>
          <w:rFonts w:hint="eastAsia" w:ascii="Times New Roman" w:hAnsi="Times New Roman" w:cs="Times New Roman"/>
          <w:b/>
          <w:color w:val="000000" w:themeColor="text1"/>
          <w:sz w:val="24"/>
          <w:szCs w:val="24"/>
        </w:rPr>
        <w:t>5-13</w:t>
      </w:r>
      <w:r>
        <w:rPr>
          <w:rFonts w:ascii="Times New Roman" w:hAnsi="Times New Roman" w:cs="Times New Roman"/>
          <w:b/>
          <w:color w:val="000000" w:themeColor="text1"/>
          <w:sz w:val="24"/>
          <w:szCs w:val="24"/>
        </w:rPr>
        <w:t xml:space="preserve"> </w:t>
      </w:r>
      <w:r>
        <w:rPr>
          <w:rFonts w:hint="eastAsia"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大气污染物无组织排放量核算表</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921"/>
        <w:gridCol w:w="968"/>
        <w:gridCol w:w="964"/>
        <w:gridCol w:w="765"/>
        <w:gridCol w:w="2246"/>
        <w:gridCol w:w="1198"/>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85" w:type="dxa"/>
            <w:vMerge w:val="restar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序号</w:t>
            </w:r>
          </w:p>
        </w:tc>
        <w:tc>
          <w:tcPr>
            <w:tcW w:w="921" w:type="dxa"/>
            <w:vMerge w:val="restart"/>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排放口编号</w:t>
            </w:r>
          </w:p>
        </w:tc>
        <w:tc>
          <w:tcPr>
            <w:tcW w:w="968"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产污环节</w:t>
            </w:r>
          </w:p>
        </w:tc>
        <w:tc>
          <w:tcPr>
            <w:tcW w:w="964"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污染物</w:t>
            </w:r>
          </w:p>
        </w:tc>
        <w:tc>
          <w:tcPr>
            <w:tcW w:w="765"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主要污染防治措施</w:t>
            </w:r>
          </w:p>
        </w:tc>
        <w:tc>
          <w:tcPr>
            <w:tcW w:w="3444"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国家或地方污染物排放标准</w:t>
            </w: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年排放量</w:t>
            </w:r>
            <w:r>
              <w:rPr>
                <w:rFonts w:ascii="Times New Roman" w:hAnsi="Times New Roman" w:cs="Times New Roman"/>
                <w:color w:val="000000" w:themeColor="text1"/>
                <w:szCs w:val="21"/>
              </w:rPr>
              <w:t>/</w:t>
            </w:r>
            <w:r>
              <w:rPr>
                <w:rFonts w:ascii="Times New Roman" w:cs="Times New Roman" w:hAnsiTheme="minorEastAsia"/>
                <w:color w:val="000000" w:themeColor="text1"/>
                <w:szCs w:val="21"/>
              </w:rPr>
              <w:t>（</w:t>
            </w:r>
            <w:r>
              <w:rPr>
                <w:rFonts w:ascii="Times New Roman" w:hAnsi="Times New Roman" w:cs="Times New Roman"/>
                <w:color w:val="000000" w:themeColor="text1"/>
                <w:szCs w:val="21"/>
              </w:rPr>
              <w:t>t/a</w:t>
            </w:r>
            <w:r>
              <w:rPr>
                <w:rFonts w:ascii="Times New Roman" w:cs="Times New Roman" w:hAnsiTheme="minor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rPr>
            </w:pPr>
          </w:p>
        </w:tc>
        <w:tc>
          <w:tcPr>
            <w:tcW w:w="92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rPr>
            </w:pPr>
          </w:p>
        </w:tc>
        <w:tc>
          <w:tcPr>
            <w:tcW w:w="9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rPr>
            </w:pPr>
          </w:p>
        </w:tc>
        <w:tc>
          <w:tcPr>
            <w:tcW w:w="96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rPr>
            </w:pPr>
          </w:p>
        </w:tc>
        <w:tc>
          <w:tcPr>
            <w:tcW w:w="7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rPr>
            </w:pPr>
          </w:p>
        </w:tc>
        <w:tc>
          <w:tcPr>
            <w:tcW w:w="224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标准名称</w:t>
            </w:r>
          </w:p>
        </w:tc>
        <w:tc>
          <w:tcPr>
            <w:tcW w:w="119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浓度限值</w:t>
            </w:r>
          </w:p>
          <w:p>
            <w:pPr>
              <w:spacing w:line="32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w:t>
            </w:r>
            <w:r>
              <w:rPr>
                <w:rFonts w:ascii="Times New Roman" w:hAnsi="Times New Roman" w:cs="Times New Roman"/>
                <w:color w:val="000000" w:themeColor="text1"/>
                <w:szCs w:val="21"/>
              </w:rPr>
              <w:t>mg/m</w:t>
            </w:r>
            <w:r>
              <w:rPr>
                <w:rFonts w:ascii="Times New Roman" w:hAnsi="Times New Roman" w:cs="Times New Roman"/>
                <w:color w:val="000000" w:themeColor="text1"/>
                <w:szCs w:val="21"/>
                <w:vertAlign w:val="superscript"/>
              </w:rPr>
              <w:t>3</w:t>
            </w:r>
            <w:r>
              <w:rPr>
                <w:rFonts w:ascii="Times New Roman" w:cs="Times New Roman" w:hAnsiTheme="minorEastAsia"/>
                <w:color w:val="000000" w:themeColor="text1"/>
                <w:szCs w:val="21"/>
              </w:rPr>
              <w:t>）</w:t>
            </w: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4" w:hRule="atLeast"/>
        </w:trPr>
        <w:tc>
          <w:tcPr>
            <w:tcW w:w="485" w:type="dxa"/>
            <w:vMerge w:val="restart"/>
            <w:tcBorders>
              <w:left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1</w:t>
            </w:r>
          </w:p>
        </w:tc>
        <w:tc>
          <w:tcPr>
            <w:tcW w:w="921" w:type="dxa"/>
            <w:vMerge w:val="restart"/>
            <w:tcBorders>
              <w:left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DA001</w:t>
            </w:r>
          </w:p>
        </w:tc>
        <w:tc>
          <w:tcPr>
            <w:tcW w:w="968" w:type="dxa"/>
            <w:vMerge w:val="restart"/>
            <w:tcBorders>
              <w:left w:val="single" w:color="auto" w:sz="4" w:space="0"/>
              <w:right w:val="single" w:color="auto" w:sz="4" w:space="0"/>
            </w:tcBorders>
            <w:vAlign w:val="center"/>
          </w:tcPr>
          <w:p>
            <w:pPr>
              <w:spacing w:line="320" w:lineRule="exact"/>
              <w:jc w:val="center"/>
              <w:rPr>
                <w:rFonts w:ascii="Times New Roman" w:cs="Times New Roman" w:hAnsiTheme="minorEastAsia"/>
                <w:color w:val="000000" w:themeColor="text1"/>
                <w:szCs w:val="21"/>
              </w:rPr>
            </w:pPr>
            <w:r>
              <w:rPr>
                <w:rFonts w:hint="eastAsia" w:ascii="Times New Roman" w:cs="Times New Roman" w:hAnsiTheme="minorEastAsia"/>
                <w:color w:val="000000" w:themeColor="text1"/>
                <w:szCs w:val="21"/>
              </w:rPr>
              <w:t>调节池、混凝沉淀池、消毒池、污泥池、脱泥间</w:t>
            </w:r>
          </w:p>
        </w:tc>
        <w:tc>
          <w:tcPr>
            <w:tcW w:w="964"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hint="eastAsia" w:ascii="Times New Roman" w:cs="Times New Roman" w:hAnsiTheme="minorEastAsia"/>
                <w:color w:val="000000" w:themeColor="text1"/>
                <w:szCs w:val="21"/>
              </w:rPr>
              <w:t>氨</w:t>
            </w:r>
          </w:p>
        </w:tc>
        <w:tc>
          <w:tcPr>
            <w:tcW w:w="765" w:type="dxa"/>
            <w:vMerge w:val="restart"/>
            <w:tcBorders>
              <w:left w:val="single" w:color="auto" w:sz="4" w:space="0"/>
              <w:right w:val="single" w:color="auto" w:sz="4" w:space="0"/>
            </w:tcBorders>
            <w:vAlign w:val="center"/>
          </w:tcPr>
          <w:p>
            <w:pPr>
              <w:spacing w:line="320" w:lineRule="exact"/>
              <w:jc w:val="center"/>
              <w:rPr>
                <w:rFonts w:ascii="Times New Roman" w:hAnsi="Times New Roman" w:cs="Times New Roman"/>
                <w:color w:val="000000" w:themeColor="text1"/>
                <w:szCs w:val="21"/>
              </w:rPr>
            </w:pPr>
            <w:r>
              <w:rPr>
                <w:rFonts w:hint="eastAsia" w:cs="Times New Roman" w:asciiTheme="minorEastAsia" w:hAnsiTheme="minorEastAsia"/>
                <w:color w:val="000000" w:themeColor="text1"/>
                <w:szCs w:val="21"/>
              </w:rPr>
              <w:t>─</w:t>
            </w:r>
          </w:p>
        </w:tc>
        <w:tc>
          <w:tcPr>
            <w:tcW w:w="2246" w:type="dxa"/>
            <w:vMerge w:val="restart"/>
            <w:tcBorders>
              <w:left w:val="single" w:color="auto" w:sz="4" w:space="0"/>
              <w:right w:val="single" w:color="auto" w:sz="4" w:space="0"/>
            </w:tcBorders>
            <w:vAlign w:val="center"/>
          </w:tcPr>
          <w:p>
            <w:pPr>
              <w:spacing w:line="320" w:lineRule="exact"/>
              <w:jc w:val="center"/>
              <w:rPr>
                <w:rFonts w:ascii="Times New Roman" w:cs="Times New Roman" w:hAnsiTheme="minorEastAsia"/>
                <w:color w:val="000000" w:themeColor="text1"/>
                <w:szCs w:val="21"/>
              </w:rPr>
            </w:pPr>
            <w:r>
              <w:rPr>
                <w:rFonts w:ascii="Times New Roman" w:hAnsi="Times New Roman" w:eastAsia="宋体"/>
                <w:color w:val="000000" w:themeColor="text1"/>
                <w:szCs w:val="21"/>
              </w:rPr>
              <w:t>《恶臭污染物排放标准》(GB14554-93）表1</w:t>
            </w:r>
            <w:r>
              <w:rPr>
                <w:rFonts w:hint="eastAsia" w:ascii="Times New Roman" w:hAnsi="Times New Roman" w:eastAsia="宋体"/>
                <w:color w:val="000000" w:themeColor="text1"/>
                <w:szCs w:val="21"/>
              </w:rPr>
              <w:t>二级新扩改建项目厂界标准</w:t>
            </w:r>
          </w:p>
        </w:tc>
        <w:tc>
          <w:tcPr>
            <w:tcW w:w="1198" w:type="dxa"/>
            <w:tcBorders>
              <w:left w:val="single" w:color="auto" w:sz="4" w:space="0"/>
              <w:right w:val="single" w:color="auto" w:sz="4" w:space="0"/>
            </w:tcBorders>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1.5</w:t>
            </w:r>
          </w:p>
        </w:tc>
        <w:tc>
          <w:tcPr>
            <w:tcW w:w="975" w:type="dxa"/>
            <w:tcBorders>
              <w:left w:val="single" w:color="auto" w:sz="4" w:space="0"/>
              <w:right w:val="single" w:color="auto" w:sz="4" w:space="0"/>
            </w:tcBorders>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485" w:type="dxa"/>
            <w:vMerge w:val="continue"/>
            <w:tcBorders>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p>
        </w:tc>
        <w:tc>
          <w:tcPr>
            <w:tcW w:w="921" w:type="dxa"/>
            <w:vMerge w:val="continue"/>
            <w:tcBorders>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p>
        </w:tc>
        <w:tc>
          <w:tcPr>
            <w:tcW w:w="968" w:type="dxa"/>
            <w:vMerge w:val="continue"/>
            <w:tcBorders>
              <w:left w:val="single" w:color="auto" w:sz="4" w:space="0"/>
              <w:bottom w:val="single" w:color="auto" w:sz="4" w:space="0"/>
              <w:right w:val="single" w:color="auto" w:sz="4" w:space="0"/>
            </w:tcBorders>
            <w:vAlign w:val="center"/>
          </w:tcPr>
          <w:p>
            <w:pPr>
              <w:spacing w:line="320" w:lineRule="exact"/>
              <w:jc w:val="center"/>
              <w:rPr>
                <w:rFonts w:ascii="Times New Roman" w:cs="Times New Roman" w:hAnsiTheme="minorEastAsia"/>
                <w:color w:val="000000" w:themeColor="text1"/>
                <w:szCs w:val="21"/>
              </w:rPr>
            </w:pPr>
          </w:p>
        </w:tc>
        <w:tc>
          <w:tcPr>
            <w:tcW w:w="964"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H</w:t>
            </w:r>
            <w:r>
              <w:rPr>
                <w:rFonts w:hint="eastAsia" w:ascii="Times New Roman" w:hAnsi="Times New Roman" w:cs="Times New Roman"/>
                <w:color w:val="000000" w:themeColor="text1"/>
                <w:szCs w:val="21"/>
                <w:vertAlign w:val="subscript"/>
              </w:rPr>
              <w:t>2</w:t>
            </w:r>
            <w:r>
              <w:rPr>
                <w:rFonts w:hint="eastAsia" w:ascii="Times New Roman" w:hAnsi="Times New Roman" w:cs="Times New Roman"/>
                <w:color w:val="000000" w:themeColor="text1"/>
                <w:szCs w:val="21"/>
              </w:rPr>
              <w:t>S</w:t>
            </w:r>
          </w:p>
        </w:tc>
        <w:tc>
          <w:tcPr>
            <w:tcW w:w="765" w:type="dxa"/>
            <w:vMerge w:val="continue"/>
            <w:tcBorders>
              <w:left w:val="single" w:color="auto" w:sz="4" w:space="0"/>
              <w:bottom w:val="single" w:color="auto" w:sz="4" w:space="0"/>
              <w:right w:val="single" w:color="auto" w:sz="4" w:space="0"/>
            </w:tcBorders>
            <w:vAlign w:val="center"/>
          </w:tcPr>
          <w:p>
            <w:pPr>
              <w:spacing w:line="320" w:lineRule="exact"/>
              <w:jc w:val="center"/>
              <w:rPr>
                <w:rFonts w:ascii="Times New Roman" w:hAnsi="Times New Roman" w:cs="Times New Roman"/>
                <w:color w:val="000000" w:themeColor="text1"/>
                <w:szCs w:val="21"/>
              </w:rPr>
            </w:pPr>
          </w:p>
        </w:tc>
        <w:tc>
          <w:tcPr>
            <w:tcW w:w="2246" w:type="dxa"/>
            <w:vMerge w:val="continue"/>
            <w:tcBorders>
              <w:left w:val="single" w:color="auto" w:sz="4" w:space="0"/>
              <w:bottom w:val="single" w:color="auto" w:sz="4" w:space="0"/>
              <w:right w:val="single" w:color="auto" w:sz="4" w:space="0"/>
            </w:tcBorders>
            <w:vAlign w:val="center"/>
          </w:tcPr>
          <w:p>
            <w:pPr>
              <w:spacing w:line="320" w:lineRule="exact"/>
              <w:jc w:val="center"/>
              <w:rPr>
                <w:rFonts w:ascii="Times New Roman" w:cs="Times New Roman" w:hAnsiTheme="minorEastAsia"/>
                <w:color w:val="000000" w:themeColor="text1"/>
                <w:szCs w:val="21"/>
              </w:rPr>
            </w:pPr>
          </w:p>
        </w:tc>
        <w:tc>
          <w:tcPr>
            <w:tcW w:w="1198" w:type="dxa"/>
            <w:tcBorders>
              <w:left w:val="single" w:color="auto" w:sz="4" w:space="0"/>
              <w:bottom w:val="single" w:color="auto" w:sz="4" w:space="0"/>
              <w:right w:val="single" w:color="auto" w:sz="4" w:space="0"/>
            </w:tcBorders>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0.06</w:t>
            </w:r>
          </w:p>
        </w:tc>
        <w:tc>
          <w:tcPr>
            <w:tcW w:w="975" w:type="dxa"/>
            <w:tcBorders>
              <w:left w:val="single" w:color="auto" w:sz="4" w:space="0"/>
              <w:bottom w:val="single" w:color="auto" w:sz="4" w:space="0"/>
              <w:right w:val="single" w:color="auto" w:sz="4" w:space="0"/>
            </w:tcBorders>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22" w:type="dxa"/>
            <w:gridSpan w:val="8"/>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338" w:type="dxa"/>
            <w:gridSpan w:val="4"/>
            <w:vMerge w:val="restart"/>
            <w:tcBorders>
              <w:left w:val="single" w:color="auto" w:sz="4" w:space="0"/>
              <w:right w:val="single" w:color="auto" w:sz="4" w:space="0"/>
            </w:tcBorders>
            <w:vAlign w:val="center"/>
          </w:tcPr>
          <w:p>
            <w:pPr>
              <w:spacing w:line="320" w:lineRule="exact"/>
              <w:jc w:val="center"/>
              <w:rPr>
                <w:rFonts w:ascii="Times New Roman" w:cs="Times New Roman" w:hAnsiTheme="minorEastAsia"/>
                <w:color w:val="000000" w:themeColor="text1"/>
                <w:szCs w:val="21"/>
              </w:rPr>
            </w:pPr>
            <w:r>
              <w:rPr>
                <w:rFonts w:hint="eastAsia" w:ascii="Times New Roman" w:cs="Times New Roman" w:hAnsiTheme="minorEastAsia"/>
                <w:color w:val="000000" w:themeColor="text1"/>
                <w:szCs w:val="21"/>
              </w:rPr>
              <w:t>无组织排放总计</w:t>
            </w:r>
          </w:p>
        </w:tc>
        <w:tc>
          <w:tcPr>
            <w:tcW w:w="4209" w:type="dxa"/>
            <w:gridSpan w:val="3"/>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hint="eastAsia" w:ascii="Times New Roman" w:cs="Times New Roman" w:hAnsiTheme="minorEastAsia"/>
                <w:color w:val="000000" w:themeColor="text1"/>
                <w:szCs w:val="21"/>
              </w:rPr>
              <w:t>氨</w:t>
            </w:r>
          </w:p>
        </w:tc>
        <w:tc>
          <w:tcPr>
            <w:tcW w:w="97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338" w:type="dxa"/>
            <w:gridSpan w:val="4"/>
            <w:vMerge w:val="continue"/>
            <w:tcBorders>
              <w:left w:val="single" w:color="auto" w:sz="4" w:space="0"/>
              <w:bottom w:val="single" w:color="auto" w:sz="4" w:space="0"/>
              <w:right w:val="single" w:color="auto" w:sz="4" w:space="0"/>
            </w:tcBorders>
            <w:vAlign w:val="center"/>
          </w:tcPr>
          <w:p>
            <w:pPr>
              <w:spacing w:line="320" w:lineRule="exact"/>
              <w:jc w:val="center"/>
              <w:rPr>
                <w:rFonts w:ascii="Times New Roman" w:cs="Times New Roman" w:hAnsiTheme="minorEastAsia"/>
                <w:color w:val="FF0000"/>
                <w:szCs w:val="21"/>
              </w:rPr>
            </w:pPr>
          </w:p>
        </w:tc>
        <w:tc>
          <w:tcPr>
            <w:tcW w:w="4209" w:type="dxa"/>
            <w:gridSpan w:val="3"/>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H</w:t>
            </w:r>
            <w:r>
              <w:rPr>
                <w:rFonts w:hint="eastAsia" w:ascii="Times New Roman" w:hAnsi="Times New Roman" w:cs="Times New Roman"/>
                <w:color w:val="000000" w:themeColor="text1"/>
                <w:szCs w:val="21"/>
                <w:vertAlign w:val="subscript"/>
              </w:rPr>
              <w:t>2</w:t>
            </w:r>
            <w:r>
              <w:rPr>
                <w:rFonts w:hint="eastAsia" w:ascii="Times New Roman" w:hAnsi="Times New Roman" w:cs="Times New Roman"/>
                <w:color w:val="000000" w:themeColor="text1"/>
                <w:szCs w:val="21"/>
              </w:rPr>
              <w:t>S</w:t>
            </w:r>
          </w:p>
        </w:tc>
        <w:tc>
          <w:tcPr>
            <w:tcW w:w="97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0.005</w:t>
            </w:r>
          </w:p>
        </w:tc>
      </w:tr>
    </w:tbl>
    <w:p>
      <w:pPr>
        <w:spacing w:line="360" w:lineRule="auto"/>
        <w:ind w:left="-23" w:firstLine="480" w:firstLineChars="200"/>
        <w:rPr>
          <w:rFonts w:ascii="Times New Roman" w:hAnsi="宋体" w:eastAsia="宋体" w:cs="Times New Roman"/>
          <w:color w:val="000000" w:themeColor="text1"/>
          <w:sz w:val="24"/>
          <w:szCs w:val="24"/>
        </w:rPr>
      </w:pPr>
      <w:r>
        <w:rPr>
          <w:rFonts w:hint="eastAsia" w:ascii="Times New Roman" w:hAnsi="宋体" w:eastAsia="宋体" w:cs="Times New Roman"/>
          <w:color w:val="000000" w:themeColor="text1"/>
          <w:sz w:val="24"/>
          <w:szCs w:val="24"/>
        </w:rPr>
        <w:t>3、</w:t>
      </w:r>
      <w:r>
        <w:rPr>
          <w:rFonts w:ascii="Times New Roman" w:hAnsi="Times New Roman" w:cs="Times New Roman"/>
          <w:color w:val="000000" w:themeColor="text1"/>
          <w:sz w:val="24"/>
          <w:szCs w:val="24"/>
        </w:rPr>
        <w:t>项目大气污染物年排放量核算</w:t>
      </w:r>
    </w:p>
    <w:p>
      <w:pPr>
        <w:spacing w:line="440" w:lineRule="exact"/>
        <w:ind w:firstLine="482" w:firstLineChars="200"/>
        <w:jc w:val="center"/>
        <w:rPr>
          <w:rFonts w:ascii="Times New Roman" w:hAnsi="Times New Roman" w:cs="Times New Roman"/>
          <w:b/>
          <w:color w:val="000000" w:themeColor="text1"/>
          <w:sz w:val="24"/>
          <w:szCs w:val="24"/>
        </w:rPr>
      </w:pPr>
    </w:p>
    <w:p>
      <w:pPr>
        <w:spacing w:line="440" w:lineRule="exact"/>
        <w:ind w:firstLine="482" w:firstLineChars="20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表</w:t>
      </w:r>
      <w:r>
        <w:rPr>
          <w:rFonts w:hint="eastAsia" w:ascii="Times New Roman" w:hAnsi="Times New Roman" w:cs="Times New Roman"/>
          <w:b/>
          <w:color w:val="000000" w:themeColor="text1"/>
          <w:sz w:val="24"/>
          <w:szCs w:val="24"/>
        </w:rPr>
        <w:t xml:space="preserve">5-14   </w:t>
      </w:r>
      <w:r>
        <w:rPr>
          <w:rFonts w:ascii="Times New Roman" w:hAnsi="Times New Roman" w:cs="Times New Roman"/>
          <w:b/>
          <w:color w:val="000000" w:themeColor="text1"/>
          <w:sz w:val="24"/>
          <w:szCs w:val="24"/>
        </w:rPr>
        <w:t xml:space="preserve"> 大气污染物年放量核算表</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840" w:type="dxa"/>
            <w:tcBorders>
              <w:top w:val="single" w:color="auto" w:sz="4" w:space="0"/>
              <w:left w:val="single" w:color="auto" w:sz="4" w:space="0"/>
              <w:bottom w:val="single" w:color="auto" w:sz="4" w:space="0"/>
              <w:right w:val="single" w:color="auto" w:sz="4" w:space="0"/>
            </w:tcBorders>
            <w:vAlign w:val="center"/>
          </w:tcPr>
          <w:p>
            <w:pPr>
              <w:spacing w:line="340" w:lineRule="exact"/>
              <w:ind w:firstLine="420" w:firstLineChars="200"/>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序号</w:t>
            </w:r>
          </w:p>
        </w:tc>
        <w:tc>
          <w:tcPr>
            <w:tcW w:w="2841" w:type="dxa"/>
            <w:tcBorders>
              <w:top w:val="single" w:color="auto" w:sz="4" w:space="0"/>
              <w:left w:val="single" w:color="auto" w:sz="4" w:space="0"/>
              <w:bottom w:val="single" w:color="auto" w:sz="4" w:space="0"/>
              <w:right w:val="single" w:color="auto" w:sz="4" w:space="0"/>
            </w:tcBorders>
            <w:vAlign w:val="center"/>
          </w:tcPr>
          <w:p>
            <w:pPr>
              <w:spacing w:line="340" w:lineRule="exact"/>
              <w:ind w:firstLine="420" w:firstLineChars="200"/>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污染物</w:t>
            </w:r>
          </w:p>
        </w:tc>
        <w:tc>
          <w:tcPr>
            <w:tcW w:w="2841" w:type="dxa"/>
            <w:tcBorders>
              <w:top w:val="single" w:color="auto" w:sz="4" w:space="0"/>
              <w:left w:val="single" w:color="auto" w:sz="4" w:space="0"/>
              <w:bottom w:val="single" w:color="auto" w:sz="4" w:space="0"/>
              <w:right w:val="single" w:color="auto" w:sz="4" w:space="0"/>
            </w:tcBorders>
            <w:vAlign w:val="center"/>
          </w:tcPr>
          <w:p>
            <w:pPr>
              <w:spacing w:line="340" w:lineRule="exact"/>
              <w:ind w:firstLine="420" w:firstLineChars="200"/>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840" w:type="dxa"/>
            <w:tcBorders>
              <w:top w:val="single" w:color="auto" w:sz="4" w:space="0"/>
              <w:left w:val="single" w:color="auto" w:sz="4" w:space="0"/>
              <w:bottom w:val="single" w:color="auto" w:sz="4" w:space="0"/>
              <w:right w:val="single" w:color="auto" w:sz="4" w:space="0"/>
            </w:tcBorders>
            <w:vAlign w:val="center"/>
          </w:tcPr>
          <w:p>
            <w:pPr>
              <w:spacing w:line="340" w:lineRule="exact"/>
              <w:ind w:firstLine="420" w:firstLineChars="200"/>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1</w:t>
            </w:r>
          </w:p>
        </w:tc>
        <w:tc>
          <w:tcPr>
            <w:tcW w:w="2841" w:type="dxa"/>
            <w:tcBorders>
              <w:top w:val="single" w:color="auto" w:sz="4" w:space="0"/>
              <w:left w:val="single" w:color="auto" w:sz="4" w:space="0"/>
              <w:bottom w:val="single" w:color="auto" w:sz="4" w:space="0"/>
              <w:right w:val="single" w:color="auto" w:sz="4" w:space="0"/>
            </w:tcBorders>
            <w:vAlign w:val="center"/>
          </w:tcPr>
          <w:p>
            <w:pPr>
              <w:spacing w:line="340" w:lineRule="exact"/>
              <w:ind w:firstLine="420" w:firstLineChars="200"/>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氨</w:t>
            </w:r>
          </w:p>
        </w:tc>
        <w:tc>
          <w:tcPr>
            <w:tcW w:w="2841" w:type="dxa"/>
            <w:tcBorders>
              <w:top w:val="single" w:color="auto" w:sz="4" w:space="0"/>
              <w:left w:val="single" w:color="auto" w:sz="4" w:space="0"/>
              <w:bottom w:val="single" w:color="auto" w:sz="4" w:space="0"/>
              <w:right w:val="single" w:color="auto" w:sz="4" w:space="0"/>
            </w:tcBorders>
            <w:vAlign w:val="center"/>
          </w:tcPr>
          <w:p>
            <w:pPr>
              <w:spacing w:line="340" w:lineRule="exact"/>
              <w:ind w:firstLine="420" w:firstLineChars="200"/>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0.</w:t>
            </w:r>
            <w:r>
              <w:rPr>
                <w:rFonts w:hint="eastAsia" w:ascii="Times New Roman" w:hAnsi="Times New Roman" w:cs="Times New Roman" w:eastAsiaTheme="majorEastAsia"/>
                <w:color w:val="000000" w:themeColor="text1"/>
                <w:szCs w:val="21"/>
              </w:rPr>
              <w:t>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840" w:type="dxa"/>
            <w:tcBorders>
              <w:top w:val="single" w:color="auto" w:sz="4" w:space="0"/>
              <w:left w:val="single" w:color="auto" w:sz="4" w:space="0"/>
              <w:bottom w:val="single" w:color="auto" w:sz="4" w:space="0"/>
              <w:right w:val="single" w:color="auto" w:sz="4" w:space="0"/>
            </w:tcBorders>
            <w:vAlign w:val="center"/>
          </w:tcPr>
          <w:p>
            <w:pPr>
              <w:spacing w:line="340" w:lineRule="exact"/>
              <w:ind w:firstLine="420" w:firstLineChars="200"/>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2</w:t>
            </w:r>
          </w:p>
        </w:tc>
        <w:tc>
          <w:tcPr>
            <w:tcW w:w="2841" w:type="dxa"/>
            <w:tcBorders>
              <w:top w:val="single" w:color="auto" w:sz="4" w:space="0"/>
              <w:left w:val="single" w:color="auto" w:sz="4" w:space="0"/>
              <w:bottom w:val="single" w:color="auto" w:sz="4" w:space="0"/>
              <w:right w:val="single" w:color="auto" w:sz="4" w:space="0"/>
            </w:tcBorders>
            <w:vAlign w:val="center"/>
          </w:tcPr>
          <w:p>
            <w:pPr>
              <w:spacing w:line="340" w:lineRule="exact"/>
              <w:ind w:firstLine="420" w:firstLineChars="200"/>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H</w:t>
            </w:r>
            <w:r>
              <w:rPr>
                <w:rFonts w:ascii="Times New Roman" w:hAnsi="Times New Roman" w:cs="Times New Roman" w:eastAsiaTheme="majorEastAsia"/>
                <w:color w:val="000000" w:themeColor="text1"/>
                <w:szCs w:val="21"/>
                <w:vertAlign w:val="subscript"/>
              </w:rPr>
              <w:t>2</w:t>
            </w:r>
            <w:r>
              <w:rPr>
                <w:rFonts w:ascii="Times New Roman" w:hAnsi="Times New Roman" w:cs="Times New Roman" w:eastAsiaTheme="majorEastAsia"/>
                <w:color w:val="000000" w:themeColor="text1"/>
                <w:szCs w:val="21"/>
              </w:rPr>
              <w:t>S</w:t>
            </w:r>
          </w:p>
        </w:tc>
        <w:tc>
          <w:tcPr>
            <w:tcW w:w="2841" w:type="dxa"/>
            <w:tcBorders>
              <w:top w:val="single" w:color="auto" w:sz="4" w:space="0"/>
              <w:left w:val="single" w:color="auto" w:sz="4" w:space="0"/>
              <w:bottom w:val="single" w:color="auto" w:sz="4" w:space="0"/>
              <w:right w:val="single" w:color="auto" w:sz="4" w:space="0"/>
            </w:tcBorders>
            <w:vAlign w:val="center"/>
          </w:tcPr>
          <w:p>
            <w:pPr>
              <w:spacing w:line="340" w:lineRule="exact"/>
              <w:ind w:firstLine="420" w:firstLineChars="200"/>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0.0</w:t>
            </w:r>
            <w:r>
              <w:rPr>
                <w:rFonts w:hint="eastAsia" w:ascii="Times New Roman" w:hAnsi="Times New Roman" w:cs="Times New Roman" w:eastAsiaTheme="majorEastAsia"/>
                <w:color w:val="000000" w:themeColor="text1"/>
                <w:szCs w:val="21"/>
              </w:rPr>
              <w:t>28</w:t>
            </w:r>
          </w:p>
        </w:tc>
      </w:tr>
    </w:tbl>
    <w:p>
      <w:pPr>
        <w:spacing w:line="440" w:lineRule="exact"/>
        <w:ind w:firstLine="482" w:firstLineChars="200"/>
        <w:jc w:val="center"/>
        <w:rPr>
          <w:rFonts w:ascii="Times New Roman" w:hAnsi="Times New Roman" w:cs="Times New Roman"/>
          <w:b/>
          <w:color w:val="000000" w:themeColor="text1"/>
          <w:sz w:val="24"/>
          <w:szCs w:val="24"/>
        </w:rPr>
      </w:pPr>
    </w:p>
    <w:p>
      <w:pPr>
        <w:spacing w:line="440" w:lineRule="exact"/>
        <w:ind w:firstLine="482" w:firstLineChars="200"/>
        <w:jc w:val="center"/>
        <w:rPr>
          <w:rFonts w:ascii="Times New Roman" w:hAnsi="Times New Roman" w:cs="Times New Roman"/>
          <w:b/>
          <w:color w:val="000000" w:themeColor="text1"/>
          <w:sz w:val="24"/>
          <w:szCs w:val="24"/>
        </w:rPr>
      </w:pPr>
    </w:p>
    <w:p>
      <w:pPr>
        <w:spacing w:line="440" w:lineRule="exact"/>
        <w:ind w:firstLine="482" w:firstLineChars="200"/>
        <w:jc w:val="center"/>
        <w:rPr>
          <w:rFonts w:ascii="Times New Roman" w:hAnsi="Times New Roman" w:cs="Times New Roman"/>
          <w:b/>
          <w:color w:val="000000" w:themeColor="text1"/>
          <w:sz w:val="24"/>
          <w:szCs w:val="24"/>
        </w:rPr>
      </w:pPr>
    </w:p>
    <w:p>
      <w:pPr>
        <w:spacing w:line="440" w:lineRule="exact"/>
        <w:ind w:firstLine="482" w:firstLineChars="200"/>
        <w:jc w:val="center"/>
        <w:rPr>
          <w:rFonts w:ascii="Times New Roman" w:hAnsi="Times New Roman" w:cs="Times New Roman"/>
          <w:b/>
          <w:color w:val="000000" w:themeColor="text1"/>
          <w:sz w:val="24"/>
          <w:szCs w:val="24"/>
        </w:rPr>
      </w:pPr>
    </w:p>
    <w:p>
      <w:pPr>
        <w:spacing w:line="440" w:lineRule="exact"/>
        <w:ind w:firstLine="482" w:firstLineChars="200"/>
        <w:jc w:val="center"/>
        <w:rPr>
          <w:rFonts w:ascii="Times New Roman" w:hAnsi="Times New Roman" w:cs="Times New Roman"/>
          <w:b/>
          <w:color w:val="000000" w:themeColor="text1"/>
          <w:sz w:val="24"/>
          <w:szCs w:val="24"/>
        </w:rPr>
      </w:pPr>
    </w:p>
    <w:p>
      <w:pPr>
        <w:spacing w:line="440" w:lineRule="exact"/>
        <w:ind w:firstLine="482" w:firstLineChars="200"/>
        <w:jc w:val="center"/>
        <w:rPr>
          <w:rFonts w:ascii="Times New Roman" w:hAnsi="Times New Roman" w:cs="Times New Roman"/>
          <w:b/>
          <w:color w:val="000000" w:themeColor="text1"/>
          <w:sz w:val="24"/>
          <w:szCs w:val="24"/>
        </w:rPr>
      </w:pPr>
    </w:p>
    <w:p>
      <w:pPr>
        <w:spacing w:line="440" w:lineRule="exact"/>
        <w:ind w:firstLine="482" w:firstLineChars="200"/>
        <w:jc w:val="center"/>
        <w:rPr>
          <w:rFonts w:ascii="Times New Roman" w:hAnsi="Times New Roman" w:cs="Times New Roman"/>
          <w:b/>
          <w:color w:val="000000" w:themeColor="text1"/>
          <w:sz w:val="24"/>
          <w:szCs w:val="24"/>
        </w:rPr>
      </w:pPr>
    </w:p>
    <w:p>
      <w:pPr>
        <w:spacing w:line="440" w:lineRule="exact"/>
        <w:ind w:firstLine="482" w:firstLineChars="200"/>
        <w:jc w:val="center"/>
        <w:rPr>
          <w:rFonts w:ascii="Times New Roman" w:hAnsi="Times New Roman" w:cs="Times New Roman"/>
          <w:b/>
          <w:color w:val="000000" w:themeColor="text1"/>
          <w:sz w:val="24"/>
          <w:szCs w:val="24"/>
        </w:rPr>
      </w:pPr>
    </w:p>
    <w:p>
      <w:pPr>
        <w:spacing w:line="440" w:lineRule="exact"/>
        <w:ind w:firstLine="482" w:firstLineChars="200"/>
        <w:jc w:val="center"/>
        <w:rPr>
          <w:rFonts w:ascii="Times New Roman" w:hAnsi="Times New Roman" w:cs="Times New Roman"/>
          <w:b/>
          <w:color w:val="000000" w:themeColor="text1"/>
          <w:sz w:val="24"/>
          <w:szCs w:val="24"/>
        </w:rPr>
      </w:pPr>
    </w:p>
    <w:p>
      <w:pPr>
        <w:spacing w:line="440" w:lineRule="exact"/>
        <w:ind w:firstLine="482" w:firstLineChars="200"/>
        <w:jc w:val="center"/>
        <w:rPr>
          <w:rFonts w:ascii="Times New Roman" w:hAnsi="Times New Roman" w:cs="Times New Roman"/>
          <w:b/>
          <w:color w:val="000000" w:themeColor="text1"/>
          <w:sz w:val="24"/>
          <w:szCs w:val="24"/>
        </w:rPr>
      </w:pPr>
    </w:p>
    <w:p>
      <w:pPr>
        <w:spacing w:line="440" w:lineRule="exact"/>
        <w:ind w:firstLine="482" w:firstLineChars="200"/>
        <w:jc w:val="center"/>
        <w:rPr>
          <w:rFonts w:ascii="Times New Roman" w:hAnsi="Times New Roman" w:cs="Times New Roman"/>
          <w:b/>
          <w:color w:val="000000" w:themeColor="text1"/>
          <w:sz w:val="24"/>
          <w:szCs w:val="24"/>
        </w:rPr>
      </w:pPr>
    </w:p>
    <w:p>
      <w:pPr>
        <w:spacing w:line="440" w:lineRule="exact"/>
        <w:ind w:firstLine="482" w:firstLineChars="200"/>
        <w:jc w:val="center"/>
        <w:rPr>
          <w:rFonts w:ascii="Times New Roman" w:hAnsi="Times New Roman" w:cs="Times New Roman"/>
          <w:b/>
          <w:color w:val="000000" w:themeColor="text1"/>
          <w:sz w:val="24"/>
          <w:szCs w:val="24"/>
        </w:rPr>
      </w:pPr>
    </w:p>
    <w:p>
      <w:pPr>
        <w:spacing w:line="440" w:lineRule="exact"/>
        <w:ind w:firstLine="482" w:firstLineChars="200"/>
        <w:jc w:val="center"/>
        <w:rPr>
          <w:rFonts w:ascii="Times New Roman" w:hAnsi="Times New Roman" w:cs="Times New Roman"/>
          <w:b/>
          <w:color w:val="000000" w:themeColor="text1"/>
          <w:sz w:val="24"/>
          <w:szCs w:val="24"/>
        </w:rPr>
      </w:pPr>
    </w:p>
    <w:p>
      <w:pPr>
        <w:spacing w:line="440" w:lineRule="exact"/>
        <w:ind w:firstLine="482" w:firstLineChars="200"/>
        <w:jc w:val="center"/>
        <w:rPr>
          <w:rFonts w:ascii="Times New Roman" w:hAnsi="Times New Roman" w:cs="Times New Roman"/>
          <w:b/>
          <w:color w:val="000000" w:themeColor="text1"/>
          <w:sz w:val="24"/>
          <w:szCs w:val="24"/>
        </w:rPr>
      </w:pPr>
    </w:p>
    <w:p>
      <w:pPr>
        <w:spacing w:line="440" w:lineRule="exact"/>
        <w:ind w:firstLine="482" w:firstLineChars="200"/>
        <w:jc w:val="center"/>
        <w:rPr>
          <w:rFonts w:ascii="Times New Roman" w:hAnsi="Times New Roman" w:cs="Times New Roman"/>
          <w:b/>
          <w:color w:val="000000" w:themeColor="text1"/>
          <w:sz w:val="24"/>
          <w:szCs w:val="24"/>
        </w:rPr>
      </w:pPr>
    </w:p>
    <w:p>
      <w:pPr>
        <w:spacing w:line="440" w:lineRule="exact"/>
        <w:ind w:firstLine="482" w:firstLineChars="200"/>
        <w:jc w:val="center"/>
        <w:rPr>
          <w:rFonts w:ascii="Times New Roman" w:hAnsi="Times New Roman" w:cs="Times New Roman"/>
          <w:b/>
          <w:color w:val="000000" w:themeColor="text1"/>
          <w:sz w:val="24"/>
          <w:szCs w:val="24"/>
        </w:rPr>
      </w:pPr>
    </w:p>
    <w:p>
      <w:pPr>
        <w:spacing w:line="440" w:lineRule="exact"/>
        <w:ind w:firstLine="482" w:firstLineChars="200"/>
        <w:jc w:val="center"/>
        <w:rPr>
          <w:rFonts w:ascii="Times New Roman" w:hAnsi="Times New Roman" w:cs="Times New Roman"/>
          <w:b/>
          <w:color w:val="000000" w:themeColor="text1"/>
          <w:sz w:val="24"/>
          <w:szCs w:val="24"/>
        </w:rPr>
      </w:pPr>
    </w:p>
    <w:p>
      <w:pPr>
        <w:spacing w:line="440" w:lineRule="exact"/>
        <w:ind w:firstLine="482" w:firstLineChars="200"/>
        <w:jc w:val="center"/>
        <w:rPr>
          <w:rFonts w:ascii="Times New Roman" w:hAnsi="Times New Roman" w:cs="Times New Roman"/>
          <w:b/>
          <w:color w:val="000000" w:themeColor="text1"/>
          <w:sz w:val="24"/>
          <w:szCs w:val="24"/>
        </w:rPr>
      </w:pPr>
    </w:p>
    <w:p>
      <w:pPr>
        <w:spacing w:line="440" w:lineRule="exact"/>
        <w:ind w:firstLine="482" w:firstLineChars="200"/>
        <w:jc w:val="center"/>
        <w:rPr>
          <w:rFonts w:ascii="Times New Roman" w:hAnsi="Times New Roman" w:cs="Times New Roman"/>
          <w:b/>
          <w:color w:val="000000" w:themeColor="text1"/>
          <w:sz w:val="24"/>
          <w:szCs w:val="24"/>
        </w:rPr>
      </w:pPr>
    </w:p>
    <w:p>
      <w:pPr>
        <w:spacing w:line="440" w:lineRule="exact"/>
        <w:ind w:firstLine="482" w:firstLineChars="200"/>
        <w:jc w:val="center"/>
        <w:rPr>
          <w:rFonts w:ascii="Times New Roman" w:hAnsi="Times New Roman" w:cs="Times New Roman"/>
          <w:b/>
          <w:color w:val="000000" w:themeColor="text1"/>
          <w:sz w:val="24"/>
          <w:szCs w:val="24"/>
        </w:rPr>
      </w:pPr>
    </w:p>
    <w:p>
      <w:pPr>
        <w:spacing w:line="440" w:lineRule="exact"/>
        <w:ind w:firstLine="482" w:firstLineChars="200"/>
        <w:jc w:val="center"/>
        <w:rPr>
          <w:rFonts w:ascii="Times New Roman" w:hAnsi="Times New Roman" w:cs="Times New Roman"/>
          <w:b/>
          <w:color w:val="000000" w:themeColor="text1"/>
          <w:sz w:val="24"/>
          <w:szCs w:val="24"/>
        </w:rPr>
      </w:pPr>
    </w:p>
    <w:p>
      <w:pPr>
        <w:spacing w:line="440" w:lineRule="exact"/>
        <w:ind w:firstLine="482" w:firstLineChars="200"/>
        <w:jc w:val="center"/>
        <w:rPr>
          <w:rFonts w:ascii="Times New Roman" w:hAnsi="Times New Roman" w:cs="Times New Roman"/>
          <w:b/>
          <w:color w:val="000000" w:themeColor="text1"/>
          <w:sz w:val="24"/>
          <w:szCs w:val="24"/>
        </w:rPr>
      </w:pPr>
    </w:p>
    <w:p>
      <w:pPr>
        <w:spacing w:line="440" w:lineRule="exact"/>
        <w:ind w:firstLine="482" w:firstLineChars="200"/>
        <w:jc w:val="center"/>
        <w:rPr>
          <w:rFonts w:ascii="Times New Roman" w:hAnsi="Times New Roman" w:cs="Times New Roman"/>
          <w:b/>
          <w:color w:val="000000" w:themeColor="text1"/>
          <w:sz w:val="24"/>
          <w:szCs w:val="24"/>
        </w:rPr>
      </w:pPr>
    </w:p>
    <w:p>
      <w:pPr>
        <w:spacing w:line="440" w:lineRule="exact"/>
        <w:ind w:firstLine="482" w:firstLineChars="200"/>
        <w:jc w:val="center"/>
        <w:rPr>
          <w:rFonts w:ascii="Times New Roman" w:hAnsi="Times New Roman" w:cs="Times New Roman"/>
          <w:b/>
          <w:color w:val="000000" w:themeColor="text1"/>
          <w:sz w:val="24"/>
          <w:szCs w:val="24"/>
        </w:rPr>
      </w:pPr>
    </w:p>
    <w:p>
      <w:pPr>
        <w:spacing w:line="440" w:lineRule="exact"/>
        <w:ind w:firstLine="482" w:firstLineChars="200"/>
        <w:jc w:val="center"/>
        <w:rPr>
          <w:rFonts w:ascii="Times New Roman" w:hAnsi="Times New Roman" w:cs="Times New Roman"/>
          <w:b/>
          <w:color w:val="000000" w:themeColor="text1"/>
          <w:sz w:val="24"/>
          <w:szCs w:val="24"/>
        </w:rPr>
      </w:pPr>
    </w:p>
    <w:p>
      <w:pPr>
        <w:spacing w:line="440" w:lineRule="exact"/>
        <w:ind w:firstLine="482" w:firstLineChars="200"/>
        <w:jc w:val="center"/>
        <w:rPr>
          <w:rFonts w:ascii="Times New Roman" w:hAnsi="Times New Roman" w:cs="Times New Roman"/>
          <w:b/>
          <w:color w:val="000000" w:themeColor="text1"/>
          <w:sz w:val="24"/>
          <w:szCs w:val="24"/>
        </w:rPr>
      </w:pPr>
    </w:p>
    <w:p>
      <w:pPr>
        <w:spacing w:line="440" w:lineRule="exact"/>
        <w:ind w:firstLine="482" w:firstLineChars="200"/>
        <w:jc w:val="center"/>
        <w:rPr>
          <w:rFonts w:ascii="Times New Roman" w:hAnsi="Times New Roman" w:cs="Times New Roman"/>
          <w:b/>
          <w:color w:val="000000" w:themeColor="text1"/>
          <w:sz w:val="24"/>
          <w:szCs w:val="24"/>
        </w:rPr>
      </w:pPr>
    </w:p>
    <w:p>
      <w:pPr>
        <w:spacing w:line="440" w:lineRule="exact"/>
        <w:ind w:firstLine="482" w:firstLineChars="20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表</w:t>
      </w:r>
      <w:r>
        <w:rPr>
          <w:rFonts w:hint="eastAsia" w:ascii="Times New Roman" w:hAnsi="Times New Roman" w:cs="Times New Roman"/>
          <w:b/>
          <w:color w:val="000000" w:themeColor="text1"/>
          <w:sz w:val="24"/>
          <w:szCs w:val="24"/>
        </w:rPr>
        <w:t>5-15    建设项目大气环境影响评价自查表</w:t>
      </w:r>
    </w:p>
    <w:tbl>
      <w:tblPr>
        <w:tblStyle w:val="27"/>
        <w:tblW w:w="843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111"/>
        <w:gridCol w:w="752"/>
        <w:gridCol w:w="145"/>
        <w:gridCol w:w="762"/>
        <w:gridCol w:w="609"/>
        <w:gridCol w:w="214"/>
        <w:gridCol w:w="337"/>
        <w:gridCol w:w="631"/>
        <w:gridCol w:w="13"/>
        <w:gridCol w:w="277"/>
        <w:gridCol w:w="200"/>
        <w:gridCol w:w="174"/>
        <w:gridCol w:w="105"/>
        <w:gridCol w:w="160"/>
        <w:gridCol w:w="241"/>
        <w:gridCol w:w="210"/>
        <w:gridCol w:w="1004"/>
        <w:gridCol w:w="5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68" w:type="dxa"/>
            <w:gridSpan w:val="3"/>
            <w:tcBorders>
              <w:top w:val="single" w:color="auto" w:sz="4" w:space="0"/>
              <w:left w:val="single" w:color="auto" w:sz="4" w:space="0"/>
            </w:tcBorders>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工作内容</w:t>
            </w:r>
          </w:p>
        </w:tc>
        <w:tc>
          <w:tcPr>
            <w:tcW w:w="5662" w:type="dxa"/>
            <w:gridSpan w:val="16"/>
            <w:tcBorders>
              <w:top w:val="single" w:color="auto" w:sz="4" w:space="0"/>
              <w:right w:val="single" w:color="auto" w:sz="4" w:space="0"/>
            </w:tcBorders>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5" w:type="dxa"/>
            <w:vMerge w:val="restart"/>
            <w:tcBorders>
              <w:left w:val="single" w:color="auto" w:sz="4" w:space="0"/>
            </w:tcBorders>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评价等级与范围</w:t>
            </w:r>
          </w:p>
        </w:tc>
        <w:tc>
          <w:tcPr>
            <w:tcW w:w="1863" w:type="dxa"/>
            <w:gridSpan w:val="2"/>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评价等级</w:t>
            </w:r>
          </w:p>
        </w:tc>
        <w:tc>
          <w:tcPr>
            <w:tcW w:w="1730" w:type="dxa"/>
            <w:gridSpan w:val="4"/>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一级 □</w:t>
            </w:r>
          </w:p>
        </w:tc>
        <w:tc>
          <w:tcPr>
            <w:tcW w:w="1632" w:type="dxa"/>
            <w:gridSpan w:val="6"/>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二级</w:t>
            </w:r>
            <w:r>
              <w:rPr>
                <w:rFonts w:hint="eastAsia" w:ascii="Times New Roman" w:hAnsi="Times New Roman" w:eastAsia="宋体" w:cs="Times New Roman"/>
                <w:sz w:val="18"/>
                <w:szCs w:val="18"/>
              </w:rPr>
              <w:sym w:font="CommercialPi BT" w:char="F029"/>
            </w:r>
          </w:p>
        </w:tc>
        <w:tc>
          <w:tcPr>
            <w:tcW w:w="2300" w:type="dxa"/>
            <w:gridSpan w:val="6"/>
            <w:tcBorders>
              <w:right w:val="single" w:color="auto" w:sz="4" w:space="0"/>
            </w:tcBorders>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5" w:type="dxa"/>
            <w:vMerge w:val="continue"/>
            <w:tcBorders>
              <w:left w:val="single" w:color="auto" w:sz="4" w:space="0"/>
            </w:tcBorders>
            <w:vAlign w:val="center"/>
          </w:tcPr>
          <w:p>
            <w:pPr>
              <w:spacing w:line="0" w:lineRule="atLeast"/>
              <w:ind w:firstLine="480"/>
              <w:jc w:val="center"/>
              <w:rPr>
                <w:rFonts w:ascii="Times New Roman" w:hAnsi="Times New Roman" w:eastAsia="宋体" w:cs="Times New Roman"/>
                <w:sz w:val="18"/>
                <w:szCs w:val="18"/>
              </w:rPr>
            </w:pPr>
          </w:p>
        </w:tc>
        <w:tc>
          <w:tcPr>
            <w:tcW w:w="1863" w:type="dxa"/>
            <w:gridSpan w:val="2"/>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评价范围</w:t>
            </w:r>
          </w:p>
        </w:tc>
        <w:tc>
          <w:tcPr>
            <w:tcW w:w="1730" w:type="dxa"/>
            <w:gridSpan w:val="4"/>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边长=50km □</w:t>
            </w:r>
          </w:p>
        </w:tc>
        <w:tc>
          <w:tcPr>
            <w:tcW w:w="1632" w:type="dxa"/>
            <w:gridSpan w:val="6"/>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边长5</w:t>
            </w:r>
            <w:r>
              <w:rPr>
                <w:rFonts w:ascii="Times New Roman" w:hAnsi="Times New Roman" w:eastAsia="宋体" w:cs="Times New Roman"/>
                <w:sz w:val="18"/>
                <w:szCs w:val="18"/>
              </w:rPr>
              <w:t>～</w:t>
            </w:r>
            <w:r>
              <w:rPr>
                <w:rFonts w:hint="eastAsia" w:ascii="Times New Roman" w:hAnsi="Times New Roman" w:eastAsia="宋体" w:cs="Times New Roman"/>
                <w:sz w:val="18"/>
                <w:szCs w:val="18"/>
              </w:rPr>
              <w:t>50km □</w:t>
            </w:r>
          </w:p>
        </w:tc>
        <w:tc>
          <w:tcPr>
            <w:tcW w:w="2300" w:type="dxa"/>
            <w:gridSpan w:val="6"/>
            <w:tcBorders>
              <w:right w:val="single" w:color="auto" w:sz="4" w:space="0"/>
            </w:tcBorders>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边长=5km </w:t>
            </w:r>
            <w:r>
              <w:rPr>
                <w:rFonts w:hint="eastAsia" w:ascii="Times New Roman" w:hAnsi="Times New Roman" w:eastAsia="宋体" w:cs="Times New Roman"/>
                <w:sz w:val="18"/>
                <w:szCs w:val="18"/>
              </w:rPr>
              <w:sym w:font="CommercialPi BT" w:char="F029"/>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jc w:val="center"/>
        </w:trPr>
        <w:tc>
          <w:tcPr>
            <w:tcW w:w="905" w:type="dxa"/>
            <w:vMerge w:val="restart"/>
            <w:tcBorders>
              <w:left w:val="single" w:color="auto" w:sz="4" w:space="0"/>
            </w:tcBorders>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评价因子</w:t>
            </w:r>
          </w:p>
        </w:tc>
        <w:tc>
          <w:tcPr>
            <w:tcW w:w="1863" w:type="dxa"/>
            <w:gridSpan w:val="2"/>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SO</w:t>
            </w:r>
            <w:r>
              <w:rPr>
                <w:rFonts w:hint="eastAsia" w:ascii="Times New Roman" w:hAnsi="Times New Roman" w:eastAsia="宋体" w:cs="Times New Roman"/>
                <w:sz w:val="18"/>
                <w:szCs w:val="18"/>
                <w:vertAlign w:val="subscript"/>
              </w:rPr>
              <w:t>2</w:t>
            </w:r>
            <w:r>
              <w:rPr>
                <w:rFonts w:hint="eastAsia" w:ascii="Times New Roman" w:hAnsi="Times New Roman" w:eastAsia="宋体" w:cs="Times New Roman"/>
                <w:sz w:val="18"/>
                <w:szCs w:val="18"/>
              </w:rPr>
              <w:t>+NOx排放量</w:t>
            </w:r>
          </w:p>
        </w:tc>
        <w:tc>
          <w:tcPr>
            <w:tcW w:w="1730" w:type="dxa"/>
            <w:gridSpan w:val="4"/>
            <w:vAlign w:val="center"/>
          </w:tcPr>
          <w:p>
            <w:pPr>
              <w:spacing w:line="0" w:lineRule="atLeast"/>
              <w:jc w:val="center"/>
              <w:rPr>
                <w:rFonts w:ascii="Times New Roman" w:hAnsi="Times New Roman" w:eastAsia="宋体" w:cs="Times New Roman"/>
                <w:sz w:val="18"/>
                <w:szCs w:val="18"/>
              </w:rPr>
            </w:pPr>
            <w:r>
              <w:rPr>
                <w:rFonts w:ascii="Times New Roman" w:hAnsi="Times New Roman" w:eastAsia="宋体" w:cs="Arial"/>
                <w:sz w:val="18"/>
                <w:szCs w:val="18"/>
              </w:rPr>
              <w:t>≥</w:t>
            </w:r>
            <w:r>
              <w:rPr>
                <w:rFonts w:hint="eastAsia" w:ascii="Times New Roman" w:hAnsi="Times New Roman" w:eastAsia="宋体" w:cs="Times New Roman"/>
                <w:sz w:val="18"/>
                <w:szCs w:val="18"/>
              </w:rPr>
              <w:t>2000t/a □</w:t>
            </w:r>
          </w:p>
        </w:tc>
        <w:tc>
          <w:tcPr>
            <w:tcW w:w="1632" w:type="dxa"/>
            <w:gridSpan w:val="6"/>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500</w:t>
            </w:r>
            <w:r>
              <w:rPr>
                <w:rFonts w:ascii="Times New Roman" w:hAnsi="Times New Roman" w:eastAsia="宋体" w:cs="Times New Roman"/>
                <w:sz w:val="18"/>
                <w:szCs w:val="18"/>
              </w:rPr>
              <w:t>～</w:t>
            </w:r>
            <w:r>
              <w:rPr>
                <w:rFonts w:hint="eastAsia" w:ascii="Times New Roman" w:hAnsi="Times New Roman" w:eastAsia="宋体" w:cs="Times New Roman"/>
                <w:sz w:val="18"/>
                <w:szCs w:val="18"/>
              </w:rPr>
              <w:t>2000t/a □</w:t>
            </w:r>
          </w:p>
        </w:tc>
        <w:tc>
          <w:tcPr>
            <w:tcW w:w="2300" w:type="dxa"/>
            <w:gridSpan w:val="6"/>
            <w:tcBorders>
              <w:right w:val="single" w:color="auto" w:sz="4" w:space="0"/>
            </w:tcBorders>
            <w:vAlign w:val="center"/>
          </w:tcPr>
          <w:p>
            <w:pPr>
              <w:spacing w:line="0" w:lineRule="atLeast"/>
              <w:jc w:val="center"/>
              <w:rPr>
                <w:rFonts w:ascii="Times New Roman" w:hAnsi="Times New Roman" w:eastAsia="宋体" w:cs="Times New Roman"/>
                <w:sz w:val="18"/>
                <w:szCs w:val="18"/>
              </w:rPr>
            </w:pPr>
            <w:r>
              <w:rPr>
                <w:rFonts w:ascii="Times New Roman" w:hAnsi="Times New Roman" w:eastAsia="宋体" w:cs="Arial"/>
                <w:sz w:val="18"/>
                <w:szCs w:val="18"/>
              </w:rPr>
              <w:t>&lt;</w:t>
            </w:r>
            <w:r>
              <w:rPr>
                <w:rFonts w:hint="eastAsia" w:ascii="Times New Roman" w:hAnsi="Times New Roman" w:eastAsia="宋体" w:cs="Times New Roman"/>
                <w:sz w:val="18"/>
                <w:szCs w:val="18"/>
              </w:rPr>
              <w:t>500t/a</w:t>
            </w:r>
            <w:r>
              <w:rPr>
                <w:rFonts w:hint="eastAsia" w:ascii="Times New Roman" w:hAnsi="Times New Roman" w:eastAsia="宋体" w:cs="Times New Roman"/>
                <w:sz w:val="18"/>
                <w:szCs w:val="18"/>
              </w:rPr>
              <w:sym w:font="CommercialPi BT" w:char="F029"/>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05" w:type="dxa"/>
            <w:vMerge w:val="continue"/>
            <w:tcBorders>
              <w:left w:val="single" w:color="auto" w:sz="4" w:space="0"/>
            </w:tcBorders>
            <w:vAlign w:val="center"/>
          </w:tcPr>
          <w:p>
            <w:pPr>
              <w:spacing w:line="0" w:lineRule="atLeast"/>
              <w:ind w:firstLine="482"/>
              <w:jc w:val="center"/>
              <w:rPr>
                <w:rFonts w:ascii="Times New Roman" w:hAnsi="Times New Roman" w:eastAsia="宋体" w:cs="Times New Roman"/>
                <w:b/>
                <w:bCs/>
                <w:sz w:val="18"/>
                <w:szCs w:val="18"/>
              </w:rPr>
            </w:pPr>
          </w:p>
        </w:tc>
        <w:tc>
          <w:tcPr>
            <w:tcW w:w="1863" w:type="dxa"/>
            <w:gridSpan w:val="2"/>
            <w:vAlign w:val="center"/>
          </w:tcPr>
          <w:p>
            <w:pPr>
              <w:spacing w:line="0" w:lineRule="atLeast"/>
              <w:ind w:firstLine="480"/>
              <w:jc w:val="center"/>
              <w:rPr>
                <w:rFonts w:ascii="Times New Roman" w:hAnsi="Times New Roman" w:eastAsia="宋体" w:cs="Times New Roman"/>
                <w:sz w:val="18"/>
                <w:szCs w:val="18"/>
              </w:rPr>
            </w:pPr>
          </w:p>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评价因子</w:t>
            </w:r>
          </w:p>
          <w:p>
            <w:pPr>
              <w:spacing w:line="0" w:lineRule="atLeast"/>
              <w:ind w:firstLine="480"/>
              <w:jc w:val="center"/>
              <w:rPr>
                <w:rFonts w:ascii="Times New Roman" w:hAnsi="Times New Roman" w:eastAsia="宋体" w:cs="Times New Roman"/>
                <w:sz w:val="18"/>
                <w:szCs w:val="18"/>
              </w:rPr>
            </w:pPr>
          </w:p>
        </w:tc>
        <w:tc>
          <w:tcPr>
            <w:tcW w:w="2988" w:type="dxa"/>
            <w:gridSpan w:val="8"/>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基本污染物（</w:t>
            </w:r>
            <w:r>
              <w:rPr>
                <w:rFonts w:ascii="Times New Roman" w:hAnsi="Times New Roman" w:eastAsia="宋体" w:cs="Times New Roman"/>
                <w:sz w:val="18"/>
                <w:szCs w:val="18"/>
              </w:rPr>
              <w:t>PM</w:t>
            </w:r>
            <w:r>
              <w:rPr>
                <w:rFonts w:ascii="Times New Roman" w:hAnsi="Times New Roman" w:eastAsia="宋体" w:cs="Times New Roman"/>
                <w:sz w:val="18"/>
                <w:szCs w:val="18"/>
                <w:vertAlign w:val="subscript"/>
              </w:rPr>
              <w:t>10</w:t>
            </w:r>
            <w:r>
              <w:rPr>
                <w:rFonts w:hint="eastAsia" w:ascii="Times New Roman" w:hAnsi="Times New Roman" w:eastAsia="宋体" w:cs="Times New Roman"/>
                <w:sz w:val="18"/>
                <w:szCs w:val="18"/>
              </w:rPr>
              <w:t>、</w:t>
            </w:r>
            <w:r>
              <w:rPr>
                <w:rFonts w:ascii="Times New Roman" w:hAnsi="Times New Roman" w:eastAsia="宋体" w:cs="Times New Roman"/>
                <w:sz w:val="18"/>
                <w:szCs w:val="18"/>
              </w:rPr>
              <w:t>PM</w:t>
            </w:r>
            <w:r>
              <w:rPr>
                <w:rFonts w:ascii="Times New Roman" w:hAnsi="Times New Roman" w:eastAsia="宋体" w:cs="Times New Roman"/>
                <w:sz w:val="18"/>
                <w:szCs w:val="18"/>
                <w:vertAlign w:val="subscript"/>
              </w:rPr>
              <w:t>2.5</w:t>
            </w:r>
            <w:r>
              <w:rPr>
                <w:rFonts w:hint="eastAsia" w:ascii="Times New Roman" w:hAnsi="Times New Roman" w:eastAsia="宋体" w:cs="Times New Roman"/>
                <w:sz w:val="18"/>
                <w:szCs w:val="18"/>
              </w:rPr>
              <w:t>、</w:t>
            </w:r>
            <w:r>
              <w:rPr>
                <w:rFonts w:ascii="Times New Roman" w:hAnsi="Times New Roman" w:eastAsia="宋体" w:cs="Times New Roman"/>
                <w:sz w:val="18"/>
                <w:szCs w:val="18"/>
              </w:rPr>
              <w:t>SO</w:t>
            </w:r>
            <w:r>
              <w:rPr>
                <w:rFonts w:ascii="Times New Roman" w:hAnsi="Times New Roman" w:eastAsia="宋体" w:cs="Times New Roman"/>
                <w:sz w:val="18"/>
                <w:szCs w:val="18"/>
                <w:vertAlign w:val="subscript"/>
              </w:rPr>
              <w:t>2</w:t>
            </w:r>
            <w:r>
              <w:rPr>
                <w:rFonts w:hint="eastAsia" w:ascii="Times New Roman" w:hAnsi="Times New Roman" w:eastAsia="宋体" w:cs="Times New Roman"/>
                <w:sz w:val="18"/>
                <w:szCs w:val="18"/>
              </w:rPr>
              <w:t>、</w:t>
            </w:r>
            <w:r>
              <w:rPr>
                <w:rFonts w:ascii="Times New Roman" w:hAnsi="Times New Roman" w:eastAsia="宋体" w:cs="Times New Roman"/>
                <w:sz w:val="18"/>
                <w:szCs w:val="18"/>
              </w:rPr>
              <w:t>NO</w:t>
            </w:r>
            <w:r>
              <w:rPr>
                <w:rFonts w:ascii="Times New Roman" w:hAnsi="Times New Roman" w:eastAsia="宋体" w:cs="Times New Roman"/>
                <w:sz w:val="18"/>
                <w:szCs w:val="18"/>
                <w:vertAlign w:val="subscript"/>
              </w:rPr>
              <w:t>2</w:t>
            </w:r>
            <w:r>
              <w:rPr>
                <w:rFonts w:hint="eastAsia" w:ascii="Times New Roman" w:hAnsi="Times New Roman" w:eastAsia="宋体" w:cs="Times New Roman"/>
                <w:sz w:val="18"/>
                <w:szCs w:val="18"/>
              </w:rPr>
              <w:t>、</w:t>
            </w:r>
            <w:r>
              <w:rPr>
                <w:rFonts w:ascii="Times New Roman" w:hAnsi="Times New Roman" w:eastAsia="宋体" w:cs="Times New Roman"/>
                <w:sz w:val="18"/>
                <w:szCs w:val="18"/>
              </w:rPr>
              <w:t>CO</w:t>
            </w:r>
            <w:r>
              <w:rPr>
                <w:rFonts w:hint="eastAsia" w:ascii="Times New Roman" w:hAnsi="Times New Roman" w:eastAsia="宋体" w:cs="Times New Roman"/>
                <w:sz w:val="18"/>
                <w:szCs w:val="18"/>
              </w:rPr>
              <w:t>、</w:t>
            </w:r>
            <w:r>
              <w:rPr>
                <w:rFonts w:ascii="Times New Roman" w:hAnsi="Times New Roman" w:eastAsia="宋体" w:cs="Times New Roman"/>
                <w:sz w:val="18"/>
                <w:szCs w:val="18"/>
              </w:rPr>
              <w:t>O</w:t>
            </w:r>
            <w:r>
              <w:rPr>
                <w:rFonts w:ascii="Times New Roman" w:hAnsi="Times New Roman" w:eastAsia="宋体" w:cs="Times New Roman"/>
                <w:sz w:val="18"/>
                <w:szCs w:val="18"/>
                <w:vertAlign w:val="subscript"/>
              </w:rPr>
              <w:t>3</w:t>
            </w:r>
            <w:r>
              <w:rPr>
                <w:rFonts w:hint="eastAsia" w:ascii="Times New Roman" w:hAnsi="Times New Roman" w:eastAsia="宋体" w:cs="Times New Roman"/>
                <w:sz w:val="18"/>
                <w:szCs w:val="18"/>
              </w:rPr>
              <w:t>）</w:t>
            </w:r>
          </w:p>
          <w:p>
            <w:pPr>
              <w:spacing w:line="0" w:lineRule="atLeast"/>
              <w:jc w:val="center"/>
              <w:rPr>
                <w:rFonts w:ascii="Times New Roman" w:hAnsi="Times New Roman" w:eastAsia="宋体" w:cs="Times New Roman"/>
                <w:b/>
                <w:bCs/>
                <w:sz w:val="18"/>
                <w:szCs w:val="18"/>
              </w:rPr>
            </w:pPr>
            <w:r>
              <w:rPr>
                <w:rFonts w:hint="eastAsia" w:ascii="Times New Roman" w:hAnsi="Times New Roman" w:eastAsia="宋体" w:cs="Times New Roman"/>
                <w:sz w:val="18"/>
                <w:szCs w:val="18"/>
              </w:rPr>
              <w:t>其他污染物（氨、硫化氢）</w:t>
            </w:r>
          </w:p>
        </w:tc>
        <w:tc>
          <w:tcPr>
            <w:tcW w:w="2674" w:type="dxa"/>
            <w:gridSpan w:val="8"/>
            <w:tcBorders>
              <w:right w:val="single" w:color="auto" w:sz="4" w:space="0"/>
            </w:tcBorders>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包括二次PM2.5□</w:t>
            </w:r>
          </w:p>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不包括二次PM2.5</w:t>
            </w:r>
            <w:r>
              <w:rPr>
                <w:rFonts w:hint="eastAsia" w:ascii="Times New Roman" w:hAnsi="Times New Roman" w:eastAsia="宋体" w:cs="Times New Roman"/>
                <w:sz w:val="18"/>
                <w:szCs w:val="18"/>
              </w:rPr>
              <w:sym w:font="CommercialPi BT" w:char="F029"/>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5" w:type="dxa"/>
            <w:tcBorders>
              <w:left w:val="single" w:color="auto" w:sz="4" w:space="0"/>
            </w:tcBorders>
            <w:vAlign w:val="center"/>
          </w:tcPr>
          <w:p>
            <w:pPr>
              <w:spacing w:line="0" w:lineRule="atLeast"/>
              <w:jc w:val="center"/>
              <w:rPr>
                <w:rFonts w:ascii="Times New Roman" w:hAnsi="Times New Roman" w:eastAsia="宋体" w:cs="Times New Roman"/>
                <w:b/>
                <w:bCs/>
                <w:sz w:val="18"/>
                <w:szCs w:val="18"/>
              </w:rPr>
            </w:pPr>
            <w:r>
              <w:rPr>
                <w:rFonts w:hint="eastAsia" w:ascii="Times New Roman" w:hAnsi="Times New Roman" w:eastAsia="宋体" w:cs="Times New Roman"/>
                <w:sz w:val="18"/>
                <w:szCs w:val="18"/>
              </w:rPr>
              <w:t>评价标准</w:t>
            </w:r>
          </w:p>
        </w:tc>
        <w:tc>
          <w:tcPr>
            <w:tcW w:w="1863" w:type="dxa"/>
            <w:gridSpan w:val="2"/>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评价标准</w:t>
            </w:r>
          </w:p>
        </w:tc>
        <w:tc>
          <w:tcPr>
            <w:tcW w:w="1516" w:type="dxa"/>
            <w:gridSpan w:val="3"/>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国家标准</w:t>
            </w:r>
            <w:r>
              <w:rPr>
                <w:rFonts w:hint="eastAsia" w:ascii="Times New Roman" w:hAnsi="Times New Roman" w:eastAsia="宋体" w:cs="Times New Roman"/>
                <w:sz w:val="18"/>
                <w:szCs w:val="18"/>
              </w:rPr>
              <w:sym w:font="CommercialPi BT" w:char="F029"/>
            </w:r>
          </w:p>
        </w:tc>
        <w:tc>
          <w:tcPr>
            <w:tcW w:w="1182" w:type="dxa"/>
            <w:gridSpan w:val="3"/>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地方标准□</w:t>
            </w:r>
          </w:p>
        </w:tc>
        <w:tc>
          <w:tcPr>
            <w:tcW w:w="1170" w:type="dxa"/>
            <w:gridSpan w:val="7"/>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附录D </w:t>
            </w:r>
            <w:r>
              <w:rPr>
                <w:rFonts w:hint="eastAsia" w:ascii="Times New Roman" w:hAnsi="Times New Roman" w:eastAsia="宋体" w:cs="Times New Roman"/>
                <w:sz w:val="18"/>
                <w:szCs w:val="18"/>
              </w:rPr>
              <w:sym w:font="CommercialPi BT" w:char="F029"/>
            </w:r>
          </w:p>
        </w:tc>
        <w:tc>
          <w:tcPr>
            <w:tcW w:w="1794" w:type="dxa"/>
            <w:gridSpan w:val="3"/>
            <w:tcBorders>
              <w:right w:val="single" w:color="auto" w:sz="4" w:space="0"/>
            </w:tcBorders>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其他标准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5" w:type="dxa"/>
            <w:vMerge w:val="restart"/>
            <w:tcBorders>
              <w:left w:val="single" w:color="auto" w:sz="4" w:space="0"/>
            </w:tcBorders>
            <w:vAlign w:val="center"/>
          </w:tcPr>
          <w:p>
            <w:pPr>
              <w:spacing w:line="0" w:lineRule="atLeast"/>
              <w:ind w:firstLine="480"/>
              <w:jc w:val="center"/>
              <w:rPr>
                <w:rFonts w:ascii="Times New Roman" w:hAnsi="Times New Roman" w:eastAsia="宋体" w:cs="Times New Roman"/>
                <w:sz w:val="18"/>
                <w:szCs w:val="18"/>
              </w:rPr>
            </w:pPr>
          </w:p>
          <w:p>
            <w:pPr>
              <w:spacing w:line="0" w:lineRule="atLeast"/>
              <w:rPr>
                <w:rFonts w:ascii="Times New Roman" w:hAnsi="Times New Roman" w:eastAsia="宋体" w:cs="Times New Roman"/>
                <w:sz w:val="18"/>
                <w:szCs w:val="18"/>
              </w:rPr>
            </w:pPr>
            <w:r>
              <w:rPr>
                <w:rFonts w:hint="eastAsia" w:ascii="Times New Roman" w:hAnsi="Times New Roman" w:eastAsia="宋体" w:cs="Times New Roman"/>
                <w:sz w:val="18"/>
                <w:szCs w:val="18"/>
              </w:rPr>
              <w:t>现状评价</w:t>
            </w:r>
          </w:p>
          <w:p>
            <w:pPr>
              <w:spacing w:line="0" w:lineRule="atLeast"/>
              <w:ind w:firstLine="480"/>
              <w:jc w:val="center"/>
              <w:rPr>
                <w:rFonts w:ascii="Times New Roman" w:hAnsi="Times New Roman" w:eastAsia="宋体" w:cs="Times New Roman"/>
                <w:sz w:val="18"/>
                <w:szCs w:val="18"/>
              </w:rPr>
            </w:pPr>
          </w:p>
        </w:tc>
        <w:tc>
          <w:tcPr>
            <w:tcW w:w="1863" w:type="dxa"/>
            <w:gridSpan w:val="2"/>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环境功能区</w:t>
            </w:r>
          </w:p>
        </w:tc>
        <w:tc>
          <w:tcPr>
            <w:tcW w:w="1730" w:type="dxa"/>
            <w:gridSpan w:val="4"/>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一类区 □</w:t>
            </w:r>
          </w:p>
        </w:tc>
        <w:tc>
          <w:tcPr>
            <w:tcW w:w="1632" w:type="dxa"/>
            <w:gridSpan w:val="6"/>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二类区</w:t>
            </w:r>
            <w:r>
              <w:rPr>
                <w:rFonts w:hint="eastAsia" w:ascii="Times New Roman" w:hAnsi="Times New Roman" w:eastAsia="宋体" w:cs="Times New Roman"/>
                <w:sz w:val="18"/>
                <w:szCs w:val="18"/>
              </w:rPr>
              <w:sym w:font="CommercialPi BT" w:char="F029"/>
            </w:r>
          </w:p>
        </w:tc>
        <w:tc>
          <w:tcPr>
            <w:tcW w:w="2300" w:type="dxa"/>
            <w:gridSpan w:val="6"/>
            <w:tcBorders>
              <w:right w:val="single" w:color="auto" w:sz="4" w:space="0"/>
            </w:tcBorders>
            <w:vAlign w:val="center"/>
          </w:tcPr>
          <w:p>
            <w:pPr>
              <w:spacing w:line="0" w:lineRule="atLeast"/>
              <w:jc w:val="center"/>
              <w:rPr>
                <w:rFonts w:ascii="Times New Roman" w:hAnsi="Times New Roman" w:eastAsia="宋体" w:cs="Times New Roman"/>
                <w:b/>
                <w:bCs/>
                <w:sz w:val="18"/>
                <w:szCs w:val="18"/>
              </w:rPr>
            </w:pPr>
            <w:r>
              <w:rPr>
                <w:rFonts w:hint="eastAsia" w:ascii="Times New Roman" w:hAnsi="Times New Roman" w:eastAsia="宋体" w:cs="Times New Roman"/>
                <w:sz w:val="18"/>
                <w:szCs w:val="18"/>
              </w:rPr>
              <w:t>一类区和二类区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jc w:val="center"/>
        </w:trPr>
        <w:tc>
          <w:tcPr>
            <w:tcW w:w="905" w:type="dxa"/>
            <w:vMerge w:val="continue"/>
            <w:tcBorders>
              <w:left w:val="single" w:color="auto" w:sz="4" w:space="0"/>
            </w:tcBorders>
            <w:vAlign w:val="center"/>
          </w:tcPr>
          <w:p>
            <w:pPr>
              <w:spacing w:line="0" w:lineRule="atLeast"/>
              <w:ind w:firstLine="480"/>
              <w:jc w:val="center"/>
              <w:rPr>
                <w:rFonts w:ascii="Times New Roman" w:hAnsi="Times New Roman" w:eastAsia="宋体" w:cs="Times New Roman"/>
                <w:sz w:val="18"/>
                <w:szCs w:val="18"/>
              </w:rPr>
            </w:pPr>
          </w:p>
        </w:tc>
        <w:tc>
          <w:tcPr>
            <w:tcW w:w="1863" w:type="dxa"/>
            <w:gridSpan w:val="2"/>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评价基准年</w:t>
            </w:r>
          </w:p>
        </w:tc>
        <w:tc>
          <w:tcPr>
            <w:tcW w:w="5662" w:type="dxa"/>
            <w:gridSpan w:val="16"/>
            <w:tcBorders>
              <w:right w:val="single" w:color="auto" w:sz="4" w:space="0"/>
            </w:tcBorders>
            <w:vAlign w:val="center"/>
          </w:tcPr>
          <w:p>
            <w:pPr>
              <w:spacing w:line="0" w:lineRule="atLeast"/>
              <w:jc w:val="center"/>
              <w:rPr>
                <w:rFonts w:ascii="Times New Roman" w:hAnsi="Times New Roman" w:eastAsia="宋体" w:cs="Times New Roman"/>
                <w:b/>
                <w:bCs/>
                <w:sz w:val="18"/>
                <w:szCs w:val="18"/>
              </w:rPr>
            </w:pPr>
            <w:r>
              <w:rPr>
                <w:rFonts w:hint="eastAsia" w:ascii="Times New Roman" w:hAnsi="Times New Roman" w:eastAsia="宋体" w:cs="Times New Roman"/>
                <w:sz w:val="18"/>
                <w:szCs w:val="18"/>
              </w:rPr>
              <w:t>（2017）年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905" w:type="dxa"/>
            <w:vMerge w:val="continue"/>
            <w:tcBorders>
              <w:left w:val="single" w:color="auto" w:sz="4" w:space="0"/>
            </w:tcBorders>
            <w:vAlign w:val="center"/>
          </w:tcPr>
          <w:p>
            <w:pPr>
              <w:spacing w:line="0" w:lineRule="atLeast"/>
              <w:ind w:firstLine="480"/>
              <w:jc w:val="center"/>
              <w:rPr>
                <w:rFonts w:ascii="Times New Roman" w:hAnsi="Times New Roman" w:eastAsia="宋体" w:cs="Times New Roman"/>
                <w:sz w:val="18"/>
                <w:szCs w:val="18"/>
              </w:rPr>
            </w:pPr>
          </w:p>
        </w:tc>
        <w:tc>
          <w:tcPr>
            <w:tcW w:w="1863" w:type="dxa"/>
            <w:gridSpan w:val="2"/>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环境空气质量</w:t>
            </w:r>
          </w:p>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现状调差数据来源</w:t>
            </w:r>
          </w:p>
        </w:tc>
        <w:tc>
          <w:tcPr>
            <w:tcW w:w="2067" w:type="dxa"/>
            <w:gridSpan w:val="5"/>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长期例行监测数据□</w:t>
            </w:r>
          </w:p>
        </w:tc>
        <w:tc>
          <w:tcPr>
            <w:tcW w:w="2011" w:type="dxa"/>
            <w:gridSpan w:val="9"/>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主管部门发布的数据</w:t>
            </w:r>
            <w:r>
              <w:rPr>
                <w:rFonts w:hint="eastAsia" w:ascii="Times New Roman" w:hAnsi="Times New Roman" w:eastAsia="宋体" w:cs="Times New Roman"/>
                <w:sz w:val="18"/>
                <w:szCs w:val="18"/>
              </w:rPr>
              <w:sym w:font="CommercialPi BT" w:char="F029"/>
            </w:r>
          </w:p>
        </w:tc>
        <w:tc>
          <w:tcPr>
            <w:tcW w:w="1584" w:type="dxa"/>
            <w:gridSpan w:val="2"/>
            <w:tcBorders>
              <w:right w:val="single" w:color="auto" w:sz="4" w:space="0"/>
            </w:tcBorders>
            <w:vAlign w:val="center"/>
          </w:tcPr>
          <w:p>
            <w:pPr>
              <w:spacing w:line="0" w:lineRule="atLeast"/>
              <w:jc w:val="center"/>
              <w:rPr>
                <w:rFonts w:ascii="Times New Roman" w:hAnsi="Times New Roman" w:eastAsia="宋体" w:cs="Times New Roman"/>
                <w:b/>
                <w:bCs/>
                <w:color w:val="000000" w:themeColor="text1"/>
                <w:sz w:val="18"/>
                <w:szCs w:val="18"/>
              </w:rPr>
            </w:pPr>
            <w:r>
              <w:rPr>
                <w:rFonts w:hint="eastAsia" w:ascii="Times New Roman" w:hAnsi="Times New Roman" w:eastAsia="宋体" w:cs="Times New Roman"/>
                <w:color w:val="000000" w:themeColor="text1"/>
                <w:sz w:val="18"/>
                <w:szCs w:val="18"/>
              </w:rPr>
              <w:t>现状补充监测</w:t>
            </w:r>
            <w:r>
              <w:rPr>
                <w:rFonts w:hint="eastAsia" w:ascii="Times New Roman" w:hAnsi="Times New Roman" w:eastAsia="宋体" w:cs="Times New Roman"/>
                <w:color w:val="000000" w:themeColor="text1"/>
                <w:sz w:val="18"/>
                <w:szCs w:val="18"/>
              </w:rPr>
              <w:sym w:font="CommercialPi BT" w:char="F029"/>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5" w:type="dxa"/>
            <w:vMerge w:val="continue"/>
            <w:tcBorders>
              <w:left w:val="single" w:color="auto" w:sz="4" w:space="0"/>
            </w:tcBorders>
            <w:vAlign w:val="center"/>
          </w:tcPr>
          <w:p>
            <w:pPr>
              <w:spacing w:line="0" w:lineRule="atLeast"/>
              <w:ind w:firstLine="480"/>
              <w:jc w:val="center"/>
              <w:rPr>
                <w:rFonts w:ascii="Times New Roman" w:hAnsi="Times New Roman" w:eastAsia="宋体" w:cs="Times New Roman"/>
                <w:sz w:val="18"/>
                <w:szCs w:val="18"/>
              </w:rPr>
            </w:pPr>
          </w:p>
        </w:tc>
        <w:tc>
          <w:tcPr>
            <w:tcW w:w="1863" w:type="dxa"/>
            <w:gridSpan w:val="2"/>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现状评价</w:t>
            </w:r>
          </w:p>
        </w:tc>
        <w:tc>
          <w:tcPr>
            <w:tcW w:w="2988" w:type="dxa"/>
            <w:gridSpan w:val="8"/>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达标区□</w:t>
            </w:r>
          </w:p>
        </w:tc>
        <w:tc>
          <w:tcPr>
            <w:tcW w:w="2674" w:type="dxa"/>
            <w:gridSpan w:val="8"/>
            <w:tcBorders>
              <w:right w:val="single" w:color="auto" w:sz="4" w:space="0"/>
            </w:tcBorders>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不达标区</w:t>
            </w:r>
            <w:r>
              <w:rPr>
                <w:rFonts w:hint="eastAsia" w:ascii="Times New Roman" w:hAnsi="Times New Roman" w:eastAsia="宋体" w:cs="Times New Roman"/>
                <w:sz w:val="18"/>
                <w:szCs w:val="18"/>
              </w:rPr>
              <w:sym w:font="CommercialPi BT" w:char="F029"/>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2" w:hRule="atLeast"/>
          <w:jc w:val="center"/>
        </w:trPr>
        <w:tc>
          <w:tcPr>
            <w:tcW w:w="905" w:type="dxa"/>
            <w:tcBorders>
              <w:left w:val="single" w:color="auto" w:sz="4" w:space="0"/>
            </w:tcBorders>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污染源</w:t>
            </w:r>
          </w:p>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调查</w:t>
            </w:r>
          </w:p>
        </w:tc>
        <w:tc>
          <w:tcPr>
            <w:tcW w:w="1111" w:type="dxa"/>
            <w:vAlign w:val="center"/>
          </w:tcPr>
          <w:p>
            <w:pPr>
              <w:spacing w:line="0" w:lineRule="atLeast"/>
              <w:rPr>
                <w:rFonts w:ascii="Times New Roman" w:hAnsi="Times New Roman" w:eastAsia="宋体" w:cs="Times New Roman"/>
                <w:sz w:val="18"/>
                <w:szCs w:val="18"/>
              </w:rPr>
            </w:pPr>
            <w:r>
              <w:rPr>
                <w:rFonts w:hint="eastAsia" w:ascii="Times New Roman" w:hAnsi="Times New Roman" w:eastAsia="宋体" w:cs="Times New Roman"/>
                <w:sz w:val="18"/>
                <w:szCs w:val="18"/>
              </w:rPr>
              <w:t>调查内容</w:t>
            </w:r>
          </w:p>
        </w:tc>
        <w:tc>
          <w:tcPr>
            <w:tcW w:w="2268" w:type="dxa"/>
            <w:gridSpan w:val="4"/>
            <w:vAlign w:val="center"/>
          </w:tcPr>
          <w:p>
            <w:pPr>
              <w:spacing w:line="0" w:lineRule="atLeast"/>
              <w:jc w:val="right"/>
              <w:rPr>
                <w:rFonts w:ascii="Times New Roman" w:hAnsi="Times New Roman" w:eastAsia="宋体" w:cs="Times New Roman"/>
                <w:sz w:val="18"/>
                <w:szCs w:val="18"/>
              </w:rPr>
            </w:pPr>
            <w:r>
              <w:rPr>
                <w:rFonts w:hint="eastAsia" w:ascii="Times New Roman" w:hAnsi="Times New Roman" w:eastAsia="宋体" w:cs="Times New Roman"/>
                <w:sz w:val="18"/>
                <w:szCs w:val="18"/>
              </w:rPr>
              <w:t>本项目正常排放源</w:t>
            </w:r>
            <w:r>
              <w:rPr>
                <w:rFonts w:hint="eastAsia" w:ascii="Times New Roman" w:hAnsi="Times New Roman" w:eastAsia="宋体" w:cs="Times New Roman"/>
                <w:sz w:val="18"/>
                <w:szCs w:val="18"/>
              </w:rPr>
              <w:sym w:font="CommercialPi BT" w:char="F029"/>
            </w:r>
          </w:p>
          <w:p>
            <w:pPr>
              <w:spacing w:line="0" w:lineRule="atLeast"/>
              <w:jc w:val="right"/>
              <w:rPr>
                <w:rFonts w:ascii="Times New Roman" w:hAnsi="Times New Roman" w:eastAsia="宋体" w:cs="Times New Roman"/>
                <w:sz w:val="18"/>
                <w:szCs w:val="18"/>
              </w:rPr>
            </w:pPr>
            <w:r>
              <w:rPr>
                <w:rFonts w:hint="eastAsia" w:ascii="Times New Roman" w:hAnsi="Times New Roman" w:eastAsia="宋体" w:cs="Times New Roman"/>
                <w:sz w:val="18"/>
                <w:szCs w:val="18"/>
              </w:rPr>
              <w:t>本项目非正常排放源□</w:t>
            </w:r>
          </w:p>
          <w:p>
            <w:pPr>
              <w:spacing w:line="0" w:lineRule="atLeast"/>
              <w:jc w:val="right"/>
              <w:rPr>
                <w:rFonts w:ascii="Times New Roman" w:hAnsi="Times New Roman" w:eastAsia="宋体" w:cs="Times New Roman"/>
                <w:sz w:val="18"/>
                <w:szCs w:val="18"/>
              </w:rPr>
            </w:pPr>
            <w:r>
              <w:rPr>
                <w:rFonts w:hint="eastAsia" w:ascii="Times New Roman" w:hAnsi="Times New Roman" w:eastAsia="宋体" w:cs="Times New Roman"/>
                <w:sz w:val="18"/>
                <w:szCs w:val="18"/>
              </w:rPr>
              <w:t>现有污染源□</w:t>
            </w:r>
          </w:p>
        </w:tc>
        <w:tc>
          <w:tcPr>
            <w:tcW w:w="1472" w:type="dxa"/>
            <w:gridSpan w:val="5"/>
            <w:vAlign w:val="center"/>
          </w:tcPr>
          <w:p>
            <w:pPr>
              <w:spacing w:line="0" w:lineRule="atLeast"/>
              <w:rPr>
                <w:rFonts w:ascii="Times New Roman" w:hAnsi="Times New Roman" w:eastAsia="宋体" w:cs="Times New Roman"/>
                <w:sz w:val="18"/>
                <w:szCs w:val="18"/>
              </w:rPr>
            </w:pPr>
            <w:r>
              <w:rPr>
                <w:rFonts w:hint="eastAsia" w:ascii="Times New Roman" w:hAnsi="Times New Roman" w:eastAsia="宋体" w:cs="Times New Roman"/>
                <w:sz w:val="18"/>
                <w:szCs w:val="18"/>
              </w:rPr>
              <w:t>拟替代的污染源□</w:t>
            </w:r>
          </w:p>
        </w:tc>
        <w:tc>
          <w:tcPr>
            <w:tcW w:w="1090" w:type="dxa"/>
            <w:gridSpan w:val="6"/>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其他在建、拟建项目污染源□</w:t>
            </w:r>
          </w:p>
        </w:tc>
        <w:tc>
          <w:tcPr>
            <w:tcW w:w="1584" w:type="dxa"/>
            <w:gridSpan w:val="2"/>
            <w:tcBorders>
              <w:right w:val="single" w:color="auto" w:sz="4" w:space="0"/>
            </w:tcBorders>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区域污染源□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05" w:type="dxa"/>
            <w:vMerge w:val="restart"/>
            <w:tcBorders>
              <w:left w:val="single" w:color="auto" w:sz="4" w:space="0"/>
            </w:tcBorders>
            <w:vAlign w:val="center"/>
          </w:tcPr>
          <w:p>
            <w:pPr>
              <w:spacing w:line="0" w:lineRule="atLeast"/>
              <w:ind w:firstLine="480"/>
              <w:rPr>
                <w:rFonts w:ascii="Times New Roman" w:hAnsi="Times New Roman" w:eastAsia="宋体" w:cs="Times New Roman"/>
                <w:sz w:val="18"/>
                <w:szCs w:val="18"/>
              </w:rPr>
            </w:pPr>
          </w:p>
          <w:p>
            <w:pPr>
              <w:spacing w:line="0" w:lineRule="atLeast"/>
              <w:ind w:firstLine="720" w:firstLineChars="400"/>
              <w:jc w:val="center"/>
              <w:rPr>
                <w:rFonts w:ascii="Times New Roman" w:hAnsi="Times New Roman" w:eastAsia="宋体" w:cs="Times New Roman"/>
                <w:sz w:val="18"/>
                <w:szCs w:val="18"/>
              </w:rPr>
            </w:pPr>
          </w:p>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大气环境影响预测与评价</w:t>
            </w:r>
          </w:p>
        </w:tc>
        <w:tc>
          <w:tcPr>
            <w:tcW w:w="1111" w:type="dxa"/>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预测模型</w:t>
            </w:r>
          </w:p>
        </w:tc>
        <w:tc>
          <w:tcPr>
            <w:tcW w:w="897" w:type="dxa"/>
            <w:gridSpan w:val="2"/>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AERMOD</w:t>
            </w:r>
          </w:p>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762" w:type="dxa"/>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ADMS</w:t>
            </w:r>
          </w:p>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1160" w:type="dxa"/>
            <w:gridSpan w:val="3"/>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AUSTAL2000</w:t>
            </w:r>
          </w:p>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1121" w:type="dxa"/>
            <w:gridSpan w:val="4"/>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EDMS/AEDF</w:t>
            </w:r>
          </w:p>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890" w:type="dxa"/>
            <w:gridSpan w:val="5"/>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CALPIFF</w:t>
            </w:r>
          </w:p>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1004" w:type="dxa"/>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网络模型</w:t>
            </w:r>
          </w:p>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c>
          <w:tcPr>
            <w:tcW w:w="580" w:type="dxa"/>
            <w:tcBorders>
              <w:right w:val="single" w:color="auto" w:sz="4" w:space="0"/>
            </w:tcBorders>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其他</w:t>
            </w:r>
          </w:p>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sym w:font="CommercialPi BT" w:char="F029"/>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jc w:val="center"/>
        </w:trPr>
        <w:tc>
          <w:tcPr>
            <w:tcW w:w="905" w:type="dxa"/>
            <w:vMerge w:val="continue"/>
            <w:tcBorders>
              <w:left w:val="single" w:color="auto" w:sz="4" w:space="0"/>
            </w:tcBorders>
            <w:vAlign w:val="center"/>
          </w:tcPr>
          <w:p>
            <w:pPr>
              <w:spacing w:line="0" w:lineRule="atLeast"/>
              <w:ind w:firstLine="480"/>
              <w:jc w:val="center"/>
              <w:rPr>
                <w:rFonts w:ascii="Times New Roman" w:hAnsi="Times New Roman" w:eastAsia="宋体" w:cs="Times New Roman"/>
                <w:sz w:val="18"/>
                <w:szCs w:val="18"/>
              </w:rPr>
            </w:pPr>
          </w:p>
        </w:tc>
        <w:tc>
          <w:tcPr>
            <w:tcW w:w="2008" w:type="dxa"/>
            <w:gridSpan w:val="3"/>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预测范围</w:t>
            </w:r>
          </w:p>
        </w:tc>
        <w:tc>
          <w:tcPr>
            <w:tcW w:w="1585" w:type="dxa"/>
            <w:gridSpan w:val="3"/>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边长</w:t>
            </w:r>
            <w:r>
              <w:rPr>
                <w:rFonts w:ascii="Times New Roman" w:hAnsi="Times New Roman" w:eastAsia="宋体" w:cs="Arial"/>
                <w:sz w:val="18"/>
                <w:szCs w:val="18"/>
              </w:rPr>
              <w:t>≥</w:t>
            </w:r>
            <w:r>
              <w:rPr>
                <w:rFonts w:hint="eastAsia" w:ascii="Times New Roman" w:hAnsi="Times New Roman" w:eastAsia="宋体" w:cs="Times New Roman"/>
                <w:sz w:val="18"/>
                <w:szCs w:val="18"/>
              </w:rPr>
              <w:t>50km □</w:t>
            </w:r>
          </w:p>
        </w:tc>
        <w:tc>
          <w:tcPr>
            <w:tcW w:w="1897" w:type="dxa"/>
            <w:gridSpan w:val="8"/>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边长5</w:t>
            </w:r>
            <w:r>
              <w:rPr>
                <w:rFonts w:ascii="Times New Roman" w:hAnsi="Times New Roman" w:eastAsia="宋体" w:cs="Times New Roman"/>
                <w:sz w:val="18"/>
                <w:szCs w:val="18"/>
              </w:rPr>
              <w:t>～</w:t>
            </w:r>
            <w:r>
              <w:rPr>
                <w:rFonts w:hint="eastAsia" w:ascii="Times New Roman" w:hAnsi="Times New Roman" w:eastAsia="宋体" w:cs="Times New Roman"/>
                <w:sz w:val="18"/>
                <w:szCs w:val="18"/>
              </w:rPr>
              <w:t>50km □</w:t>
            </w:r>
          </w:p>
        </w:tc>
        <w:tc>
          <w:tcPr>
            <w:tcW w:w="2035" w:type="dxa"/>
            <w:gridSpan w:val="4"/>
            <w:tcBorders>
              <w:right w:val="single" w:color="auto" w:sz="4" w:space="0"/>
            </w:tcBorders>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边长=5km</w:t>
            </w:r>
            <w:r>
              <w:rPr>
                <w:rFonts w:hint="eastAsia" w:ascii="Times New Roman" w:hAnsi="Times New Roman" w:eastAsia="宋体" w:cs="Times New Roman"/>
                <w:sz w:val="18"/>
                <w:szCs w:val="18"/>
              </w:rPr>
              <w:sym w:font="CommercialPi BT" w:char="F029"/>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jc w:val="center"/>
        </w:trPr>
        <w:tc>
          <w:tcPr>
            <w:tcW w:w="905" w:type="dxa"/>
            <w:vMerge w:val="continue"/>
            <w:tcBorders>
              <w:left w:val="single" w:color="auto" w:sz="4" w:space="0"/>
            </w:tcBorders>
            <w:vAlign w:val="center"/>
          </w:tcPr>
          <w:p>
            <w:pPr>
              <w:spacing w:line="0" w:lineRule="atLeast"/>
              <w:ind w:firstLine="480"/>
              <w:jc w:val="center"/>
              <w:rPr>
                <w:rFonts w:ascii="Times New Roman" w:hAnsi="Times New Roman" w:eastAsia="宋体" w:cs="Times New Roman"/>
                <w:sz w:val="18"/>
                <w:szCs w:val="18"/>
              </w:rPr>
            </w:pPr>
          </w:p>
        </w:tc>
        <w:tc>
          <w:tcPr>
            <w:tcW w:w="2008" w:type="dxa"/>
            <w:gridSpan w:val="3"/>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预测因子</w:t>
            </w:r>
          </w:p>
        </w:tc>
        <w:tc>
          <w:tcPr>
            <w:tcW w:w="3043" w:type="dxa"/>
            <w:gridSpan w:val="8"/>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预测因子（氨、硫化氢）</w:t>
            </w:r>
          </w:p>
        </w:tc>
        <w:tc>
          <w:tcPr>
            <w:tcW w:w="2474" w:type="dxa"/>
            <w:gridSpan w:val="7"/>
            <w:tcBorders>
              <w:right w:val="single" w:color="auto" w:sz="4" w:space="0"/>
            </w:tcBorders>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包括二次PM2.5 □</w:t>
            </w:r>
          </w:p>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不包括二次PM2.5</w:t>
            </w:r>
            <w:r>
              <w:rPr>
                <w:rFonts w:hint="eastAsia" w:ascii="Times New Roman" w:hAnsi="Times New Roman" w:eastAsia="宋体" w:cs="Times New Roman"/>
                <w:sz w:val="18"/>
                <w:szCs w:val="18"/>
              </w:rPr>
              <w:sym w:font="CommercialPi BT" w:char="F029"/>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jc w:val="center"/>
        </w:trPr>
        <w:tc>
          <w:tcPr>
            <w:tcW w:w="905" w:type="dxa"/>
            <w:vMerge w:val="continue"/>
            <w:tcBorders>
              <w:left w:val="single" w:color="auto" w:sz="4" w:space="0"/>
            </w:tcBorders>
            <w:vAlign w:val="center"/>
          </w:tcPr>
          <w:p>
            <w:pPr>
              <w:spacing w:line="0" w:lineRule="atLeast"/>
              <w:ind w:firstLine="480"/>
              <w:jc w:val="center"/>
              <w:rPr>
                <w:rFonts w:ascii="Times New Roman" w:hAnsi="Times New Roman" w:eastAsia="宋体" w:cs="Times New Roman"/>
                <w:sz w:val="18"/>
                <w:szCs w:val="18"/>
              </w:rPr>
            </w:pPr>
          </w:p>
        </w:tc>
        <w:tc>
          <w:tcPr>
            <w:tcW w:w="2008" w:type="dxa"/>
            <w:gridSpan w:val="3"/>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正常排放短期浓度</w:t>
            </w:r>
          </w:p>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贡献值</w:t>
            </w:r>
          </w:p>
        </w:tc>
        <w:tc>
          <w:tcPr>
            <w:tcW w:w="3043" w:type="dxa"/>
            <w:gridSpan w:val="8"/>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C</w:t>
            </w:r>
            <w:r>
              <w:rPr>
                <w:rFonts w:hint="eastAsia" w:ascii="Times New Roman" w:hAnsi="Times New Roman" w:eastAsia="宋体" w:cs="Times New Roman"/>
                <w:sz w:val="18"/>
                <w:szCs w:val="18"/>
                <w:vertAlign w:val="subscript"/>
              </w:rPr>
              <w:t>本项目</w:t>
            </w:r>
            <w:r>
              <w:rPr>
                <w:rFonts w:hint="eastAsia" w:ascii="Times New Roman" w:hAnsi="Times New Roman" w:eastAsia="宋体" w:cs="Times New Roman"/>
                <w:sz w:val="18"/>
                <w:szCs w:val="18"/>
              </w:rPr>
              <w:t>最大占标率</w:t>
            </w:r>
            <w:r>
              <w:rPr>
                <w:rFonts w:ascii="Times New Roman" w:hAnsi="Times New Roman" w:eastAsia="宋体" w:cs="Times New Roman"/>
                <w:sz w:val="18"/>
                <w:szCs w:val="18"/>
              </w:rPr>
              <w:t>≤100%</w:t>
            </w:r>
            <w:r>
              <w:rPr>
                <w:rFonts w:hint="eastAsia" w:ascii="Times New Roman" w:hAnsi="Times New Roman" w:eastAsia="宋体" w:cs="Times New Roman"/>
                <w:sz w:val="18"/>
                <w:szCs w:val="18"/>
              </w:rPr>
              <w:sym w:font="CommercialPi BT" w:char="F029"/>
            </w:r>
          </w:p>
        </w:tc>
        <w:tc>
          <w:tcPr>
            <w:tcW w:w="2474" w:type="dxa"/>
            <w:gridSpan w:val="7"/>
            <w:tcBorders>
              <w:right w:val="single" w:color="auto" w:sz="4" w:space="0"/>
            </w:tcBorders>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C</w:t>
            </w:r>
            <w:r>
              <w:rPr>
                <w:rFonts w:hint="eastAsia" w:ascii="Times New Roman" w:hAnsi="Times New Roman" w:eastAsia="宋体" w:cs="Times New Roman"/>
                <w:sz w:val="18"/>
                <w:szCs w:val="18"/>
                <w:vertAlign w:val="subscript"/>
              </w:rPr>
              <w:t>本项目</w:t>
            </w:r>
            <w:r>
              <w:rPr>
                <w:rFonts w:hint="eastAsia" w:ascii="Times New Roman" w:hAnsi="Times New Roman" w:eastAsia="宋体" w:cs="Times New Roman"/>
                <w:sz w:val="18"/>
                <w:szCs w:val="18"/>
              </w:rPr>
              <w:t>最大占标率&gt;</w:t>
            </w:r>
            <w:r>
              <w:rPr>
                <w:rFonts w:ascii="Times New Roman" w:hAnsi="Times New Roman" w:eastAsia="宋体" w:cs="Times New Roman"/>
                <w:sz w:val="18"/>
                <w:szCs w:val="18"/>
              </w:rPr>
              <w:t>100%</w:t>
            </w:r>
            <w:r>
              <w:rPr>
                <w:rFonts w:hint="eastAsia" w:ascii="Times New Roman" w:hAnsi="Times New Roman" w:eastAsia="宋体" w:cs="Times New Roman"/>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jc w:val="center"/>
        </w:trPr>
        <w:tc>
          <w:tcPr>
            <w:tcW w:w="905" w:type="dxa"/>
            <w:vMerge w:val="continue"/>
            <w:tcBorders>
              <w:left w:val="single" w:color="auto" w:sz="4" w:space="0"/>
            </w:tcBorders>
            <w:vAlign w:val="center"/>
          </w:tcPr>
          <w:p>
            <w:pPr>
              <w:spacing w:line="0" w:lineRule="atLeast"/>
              <w:ind w:firstLine="480"/>
              <w:jc w:val="center"/>
              <w:rPr>
                <w:rFonts w:ascii="Times New Roman" w:hAnsi="Times New Roman" w:eastAsia="宋体" w:cs="Times New Roman"/>
                <w:sz w:val="18"/>
                <w:szCs w:val="18"/>
              </w:rPr>
            </w:pPr>
          </w:p>
        </w:tc>
        <w:tc>
          <w:tcPr>
            <w:tcW w:w="2008" w:type="dxa"/>
            <w:gridSpan w:val="3"/>
            <w:vMerge w:val="restart"/>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正常排放年均浓度</w:t>
            </w:r>
          </w:p>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贡献值</w:t>
            </w:r>
          </w:p>
        </w:tc>
        <w:tc>
          <w:tcPr>
            <w:tcW w:w="762" w:type="dxa"/>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一类区</w:t>
            </w:r>
          </w:p>
        </w:tc>
        <w:tc>
          <w:tcPr>
            <w:tcW w:w="2281" w:type="dxa"/>
            <w:gridSpan w:val="7"/>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C</w:t>
            </w:r>
            <w:r>
              <w:rPr>
                <w:rFonts w:hint="eastAsia" w:ascii="Times New Roman" w:hAnsi="Times New Roman" w:eastAsia="宋体" w:cs="Times New Roman"/>
                <w:sz w:val="18"/>
                <w:szCs w:val="18"/>
                <w:vertAlign w:val="subscript"/>
              </w:rPr>
              <w:t>本项目</w:t>
            </w:r>
            <w:r>
              <w:rPr>
                <w:rFonts w:hint="eastAsia" w:ascii="Times New Roman" w:hAnsi="Times New Roman" w:eastAsia="宋体" w:cs="Times New Roman"/>
                <w:sz w:val="18"/>
                <w:szCs w:val="18"/>
              </w:rPr>
              <w:t>最大占标率</w:t>
            </w:r>
            <w:r>
              <w:rPr>
                <w:rFonts w:ascii="Times New Roman" w:hAnsi="Times New Roman" w:eastAsia="宋体" w:cs="Times New Roman"/>
                <w:sz w:val="18"/>
                <w:szCs w:val="18"/>
              </w:rPr>
              <w:t>≤</w:t>
            </w:r>
            <w:r>
              <w:rPr>
                <w:rFonts w:hint="eastAsia" w:ascii="Times New Roman" w:hAnsi="Times New Roman" w:eastAsia="宋体" w:cs="Times New Roman"/>
                <w:sz w:val="18"/>
                <w:szCs w:val="18"/>
              </w:rPr>
              <w:t>10</w:t>
            </w:r>
            <w:r>
              <w:rPr>
                <w:rFonts w:ascii="Times New Roman" w:hAnsi="Times New Roman" w:eastAsia="宋体" w:cs="Times New Roman"/>
                <w:sz w:val="18"/>
                <w:szCs w:val="18"/>
              </w:rPr>
              <w:t>%</w:t>
            </w:r>
            <w:r>
              <w:rPr>
                <w:rFonts w:hint="eastAsia" w:ascii="Times New Roman" w:hAnsi="Times New Roman" w:eastAsia="宋体" w:cs="Times New Roman"/>
                <w:sz w:val="18"/>
                <w:szCs w:val="18"/>
              </w:rPr>
              <w:t>□</w:t>
            </w:r>
          </w:p>
        </w:tc>
        <w:tc>
          <w:tcPr>
            <w:tcW w:w="2474" w:type="dxa"/>
            <w:gridSpan w:val="7"/>
            <w:tcBorders>
              <w:right w:val="single" w:color="auto" w:sz="4" w:space="0"/>
            </w:tcBorders>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C</w:t>
            </w:r>
            <w:r>
              <w:rPr>
                <w:rFonts w:hint="eastAsia" w:ascii="Times New Roman" w:hAnsi="Times New Roman" w:eastAsia="宋体" w:cs="Times New Roman"/>
                <w:sz w:val="18"/>
                <w:szCs w:val="18"/>
                <w:vertAlign w:val="subscript"/>
              </w:rPr>
              <w:t>本项目</w:t>
            </w:r>
            <w:r>
              <w:rPr>
                <w:rFonts w:hint="eastAsia" w:ascii="Times New Roman" w:hAnsi="Times New Roman" w:eastAsia="宋体" w:cs="Times New Roman"/>
                <w:sz w:val="18"/>
                <w:szCs w:val="18"/>
              </w:rPr>
              <w:t>最大占标率&gt;10</w:t>
            </w:r>
            <w:r>
              <w:rPr>
                <w:rFonts w:ascii="Times New Roman" w:hAnsi="Times New Roman" w:eastAsia="宋体" w:cs="Times New Roman"/>
                <w:sz w:val="18"/>
                <w:szCs w:val="18"/>
              </w:rPr>
              <w:t>%</w:t>
            </w:r>
            <w:r>
              <w:rPr>
                <w:rFonts w:hint="eastAsia" w:ascii="Times New Roman" w:hAnsi="Times New Roman" w:eastAsia="宋体" w:cs="Times New Roman"/>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jc w:val="center"/>
        </w:trPr>
        <w:tc>
          <w:tcPr>
            <w:tcW w:w="905" w:type="dxa"/>
            <w:vMerge w:val="continue"/>
            <w:tcBorders>
              <w:left w:val="single" w:color="auto" w:sz="4" w:space="0"/>
            </w:tcBorders>
            <w:vAlign w:val="center"/>
          </w:tcPr>
          <w:p>
            <w:pPr>
              <w:spacing w:line="0" w:lineRule="atLeast"/>
              <w:ind w:firstLine="480"/>
              <w:jc w:val="center"/>
              <w:rPr>
                <w:rFonts w:ascii="Times New Roman" w:hAnsi="Times New Roman" w:eastAsia="宋体" w:cs="Times New Roman"/>
                <w:sz w:val="18"/>
                <w:szCs w:val="18"/>
              </w:rPr>
            </w:pPr>
          </w:p>
        </w:tc>
        <w:tc>
          <w:tcPr>
            <w:tcW w:w="2008" w:type="dxa"/>
            <w:gridSpan w:val="3"/>
            <w:vMerge w:val="continue"/>
            <w:vAlign w:val="center"/>
          </w:tcPr>
          <w:p>
            <w:pPr>
              <w:spacing w:line="0" w:lineRule="atLeast"/>
              <w:ind w:firstLine="480"/>
              <w:jc w:val="center"/>
              <w:rPr>
                <w:rFonts w:ascii="Times New Roman" w:hAnsi="Times New Roman" w:eastAsia="宋体" w:cs="Times New Roman"/>
                <w:sz w:val="18"/>
                <w:szCs w:val="18"/>
              </w:rPr>
            </w:pPr>
          </w:p>
        </w:tc>
        <w:tc>
          <w:tcPr>
            <w:tcW w:w="762" w:type="dxa"/>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二类区</w:t>
            </w:r>
          </w:p>
        </w:tc>
        <w:tc>
          <w:tcPr>
            <w:tcW w:w="2281" w:type="dxa"/>
            <w:gridSpan w:val="7"/>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C</w:t>
            </w:r>
            <w:r>
              <w:rPr>
                <w:rFonts w:hint="eastAsia" w:ascii="Times New Roman" w:hAnsi="Times New Roman" w:eastAsia="宋体" w:cs="Times New Roman"/>
                <w:sz w:val="18"/>
                <w:szCs w:val="18"/>
                <w:vertAlign w:val="subscript"/>
              </w:rPr>
              <w:t>本项目</w:t>
            </w:r>
            <w:r>
              <w:rPr>
                <w:rFonts w:hint="eastAsia" w:ascii="Times New Roman" w:hAnsi="Times New Roman" w:eastAsia="宋体" w:cs="Times New Roman"/>
                <w:sz w:val="18"/>
                <w:szCs w:val="18"/>
              </w:rPr>
              <w:t>最大占标率</w:t>
            </w:r>
            <w:r>
              <w:rPr>
                <w:rFonts w:ascii="Times New Roman" w:hAnsi="Times New Roman" w:eastAsia="宋体" w:cs="Times New Roman"/>
                <w:sz w:val="18"/>
                <w:szCs w:val="18"/>
              </w:rPr>
              <w:t>≤</w:t>
            </w:r>
            <w:r>
              <w:rPr>
                <w:rFonts w:hint="eastAsia" w:ascii="Times New Roman" w:hAnsi="Times New Roman" w:eastAsia="宋体" w:cs="Times New Roman"/>
                <w:sz w:val="18"/>
                <w:szCs w:val="18"/>
              </w:rPr>
              <w:t>30</w:t>
            </w:r>
            <w:r>
              <w:rPr>
                <w:rFonts w:ascii="Times New Roman" w:hAnsi="Times New Roman" w:eastAsia="宋体" w:cs="Times New Roman"/>
                <w:sz w:val="18"/>
                <w:szCs w:val="18"/>
              </w:rPr>
              <w:t>%</w:t>
            </w:r>
            <w:r>
              <w:rPr>
                <w:rFonts w:hint="eastAsia" w:ascii="Times New Roman" w:hAnsi="Times New Roman" w:eastAsia="宋体" w:cs="Times New Roman"/>
                <w:sz w:val="18"/>
                <w:szCs w:val="18"/>
              </w:rPr>
              <w:sym w:font="CommercialPi BT" w:char="F029"/>
            </w:r>
          </w:p>
        </w:tc>
        <w:tc>
          <w:tcPr>
            <w:tcW w:w="2474" w:type="dxa"/>
            <w:gridSpan w:val="7"/>
            <w:tcBorders>
              <w:right w:val="single" w:color="auto" w:sz="4" w:space="0"/>
            </w:tcBorders>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C</w:t>
            </w:r>
            <w:r>
              <w:rPr>
                <w:rFonts w:hint="eastAsia" w:ascii="Times New Roman" w:hAnsi="Times New Roman" w:eastAsia="宋体" w:cs="Times New Roman"/>
                <w:sz w:val="18"/>
                <w:szCs w:val="18"/>
                <w:vertAlign w:val="subscript"/>
              </w:rPr>
              <w:t>本项目</w:t>
            </w:r>
            <w:r>
              <w:rPr>
                <w:rFonts w:hint="eastAsia" w:ascii="Times New Roman" w:hAnsi="Times New Roman" w:eastAsia="宋体" w:cs="Times New Roman"/>
                <w:sz w:val="18"/>
                <w:szCs w:val="18"/>
              </w:rPr>
              <w:t>最大占标率&gt;30</w:t>
            </w:r>
            <w:r>
              <w:rPr>
                <w:rFonts w:ascii="Times New Roman" w:hAnsi="Times New Roman" w:eastAsia="宋体" w:cs="Times New Roman"/>
                <w:sz w:val="18"/>
                <w:szCs w:val="18"/>
              </w:rPr>
              <w:t>%</w:t>
            </w:r>
            <w:r>
              <w:rPr>
                <w:rFonts w:hint="eastAsia" w:ascii="Times New Roman" w:hAnsi="Times New Roman" w:eastAsia="宋体" w:cs="Times New Roman"/>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jc w:val="center"/>
        </w:trPr>
        <w:tc>
          <w:tcPr>
            <w:tcW w:w="905" w:type="dxa"/>
            <w:vMerge w:val="continue"/>
            <w:tcBorders>
              <w:left w:val="single" w:color="auto" w:sz="4" w:space="0"/>
            </w:tcBorders>
            <w:vAlign w:val="center"/>
          </w:tcPr>
          <w:p>
            <w:pPr>
              <w:spacing w:line="0" w:lineRule="atLeast"/>
              <w:ind w:firstLine="480"/>
              <w:jc w:val="center"/>
              <w:rPr>
                <w:rFonts w:ascii="Times New Roman" w:hAnsi="Times New Roman" w:eastAsia="宋体" w:cs="Times New Roman"/>
                <w:sz w:val="18"/>
                <w:szCs w:val="18"/>
              </w:rPr>
            </w:pPr>
          </w:p>
        </w:tc>
        <w:tc>
          <w:tcPr>
            <w:tcW w:w="2008" w:type="dxa"/>
            <w:gridSpan w:val="3"/>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非正常浓度1h浓度</w:t>
            </w:r>
          </w:p>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贡献值</w:t>
            </w:r>
          </w:p>
        </w:tc>
        <w:tc>
          <w:tcPr>
            <w:tcW w:w="1371" w:type="dxa"/>
            <w:gridSpan w:val="2"/>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非正常持续时长（）h</w:t>
            </w:r>
          </w:p>
        </w:tc>
        <w:tc>
          <w:tcPr>
            <w:tcW w:w="1951" w:type="dxa"/>
            <w:gridSpan w:val="8"/>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C</w:t>
            </w:r>
            <w:r>
              <w:rPr>
                <w:rFonts w:hint="eastAsia" w:ascii="Times New Roman" w:hAnsi="Times New Roman" w:eastAsia="宋体" w:cs="Times New Roman"/>
                <w:sz w:val="18"/>
                <w:szCs w:val="18"/>
                <w:vertAlign w:val="subscript"/>
              </w:rPr>
              <w:t>非正常</w:t>
            </w:r>
            <w:r>
              <w:rPr>
                <w:rFonts w:hint="eastAsia" w:ascii="Times New Roman" w:hAnsi="Times New Roman" w:eastAsia="宋体" w:cs="Times New Roman"/>
                <w:sz w:val="18"/>
                <w:szCs w:val="18"/>
              </w:rPr>
              <w:t>占标率</w:t>
            </w:r>
            <w:r>
              <w:rPr>
                <w:rFonts w:ascii="Times New Roman" w:hAnsi="Times New Roman" w:eastAsia="宋体" w:cs="Times New Roman"/>
                <w:sz w:val="18"/>
                <w:szCs w:val="18"/>
              </w:rPr>
              <w:t>≤</w:t>
            </w:r>
            <w:r>
              <w:rPr>
                <w:rFonts w:hint="eastAsia" w:ascii="Times New Roman" w:hAnsi="Times New Roman" w:eastAsia="宋体" w:cs="Times New Roman"/>
                <w:sz w:val="18"/>
                <w:szCs w:val="18"/>
              </w:rPr>
              <w:t>100</w:t>
            </w:r>
            <w:r>
              <w:rPr>
                <w:rFonts w:ascii="Times New Roman" w:hAnsi="Times New Roman" w:eastAsia="宋体" w:cs="Times New Roman"/>
                <w:sz w:val="18"/>
                <w:szCs w:val="18"/>
              </w:rPr>
              <w:t>%</w:t>
            </w:r>
            <w:r>
              <w:rPr>
                <w:rFonts w:hint="eastAsia" w:ascii="Times New Roman" w:hAnsi="Times New Roman" w:eastAsia="宋体" w:cs="Times New Roman"/>
                <w:sz w:val="18"/>
                <w:szCs w:val="18"/>
              </w:rPr>
              <w:t>□</w:t>
            </w:r>
          </w:p>
        </w:tc>
        <w:tc>
          <w:tcPr>
            <w:tcW w:w="2195" w:type="dxa"/>
            <w:gridSpan w:val="5"/>
            <w:tcBorders>
              <w:right w:val="single" w:color="auto" w:sz="4" w:space="0"/>
            </w:tcBorders>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C</w:t>
            </w:r>
            <w:r>
              <w:rPr>
                <w:rFonts w:hint="eastAsia" w:ascii="Times New Roman" w:hAnsi="Times New Roman" w:eastAsia="宋体" w:cs="Times New Roman"/>
                <w:sz w:val="18"/>
                <w:szCs w:val="18"/>
                <w:vertAlign w:val="subscript"/>
              </w:rPr>
              <w:t>非正常</w:t>
            </w:r>
            <w:r>
              <w:rPr>
                <w:rFonts w:hint="eastAsia" w:ascii="Times New Roman" w:hAnsi="Times New Roman" w:eastAsia="宋体" w:cs="Times New Roman"/>
                <w:sz w:val="18"/>
                <w:szCs w:val="18"/>
              </w:rPr>
              <w:t>占标率&gt;100</w:t>
            </w:r>
            <w:r>
              <w:rPr>
                <w:rFonts w:ascii="Times New Roman" w:hAnsi="Times New Roman" w:eastAsia="宋体" w:cs="Times New Roman"/>
                <w:sz w:val="18"/>
                <w:szCs w:val="18"/>
              </w:rPr>
              <w:t>%</w:t>
            </w:r>
            <w:r>
              <w:rPr>
                <w:rFonts w:hint="eastAsia" w:ascii="Times New Roman" w:hAnsi="Times New Roman" w:eastAsia="宋体" w:cs="Times New Roman"/>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jc w:val="center"/>
        </w:trPr>
        <w:tc>
          <w:tcPr>
            <w:tcW w:w="905" w:type="dxa"/>
            <w:vMerge w:val="continue"/>
            <w:tcBorders>
              <w:left w:val="single" w:color="auto" w:sz="4" w:space="0"/>
            </w:tcBorders>
            <w:vAlign w:val="center"/>
          </w:tcPr>
          <w:p>
            <w:pPr>
              <w:spacing w:line="0" w:lineRule="atLeast"/>
              <w:ind w:firstLine="480"/>
              <w:jc w:val="center"/>
              <w:rPr>
                <w:rFonts w:ascii="Times New Roman" w:hAnsi="Times New Roman" w:eastAsia="宋体" w:cs="Times New Roman"/>
                <w:sz w:val="18"/>
                <w:szCs w:val="18"/>
              </w:rPr>
            </w:pPr>
          </w:p>
        </w:tc>
        <w:tc>
          <w:tcPr>
            <w:tcW w:w="2008" w:type="dxa"/>
            <w:gridSpan w:val="3"/>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保证率日平均浓度和年平均浓度叠加值</w:t>
            </w:r>
          </w:p>
        </w:tc>
        <w:tc>
          <w:tcPr>
            <w:tcW w:w="3043" w:type="dxa"/>
            <w:gridSpan w:val="8"/>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C</w:t>
            </w:r>
            <w:r>
              <w:rPr>
                <w:rFonts w:hint="eastAsia" w:ascii="Times New Roman" w:hAnsi="Times New Roman" w:eastAsia="宋体" w:cs="Times New Roman"/>
                <w:sz w:val="18"/>
                <w:szCs w:val="18"/>
                <w:vertAlign w:val="subscript"/>
              </w:rPr>
              <w:t>叠加</w:t>
            </w:r>
            <w:r>
              <w:rPr>
                <w:rFonts w:hint="eastAsia" w:ascii="Times New Roman" w:hAnsi="Times New Roman" w:eastAsia="宋体" w:cs="Times New Roman"/>
                <w:sz w:val="18"/>
                <w:szCs w:val="18"/>
              </w:rPr>
              <w:t>达标 □</w:t>
            </w:r>
          </w:p>
        </w:tc>
        <w:tc>
          <w:tcPr>
            <w:tcW w:w="2474" w:type="dxa"/>
            <w:gridSpan w:val="7"/>
            <w:tcBorders>
              <w:right w:val="single" w:color="auto" w:sz="4" w:space="0"/>
            </w:tcBorders>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C</w:t>
            </w:r>
            <w:r>
              <w:rPr>
                <w:rFonts w:hint="eastAsia" w:ascii="Times New Roman" w:hAnsi="Times New Roman" w:eastAsia="宋体" w:cs="Times New Roman"/>
                <w:sz w:val="18"/>
                <w:szCs w:val="18"/>
                <w:vertAlign w:val="subscript"/>
              </w:rPr>
              <w:t>叠加</w:t>
            </w:r>
            <w:r>
              <w:rPr>
                <w:rFonts w:hint="eastAsia" w:ascii="Times New Roman" w:hAnsi="Times New Roman" w:eastAsia="宋体" w:cs="Times New Roman"/>
                <w:sz w:val="18"/>
                <w:szCs w:val="18"/>
              </w:rPr>
              <w:t>不达标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81" w:hRule="atLeast"/>
          <w:jc w:val="center"/>
        </w:trPr>
        <w:tc>
          <w:tcPr>
            <w:tcW w:w="905" w:type="dxa"/>
            <w:vMerge w:val="continue"/>
            <w:tcBorders>
              <w:left w:val="single" w:color="auto" w:sz="4" w:space="0"/>
            </w:tcBorders>
            <w:vAlign w:val="center"/>
          </w:tcPr>
          <w:p>
            <w:pPr>
              <w:spacing w:line="0" w:lineRule="atLeast"/>
              <w:ind w:firstLine="480"/>
              <w:jc w:val="center"/>
              <w:rPr>
                <w:rFonts w:ascii="Times New Roman" w:hAnsi="Times New Roman" w:eastAsia="宋体" w:cs="Times New Roman"/>
                <w:sz w:val="18"/>
                <w:szCs w:val="18"/>
              </w:rPr>
            </w:pPr>
          </w:p>
        </w:tc>
        <w:tc>
          <w:tcPr>
            <w:tcW w:w="2008" w:type="dxa"/>
            <w:gridSpan w:val="3"/>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区域环境质量的整体变化情况</w:t>
            </w:r>
          </w:p>
        </w:tc>
        <w:tc>
          <w:tcPr>
            <w:tcW w:w="3043" w:type="dxa"/>
            <w:gridSpan w:val="8"/>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k</w:t>
            </w:r>
            <w:r>
              <w:rPr>
                <w:rFonts w:ascii="Times New Roman" w:hAnsi="Times New Roman" w:eastAsia="宋体" w:cs="Times New Roman"/>
                <w:sz w:val="18"/>
                <w:szCs w:val="18"/>
              </w:rPr>
              <w:t>≤</w:t>
            </w:r>
            <w:r>
              <w:rPr>
                <w:rFonts w:hint="eastAsia" w:ascii="Times New Roman" w:hAnsi="Times New Roman" w:eastAsia="宋体" w:cs="Times New Roman"/>
                <w:sz w:val="18"/>
                <w:szCs w:val="18"/>
              </w:rPr>
              <w:t xml:space="preserve"> -20% □</w:t>
            </w:r>
          </w:p>
        </w:tc>
        <w:tc>
          <w:tcPr>
            <w:tcW w:w="2474" w:type="dxa"/>
            <w:gridSpan w:val="7"/>
            <w:tcBorders>
              <w:right w:val="single" w:color="auto" w:sz="4" w:space="0"/>
            </w:tcBorders>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k&gt; -20%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jc w:val="center"/>
        </w:trPr>
        <w:tc>
          <w:tcPr>
            <w:tcW w:w="905" w:type="dxa"/>
            <w:vMerge w:val="restart"/>
            <w:tcBorders>
              <w:left w:val="single" w:color="auto" w:sz="4" w:space="0"/>
            </w:tcBorders>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环境监测计划</w:t>
            </w:r>
          </w:p>
        </w:tc>
        <w:tc>
          <w:tcPr>
            <w:tcW w:w="2008" w:type="dxa"/>
            <w:gridSpan w:val="3"/>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污染源监测</w:t>
            </w:r>
          </w:p>
        </w:tc>
        <w:tc>
          <w:tcPr>
            <w:tcW w:w="1922" w:type="dxa"/>
            <w:gridSpan w:val="4"/>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监测因子（氨、硫化氢、臭气浓度）</w:t>
            </w:r>
          </w:p>
        </w:tc>
        <w:tc>
          <w:tcPr>
            <w:tcW w:w="2011" w:type="dxa"/>
            <w:gridSpan w:val="9"/>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有组织废气监测□</w:t>
            </w:r>
          </w:p>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无组织废气监测□</w:t>
            </w:r>
          </w:p>
        </w:tc>
        <w:tc>
          <w:tcPr>
            <w:tcW w:w="1584" w:type="dxa"/>
            <w:gridSpan w:val="2"/>
            <w:tcBorders>
              <w:right w:val="single" w:color="auto" w:sz="4" w:space="0"/>
            </w:tcBorders>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无监测□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jc w:val="center"/>
        </w:trPr>
        <w:tc>
          <w:tcPr>
            <w:tcW w:w="905" w:type="dxa"/>
            <w:vMerge w:val="continue"/>
            <w:tcBorders>
              <w:left w:val="single" w:color="auto" w:sz="4" w:space="0"/>
            </w:tcBorders>
            <w:vAlign w:val="center"/>
          </w:tcPr>
          <w:p>
            <w:pPr>
              <w:spacing w:line="0" w:lineRule="atLeast"/>
              <w:ind w:firstLine="480"/>
              <w:jc w:val="center"/>
              <w:rPr>
                <w:rFonts w:ascii="Times New Roman" w:hAnsi="Times New Roman" w:eastAsia="宋体" w:cs="Times New Roman"/>
                <w:sz w:val="18"/>
                <w:szCs w:val="18"/>
              </w:rPr>
            </w:pPr>
          </w:p>
        </w:tc>
        <w:tc>
          <w:tcPr>
            <w:tcW w:w="2008" w:type="dxa"/>
            <w:gridSpan w:val="3"/>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环境质量监测</w:t>
            </w:r>
          </w:p>
        </w:tc>
        <w:tc>
          <w:tcPr>
            <w:tcW w:w="1922" w:type="dxa"/>
            <w:gridSpan w:val="4"/>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监测因子（—）</w:t>
            </w:r>
          </w:p>
        </w:tc>
        <w:tc>
          <w:tcPr>
            <w:tcW w:w="2011" w:type="dxa"/>
            <w:gridSpan w:val="9"/>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监测点位数（2个）</w:t>
            </w:r>
          </w:p>
        </w:tc>
        <w:tc>
          <w:tcPr>
            <w:tcW w:w="1584" w:type="dxa"/>
            <w:gridSpan w:val="2"/>
            <w:tcBorders>
              <w:right w:val="single" w:color="auto" w:sz="4" w:space="0"/>
            </w:tcBorders>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无监测□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jc w:val="center"/>
        </w:trPr>
        <w:tc>
          <w:tcPr>
            <w:tcW w:w="905" w:type="dxa"/>
            <w:vMerge w:val="restart"/>
            <w:tcBorders>
              <w:left w:val="single" w:color="auto" w:sz="4" w:space="0"/>
            </w:tcBorders>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评价结论</w:t>
            </w:r>
          </w:p>
        </w:tc>
        <w:tc>
          <w:tcPr>
            <w:tcW w:w="2008" w:type="dxa"/>
            <w:gridSpan w:val="3"/>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环境影响</w:t>
            </w:r>
          </w:p>
        </w:tc>
        <w:tc>
          <w:tcPr>
            <w:tcW w:w="5517" w:type="dxa"/>
            <w:gridSpan w:val="15"/>
            <w:tcBorders>
              <w:right w:val="single" w:color="auto" w:sz="4" w:space="0"/>
            </w:tcBorders>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可以接受</w:t>
            </w:r>
            <w:r>
              <w:rPr>
                <w:rFonts w:hint="eastAsia" w:ascii="Times New Roman" w:hAnsi="Times New Roman" w:eastAsia="宋体" w:cs="Times New Roman"/>
                <w:sz w:val="18"/>
                <w:szCs w:val="18"/>
              </w:rPr>
              <w:sym w:font="CommercialPi BT" w:char="F029"/>
            </w:r>
            <w:r>
              <w:rPr>
                <w:rFonts w:hint="eastAsia" w:ascii="Times New Roman" w:hAnsi="Times New Roman" w:eastAsia="宋体" w:cs="Times New Roman"/>
                <w:sz w:val="18"/>
                <w:szCs w:val="18"/>
              </w:rPr>
              <w:t>不可以接受□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905" w:type="dxa"/>
            <w:vMerge w:val="continue"/>
            <w:tcBorders>
              <w:left w:val="single" w:color="auto" w:sz="4" w:space="0"/>
            </w:tcBorders>
            <w:vAlign w:val="center"/>
          </w:tcPr>
          <w:p>
            <w:pPr>
              <w:spacing w:line="0" w:lineRule="atLeast"/>
              <w:ind w:firstLine="480"/>
              <w:jc w:val="center"/>
              <w:rPr>
                <w:rFonts w:ascii="Times New Roman" w:hAnsi="Times New Roman" w:eastAsia="宋体" w:cs="Times New Roman"/>
                <w:sz w:val="18"/>
                <w:szCs w:val="18"/>
              </w:rPr>
            </w:pPr>
          </w:p>
        </w:tc>
        <w:tc>
          <w:tcPr>
            <w:tcW w:w="2008" w:type="dxa"/>
            <w:gridSpan w:val="3"/>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大气环境防护距离</w:t>
            </w:r>
          </w:p>
        </w:tc>
        <w:tc>
          <w:tcPr>
            <w:tcW w:w="5517" w:type="dxa"/>
            <w:gridSpan w:val="15"/>
            <w:tcBorders>
              <w:right w:val="single" w:color="auto" w:sz="4" w:space="0"/>
            </w:tcBorders>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距厂界最远（</w:t>
            </w:r>
            <w:r>
              <w:rPr>
                <w:rFonts w:hint="eastAsia" w:ascii="宋体" w:hAnsi="宋体" w:eastAsia="宋体" w:cs="Times New Roman"/>
                <w:sz w:val="18"/>
                <w:szCs w:val="18"/>
              </w:rPr>
              <w:t>0</w:t>
            </w:r>
            <w:r>
              <w:rPr>
                <w:rFonts w:hint="eastAsia" w:ascii="Times New Roman" w:hAnsi="Times New Roman" w:eastAsia="宋体" w:cs="Times New Roman"/>
                <w:sz w:val="18"/>
                <w:szCs w:val="18"/>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905" w:type="dxa"/>
            <w:vMerge w:val="continue"/>
            <w:tcBorders>
              <w:left w:val="single" w:color="auto" w:sz="4" w:space="0"/>
            </w:tcBorders>
            <w:vAlign w:val="center"/>
          </w:tcPr>
          <w:p>
            <w:pPr>
              <w:spacing w:line="0" w:lineRule="atLeast"/>
              <w:ind w:firstLine="480"/>
              <w:jc w:val="center"/>
              <w:rPr>
                <w:rFonts w:ascii="Times New Roman" w:hAnsi="Times New Roman" w:eastAsia="宋体" w:cs="Times New Roman"/>
                <w:sz w:val="18"/>
                <w:szCs w:val="18"/>
              </w:rPr>
            </w:pPr>
          </w:p>
        </w:tc>
        <w:tc>
          <w:tcPr>
            <w:tcW w:w="2008" w:type="dxa"/>
            <w:gridSpan w:val="3"/>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污染源年排放量</w:t>
            </w:r>
          </w:p>
        </w:tc>
        <w:tc>
          <w:tcPr>
            <w:tcW w:w="2566" w:type="dxa"/>
            <w:gridSpan w:val="6"/>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氨：（0.579）t/a</w:t>
            </w:r>
          </w:p>
        </w:tc>
        <w:tc>
          <w:tcPr>
            <w:tcW w:w="2951" w:type="dxa"/>
            <w:gridSpan w:val="9"/>
            <w:tcBorders>
              <w:right w:val="single" w:color="auto" w:sz="4" w:space="0"/>
            </w:tcBorders>
            <w:vAlign w:val="center"/>
          </w:tcPr>
          <w:p>
            <w:pPr>
              <w:spacing w:line="0" w:lineRule="atLeas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硫化氢：（0.028）t/a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8430" w:type="dxa"/>
            <w:gridSpan w:val="19"/>
            <w:tcBorders>
              <w:left w:val="single" w:color="auto" w:sz="4" w:space="0"/>
              <w:bottom w:val="single" w:color="auto" w:sz="4" w:space="0"/>
              <w:right w:val="single" w:color="auto" w:sz="4" w:space="0"/>
            </w:tcBorders>
            <w:vAlign w:val="center"/>
          </w:tcPr>
          <w:p>
            <w:pPr>
              <w:spacing w:line="0" w:lineRule="atLeast"/>
              <w:rPr>
                <w:rFonts w:ascii="Times New Roman" w:hAnsi="Times New Roman" w:eastAsia="宋体" w:cs="Times New Roman"/>
                <w:sz w:val="18"/>
                <w:szCs w:val="18"/>
              </w:rPr>
            </w:pPr>
            <w:r>
              <w:rPr>
                <w:rFonts w:hint="eastAsia" w:ascii="Times New Roman" w:hAnsi="Times New Roman" w:eastAsia="宋体" w:cs="Times New Roman"/>
                <w:sz w:val="18"/>
                <w:szCs w:val="18"/>
              </w:rPr>
              <w:t>注：“□”为勾选项，填“√”；“（）”为内容填写项</w:t>
            </w:r>
          </w:p>
        </w:tc>
      </w:tr>
    </w:tbl>
    <w:p>
      <w:pPr>
        <w:spacing w:line="360" w:lineRule="auto"/>
        <w:ind w:left="-23" w:firstLine="480" w:firstLineChars="200"/>
        <w:rPr>
          <w:rFonts w:ascii="Times New Roman" w:hAnsi="宋体" w:eastAsia="宋体" w:cs="Times New Roman"/>
          <w:color w:val="000000" w:themeColor="text1"/>
          <w:sz w:val="24"/>
          <w:szCs w:val="24"/>
        </w:rPr>
      </w:pPr>
    </w:p>
    <w:p>
      <w:pPr>
        <w:spacing w:line="360" w:lineRule="auto"/>
        <w:ind w:left="-23" w:firstLine="480" w:firstLineChars="200"/>
        <w:rPr>
          <w:rFonts w:ascii="Times New Roman" w:hAnsi="宋体" w:eastAsia="宋体" w:cs="Times New Roman"/>
          <w:color w:val="000000" w:themeColor="text1"/>
          <w:sz w:val="24"/>
          <w:szCs w:val="24"/>
        </w:rPr>
      </w:pPr>
    </w:p>
    <w:p>
      <w:pPr>
        <w:spacing w:line="360" w:lineRule="auto"/>
        <w:rPr>
          <w:rFonts w:ascii="Times New Roman" w:hAnsi="宋体" w:eastAsia="宋体" w:cs="Times New Roman"/>
          <w:color w:val="000000" w:themeColor="text1"/>
          <w:sz w:val="24"/>
          <w:szCs w:val="24"/>
        </w:rPr>
      </w:pPr>
    </w:p>
    <w:p>
      <w:pPr>
        <w:pStyle w:val="5"/>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5.2.1.3 防护距离</w:t>
      </w:r>
    </w:p>
    <w:p>
      <w:pPr>
        <w:spacing w:line="360" w:lineRule="auto"/>
        <w:ind w:left="-25" w:firstLine="480" w:firstLineChars="200"/>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（1）大气环境防护距离</w:t>
      </w:r>
    </w:p>
    <w:p>
      <w:pPr>
        <w:spacing w:line="360" w:lineRule="auto"/>
        <w:ind w:firstLine="480" w:firstLineChars="200"/>
        <w:rPr>
          <w:rFonts w:ascii="Times New Roman" w:hAnsi="宋体" w:eastAsia="宋体" w:cs="Times New Roman"/>
          <w:color w:val="000000" w:themeColor="text1"/>
          <w:kern w:val="0"/>
          <w:sz w:val="24"/>
          <w:szCs w:val="24"/>
        </w:rPr>
      </w:pPr>
      <w:r>
        <w:rPr>
          <w:rFonts w:ascii="Times New Roman" w:hAnsi="宋体" w:eastAsia="宋体" w:cs="Times New Roman"/>
          <w:color w:val="000000" w:themeColor="text1"/>
          <w:kern w:val="0"/>
          <w:sz w:val="24"/>
          <w:szCs w:val="24"/>
        </w:rPr>
        <w:t>按照《环境影响评价技术导则·大气导则》（HJ2.2-20</w:t>
      </w:r>
      <w:r>
        <w:rPr>
          <w:rFonts w:hint="eastAsia" w:ascii="Times New Roman" w:hAnsi="宋体" w:eastAsia="宋体" w:cs="Times New Roman"/>
          <w:color w:val="000000" w:themeColor="text1"/>
          <w:kern w:val="0"/>
          <w:sz w:val="24"/>
          <w:szCs w:val="24"/>
        </w:rPr>
        <w:t>1</w:t>
      </w:r>
      <w:r>
        <w:rPr>
          <w:rFonts w:ascii="Times New Roman" w:hAnsi="宋体" w:eastAsia="宋体" w:cs="Times New Roman"/>
          <w:color w:val="000000" w:themeColor="text1"/>
          <w:kern w:val="0"/>
          <w:sz w:val="24"/>
          <w:szCs w:val="24"/>
        </w:rPr>
        <w:t>8）要求，本项目可不设置大气环境防护距离。</w:t>
      </w:r>
    </w:p>
    <w:p>
      <w:pPr>
        <w:spacing w:line="360" w:lineRule="auto"/>
        <w:ind w:left="-25" w:firstLine="480" w:firstLineChars="200"/>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（2）卫生防护距离</w:t>
      </w:r>
    </w:p>
    <w:p>
      <w:pPr>
        <w:spacing w:line="360" w:lineRule="auto"/>
        <w:ind w:left="-25" w:firstLine="480" w:firstLineChars="200"/>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按《环境影响评价技术导则</w:t>
      </w:r>
      <w:r>
        <w:rPr>
          <w:rFonts w:ascii="Times New Roman" w:hAnsi="Times New Roman" w:eastAsia="宋体" w:cs="Times New Roman"/>
          <w:color w:val="000000" w:themeColor="text1"/>
          <w:sz w:val="24"/>
          <w:szCs w:val="24"/>
        </w:rPr>
        <w:t xml:space="preserve"> </w:t>
      </w:r>
      <w:r>
        <w:rPr>
          <w:rFonts w:hint="eastAsia" w:ascii="Times New Roman" w:hAnsi="Times New Roman" w:eastAsia="宋体" w:cs="Times New Roman"/>
          <w:color w:val="000000" w:themeColor="text1"/>
          <w:sz w:val="24"/>
          <w:szCs w:val="24"/>
        </w:rPr>
        <w:t>大气环境》（</w:t>
      </w:r>
      <w:r>
        <w:rPr>
          <w:rFonts w:ascii="Times New Roman" w:hAnsi="Times New Roman" w:eastAsia="宋体" w:cs="Times New Roman"/>
          <w:color w:val="000000" w:themeColor="text1"/>
          <w:sz w:val="24"/>
          <w:szCs w:val="24"/>
        </w:rPr>
        <w:t>HJ2.2-20</w:t>
      </w:r>
      <w:r>
        <w:rPr>
          <w:rFonts w:hint="eastAsia" w:ascii="Times New Roman" w:hAnsi="Times New Roman" w:eastAsia="宋体" w:cs="Times New Roman"/>
          <w:color w:val="000000" w:themeColor="text1"/>
          <w:sz w:val="24"/>
          <w:szCs w:val="24"/>
        </w:rPr>
        <w:t>1</w:t>
      </w:r>
      <w:r>
        <w:rPr>
          <w:rFonts w:ascii="Times New Roman" w:hAnsi="Times New Roman" w:eastAsia="宋体" w:cs="Times New Roman"/>
          <w:color w:val="000000" w:themeColor="text1"/>
          <w:sz w:val="24"/>
          <w:szCs w:val="24"/>
        </w:rPr>
        <w:t>8</w:t>
      </w:r>
      <w:r>
        <w:rPr>
          <w:rFonts w:hint="eastAsia" w:ascii="Times New Roman" w:hAnsi="Times New Roman" w:eastAsia="宋体" w:cs="Times New Roman"/>
          <w:color w:val="000000" w:themeColor="text1"/>
          <w:sz w:val="24"/>
          <w:szCs w:val="24"/>
        </w:rPr>
        <w:t>）要求，项目应设定卫生防护距离。根据《制定地方大气污染物排放标准的技术方法》（</w:t>
      </w:r>
      <w:r>
        <w:rPr>
          <w:rFonts w:ascii="Times New Roman" w:hAnsi="Times New Roman" w:eastAsia="宋体" w:cs="Times New Roman"/>
          <w:color w:val="000000" w:themeColor="text1"/>
          <w:sz w:val="24"/>
          <w:szCs w:val="24"/>
        </w:rPr>
        <w:t>GB/T13201-91</w:t>
      </w:r>
      <w:r>
        <w:rPr>
          <w:rFonts w:hint="eastAsia" w:ascii="Times New Roman" w:hAnsi="Times New Roman" w:eastAsia="宋体" w:cs="Times New Roman"/>
          <w:color w:val="000000" w:themeColor="text1"/>
          <w:sz w:val="24"/>
          <w:szCs w:val="24"/>
        </w:rPr>
        <w:t>）中推荐的卫生防护距离估算方法，计算有害气体无组织排放源所在生产单元（车间）与周围环境之间的卫生防护距离。</w:t>
      </w:r>
    </w:p>
    <w:p>
      <w:pPr>
        <w:spacing w:line="360" w:lineRule="auto"/>
        <w:rPr>
          <w:rFonts w:ascii="Times New Roman" w:hAnsi="Times New Roman" w:eastAsia="宋体" w:cs="Times New Roman"/>
          <w:i/>
          <w:iCs/>
          <w:color w:val="000000" w:themeColor="text1"/>
          <w:sz w:val="24"/>
          <w:szCs w:val="24"/>
        </w:rPr>
      </w:pPr>
      <w:r>
        <w:rPr>
          <w:rFonts w:ascii="Times New Roman" w:hAnsi="Times New Roman" w:eastAsia="宋体" w:cs="Times New Roman"/>
          <w:color w:val="000000" w:themeColor="text1"/>
          <w:sz w:val="24"/>
          <w:szCs w:val="24"/>
        </w:rPr>
        <w:pict>
          <v:shape id="Picture 166" o:spid="_x0000_s1731" o:spt="75" type="#_x0000_t75" style="position:absolute;left:0pt;margin-left:123.55pt;margin-top:9.3pt;height:35.25pt;width:162.75pt;z-index:252388352;mso-width-relative:page;mso-height-relative:page;" o:ole="t" filled="f" o:preferrelative="t" stroked="f" coordsize="21600,21600">
            <v:path/>
            <v:fill on="f" focussize="0,0"/>
            <v:stroke on="f" joinstyle="miter"/>
            <v:imagedata r:id="rId48" o:title=""/>
            <o:lock v:ext="edit" aspectratio="t"/>
          </v:shape>
          <o:OLEObject Type="Embed" ProgID="Equations" ShapeID="Picture 166" DrawAspect="Content" ObjectID="_1468075743" r:id="rId47">
            <o:LockedField>false</o:LockedField>
          </o:OLEObject>
        </w:pict>
      </w:r>
    </w:p>
    <w:p>
      <w:pPr>
        <w:spacing w:line="360" w:lineRule="auto"/>
        <w:ind w:left="-25" w:firstLine="480" w:firstLineChars="200"/>
        <w:rPr>
          <w:rFonts w:ascii="Times New Roman" w:hAnsi="Times New Roman" w:eastAsia="宋体" w:cs="Times New Roman"/>
          <w:color w:val="000000" w:themeColor="text1"/>
          <w:sz w:val="24"/>
          <w:szCs w:val="24"/>
        </w:rPr>
      </w:pPr>
    </w:p>
    <w:p>
      <w:pPr>
        <w:spacing w:line="360" w:lineRule="auto"/>
        <w:ind w:left="-25" w:firstLine="480" w:firstLineChars="200"/>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式中：</w:t>
      </w:r>
      <w:r>
        <w:rPr>
          <w:rFonts w:ascii="Times New Roman" w:hAnsi="Times New Roman" w:eastAsia="宋体" w:cs="Times New Roman"/>
          <w:color w:val="000000" w:themeColor="text1"/>
          <w:sz w:val="24"/>
          <w:szCs w:val="24"/>
        </w:rPr>
        <w:t>Q—</w:t>
      </w:r>
      <w:r>
        <w:rPr>
          <w:rFonts w:hint="eastAsia" w:ascii="Times New Roman" w:hAnsi="Times New Roman" w:eastAsia="宋体" w:cs="Times New Roman"/>
          <w:color w:val="000000" w:themeColor="text1"/>
          <w:sz w:val="24"/>
          <w:szCs w:val="24"/>
        </w:rPr>
        <w:t>污染物无组织排放量可达到的控制水平，</w:t>
      </w:r>
      <w:r>
        <w:rPr>
          <w:rFonts w:ascii="Times New Roman" w:hAnsi="Times New Roman" w:eastAsia="宋体" w:cs="Times New Roman"/>
          <w:color w:val="000000" w:themeColor="text1"/>
          <w:sz w:val="24"/>
          <w:szCs w:val="24"/>
        </w:rPr>
        <w:t>kg/h</w:t>
      </w:r>
      <w:r>
        <w:rPr>
          <w:rFonts w:hint="eastAsia" w:ascii="Times New Roman" w:hAnsi="Times New Roman" w:eastAsia="宋体" w:cs="Times New Roman"/>
          <w:color w:val="000000" w:themeColor="text1"/>
          <w:sz w:val="24"/>
          <w:szCs w:val="24"/>
        </w:rPr>
        <w:t>；</w:t>
      </w:r>
    </w:p>
    <w:p>
      <w:pPr>
        <w:spacing w:line="360" w:lineRule="auto"/>
        <w:ind w:left="-25" w:firstLine="1200" w:firstLineChars="5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Cm—</w:t>
      </w:r>
      <w:r>
        <w:rPr>
          <w:rFonts w:hint="eastAsia" w:ascii="Times New Roman" w:hAnsi="Times New Roman" w:eastAsia="宋体" w:cs="Times New Roman"/>
          <w:color w:val="000000" w:themeColor="text1"/>
          <w:sz w:val="24"/>
          <w:szCs w:val="24"/>
        </w:rPr>
        <w:t>环境空气质量标准污染物一次浓度限值，</w:t>
      </w:r>
      <w:r>
        <w:rPr>
          <w:rFonts w:ascii="Times New Roman" w:hAnsi="Times New Roman" w:eastAsia="宋体" w:cs="Times New Roman"/>
          <w:color w:val="000000" w:themeColor="text1"/>
          <w:sz w:val="24"/>
          <w:szCs w:val="24"/>
        </w:rPr>
        <w:t>mg/m</w:t>
      </w:r>
      <w:r>
        <w:rPr>
          <w:rFonts w:ascii="Times New Roman" w:hAnsi="Times New Roman" w:eastAsia="宋体" w:cs="Times New Roman"/>
          <w:color w:val="000000" w:themeColor="text1"/>
          <w:sz w:val="24"/>
          <w:szCs w:val="24"/>
          <w:vertAlign w:val="superscript"/>
        </w:rPr>
        <w:t>3</w:t>
      </w:r>
      <w:r>
        <w:rPr>
          <w:rFonts w:hint="eastAsia" w:ascii="Times New Roman" w:hAnsi="Times New Roman" w:eastAsia="宋体" w:cs="Times New Roman"/>
          <w:color w:val="000000" w:themeColor="text1"/>
          <w:sz w:val="24"/>
          <w:szCs w:val="24"/>
        </w:rPr>
        <w:t>；</w:t>
      </w:r>
    </w:p>
    <w:p>
      <w:pPr>
        <w:spacing w:line="360" w:lineRule="auto"/>
        <w:ind w:firstLine="1200" w:firstLineChars="5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L—</w:t>
      </w:r>
      <w:r>
        <w:rPr>
          <w:rFonts w:hint="eastAsia" w:ascii="Times New Roman" w:hAnsi="Times New Roman" w:eastAsia="宋体" w:cs="Times New Roman"/>
          <w:color w:val="000000" w:themeColor="text1"/>
          <w:sz w:val="24"/>
          <w:szCs w:val="24"/>
        </w:rPr>
        <w:t>工业企业所需卫生防护距离，</w:t>
      </w:r>
      <w:r>
        <w:rPr>
          <w:rFonts w:ascii="Times New Roman" w:hAnsi="Times New Roman" w:eastAsia="宋体" w:cs="Times New Roman"/>
          <w:color w:val="000000" w:themeColor="text1"/>
          <w:sz w:val="24"/>
          <w:szCs w:val="24"/>
        </w:rPr>
        <w:t>m</w:t>
      </w:r>
      <w:r>
        <w:rPr>
          <w:rFonts w:hint="eastAsia" w:ascii="Times New Roman" w:hAnsi="Times New Roman" w:eastAsia="宋体" w:cs="Times New Roman"/>
          <w:color w:val="000000" w:themeColor="text1"/>
          <w:sz w:val="24"/>
          <w:szCs w:val="24"/>
        </w:rPr>
        <w:t>；</w:t>
      </w:r>
    </w:p>
    <w:p>
      <w:pPr>
        <w:spacing w:line="360" w:lineRule="auto"/>
        <w:ind w:firstLine="1200" w:firstLineChars="5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r—</w:t>
      </w:r>
      <w:r>
        <w:rPr>
          <w:rFonts w:hint="eastAsia" w:ascii="Times New Roman" w:hAnsi="Times New Roman" w:eastAsia="宋体" w:cs="Times New Roman"/>
          <w:color w:val="000000" w:themeColor="text1"/>
          <w:sz w:val="24"/>
          <w:szCs w:val="24"/>
        </w:rPr>
        <w:t>污染物无组织所在生产单元的等效半径，</w:t>
      </w:r>
      <w:r>
        <w:rPr>
          <w:rFonts w:ascii="Times New Roman" w:hAnsi="Times New Roman" w:eastAsia="宋体" w:cs="Times New Roman"/>
          <w:color w:val="000000" w:themeColor="text1"/>
          <w:sz w:val="24"/>
          <w:szCs w:val="24"/>
        </w:rPr>
        <w:t>m</w:t>
      </w:r>
      <w:r>
        <w:rPr>
          <w:rFonts w:hint="eastAsia" w:ascii="Times New Roman" w:hAnsi="Times New Roman" w:eastAsia="宋体" w:cs="Times New Roman"/>
          <w:color w:val="000000" w:themeColor="text1"/>
          <w:sz w:val="24"/>
          <w:szCs w:val="24"/>
        </w:rPr>
        <w:t>；</w:t>
      </w:r>
    </w:p>
    <w:p>
      <w:pPr>
        <w:spacing w:line="360" w:lineRule="auto"/>
        <w:ind w:left="-25" w:firstLine="1200" w:firstLineChars="5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A</w:t>
      </w:r>
      <w:r>
        <w:rPr>
          <w:rFonts w:hint="eastAsia" w:ascii="Times New Roman" w:hAnsi="Times New Roman" w:eastAsia="宋体" w:cs="Times New Roman"/>
          <w:color w:val="000000" w:themeColor="text1"/>
          <w:sz w:val="24"/>
          <w:szCs w:val="24"/>
        </w:rPr>
        <w:t>、</w:t>
      </w:r>
      <w:r>
        <w:rPr>
          <w:rFonts w:ascii="Times New Roman" w:hAnsi="Times New Roman" w:eastAsia="宋体" w:cs="Times New Roman"/>
          <w:color w:val="000000" w:themeColor="text1"/>
          <w:sz w:val="24"/>
          <w:szCs w:val="24"/>
        </w:rPr>
        <w:t>B</w:t>
      </w:r>
      <w:r>
        <w:rPr>
          <w:rFonts w:hint="eastAsia" w:ascii="Times New Roman" w:hAnsi="Times New Roman" w:eastAsia="宋体" w:cs="Times New Roman"/>
          <w:color w:val="000000" w:themeColor="text1"/>
          <w:sz w:val="24"/>
          <w:szCs w:val="24"/>
        </w:rPr>
        <w:t>、</w:t>
      </w:r>
      <w:r>
        <w:rPr>
          <w:rFonts w:ascii="Times New Roman" w:hAnsi="Times New Roman" w:eastAsia="宋体" w:cs="Times New Roman"/>
          <w:color w:val="000000" w:themeColor="text1"/>
          <w:sz w:val="24"/>
          <w:szCs w:val="24"/>
        </w:rPr>
        <w:t>C</w:t>
      </w:r>
      <w:r>
        <w:rPr>
          <w:rFonts w:hint="eastAsia" w:ascii="Times New Roman" w:hAnsi="Times New Roman" w:eastAsia="宋体" w:cs="Times New Roman"/>
          <w:color w:val="000000" w:themeColor="text1"/>
          <w:sz w:val="24"/>
          <w:szCs w:val="24"/>
        </w:rPr>
        <w:t>、</w:t>
      </w:r>
      <w:r>
        <w:rPr>
          <w:rFonts w:ascii="Times New Roman" w:hAnsi="Times New Roman" w:eastAsia="宋体" w:cs="Times New Roman"/>
          <w:color w:val="000000" w:themeColor="text1"/>
          <w:sz w:val="24"/>
          <w:szCs w:val="24"/>
        </w:rPr>
        <w:t>D—</w:t>
      </w:r>
      <w:r>
        <w:rPr>
          <w:rFonts w:hint="eastAsia" w:ascii="Times New Roman" w:hAnsi="Times New Roman" w:eastAsia="宋体" w:cs="Times New Roman"/>
          <w:color w:val="000000" w:themeColor="text1"/>
          <w:sz w:val="24"/>
          <w:szCs w:val="24"/>
        </w:rPr>
        <w:t>卫生防护距离计算系数，根据当地平均风速及企业污染源结构来确定。按照最不利情况选定参数，具体数值见表5</w:t>
      </w:r>
      <w:r>
        <w:rPr>
          <w:rFonts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rPr>
        <w:t>16。</w:t>
      </w:r>
    </w:p>
    <w:p>
      <w:pPr>
        <w:spacing w:line="500" w:lineRule="exact"/>
        <w:ind w:left="-25" w:firstLine="480" w:firstLineChars="200"/>
        <w:jc w:val="center"/>
        <w:rPr>
          <w:rFonts w:ascii="宋体" w:hAnsi="Times New Roman" w:eastAsia="宋体" w:cs="宋体"/>
          <w:b/>
          <w:color w:val="000000" w:themeColor="text1"/>
          <w:kern w:val="0"/>
          <w:sz w:val="24"/>
          <w:szCs w:val="24"/>
        </w:rPr>
      </w:pPr>
      <w:r>
        <w:rPr>
          <w:rFonts w:ascii="Times New Roman" w:hAnsi="Times New Roman" w:eastAsia="宋体" w:cs="Times New Roman"/>
          <w:color w:val="000000" w:themeColor="text1"/>
          <w:sz w:val="24"/>
          <w:szCs w:val="24"/>
        </w:rPr>
        <w:tab/>
      </w:r>
      <w:r>
        <w:rPr>
          <w:rFonts w:hint="eastAsia" w:ascii="宋体" w:hAnsi="Times New Roman" w:eastAsia="宋体" w:cs="宋体"/>
          <w:b/>
          <w:color w:val="000000" w:themeColor="text1"/>
          <w:kern w:val="0"/>
          <w:sz w:val="24"/>
          <w:szCs w:val="24"/>
        </w:rPr>
        <w:t>表</w:t>
      </w:r>
      <w:r>
        <w:rPr>
          <w:rFonts w:hint="eastAsia" w:ascii="Times New Roman" w:hAnsi="Times New Roman" w:eastAsia="宋体" w:cs="Times New Roman"/>
          <w:b/>
          <w:bCs/>
          <w:color w:val="000000" w:themeColor="text1"/>
          <w:kern w:val="0"/>
          <w:sz w:val="24"/>
          <w:szCs w:val="24"/>
        </w:rPr>
        <w:t>5</w:t>
      </w:r>
      <w:r>
        <w:rPr>
          <w:rFonts w:ascii="Times New Roman" w:hAnsi="Times New Roman" w:eastAsia="宋体" w:cs="Times New Roman"/>
          <w:b/>
          <w:bCs/>
          <w:color w:val="000000" w:themeColor="text1"/>
          <w:kern w:val="0"/>
          <w:sz w:val="24"/>
          <w:szCs w:val="24"/>
        </w:rPr>
        <w:t>-</w:t>
      </w:r>
      <w:r>
        <w:rPr>
          <w:rFonts w:hint="eastAsia" w:ascii="Times New Roman" w:hAnsi="Times New Roman" w:eastAsia="宋体" w:cs="Times New Roman"/>
          <w:b/>
          <w:bCs/>
          <w:color w:val="000000" w:themeColor="text1"/>
          <w:kern w:val="0"/>
          <w:sz w:val="24"/>
          <w:szCs w:val="24"/>
        </w:rPr>
        <w:t xml:space="preserve">16   </w:t>
      </w:r>
      <w:r>
        <w:rPr>
          <w:rFonts w:hint="eastAsia" w:ascii="宋体" w:hAnsi="Times New Roman" w:eastAsia="宋体" w:cs="宋体"/>
          <w:b/>
          <w:color w:val="000000" w:themeColor="text1"/>
          <w:kern w:val="0"/>
          <w:sz w:val="24"/>
          <w:szCs w:val="24"/>
        </w:rPr>
        <w:t>卫生防护距离计算参数取值</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
      <w:tblGrid>
        <w:gridCol w:w="599"/>
        <w:gridCol w:w="829"/>
        <w:gridCol w:w="677"/>
        <w:gridCol w:w="794"/>
        <w:gridCol w:w="631"/>
        <w:gridCol w:w="747"/>
        <w:gridCol w:w="800"/>
        <w:gridCol w:w="532"/>
        <w:gridCol w:w="503"/>
        <w:gridCol w:w="598"/>
        <w:gridCol w:w="629"/>
        <w:gridCol w:w="118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Ex>
        <w:trPr>
          <w:trHeight w:val="397" w:hRule="atLeast"/>
        </w:trPr>
        <w:tc>
          <w:tcPr>
            <w:tcW w:w="599" w:type="dxa"/>
            <w:vMerge w:val="restart"/>
            <w:vAlign w:val="center"/>
          </w:tcPr>
          <w:p>
            <w:pPr>
              <w:spacing w:line="340" w:lineRule="exact"/>
              <w:jc w:val="center"/>
              <w:rPr>
                <w:rFonts w:ascii="Times New Roman" w:hAnsi="Times New Roman" w:eastAsia="宋体" w:cs="Times New Roman"/>
                <w:color w:val="000000" w:themeColor="text1"/>
                <w:szCs w:val="21"/>
              </w:rPr>
            </w:pPr>
            <w:r>
              <w:rPr>
                <w:rFonts w:hint="eastAsia" w:ascii="Times New Roman" w:hAnsi="宋体" w:eastAsia="宋体" w:cs="Times New Roman"/>
                <w:color w:val="000000" w:themeColor="text1"/>
                <w:szCs w:val="21"/>
              </w:rPr>
              <w:t>污染源</w:t>
            </w:r>
          </w:p>
        </w:tc>
        <w:tc>
          <w:tcPr>
            <w:tcW w:w="829" w:type="dxa"/>
            <w:vMerge w:val="restart"/>
            <w:vAlign w:val="center"/>
          </w:tcPr>
          <w:p>
            <w:pPr>
              <w:spacing w:line="340" w:lineRule="exact"/>
              <w:jc w:val="center"/>
              <w:rPr>
                <w:rFonts w:ascii="Times New Roman" w:hAnsi="Times New Roman" w:eastAsia="宋体" w:cs="Times New Roman"/>
                <w:color w:val="000000" w:themeColor="text1"/>
                <w:szCs w:val="21"/>
              </w:rPr>
            </w:pPr>
            <w:r>
              <w:rPr>
                <w:rFonts w:ascii="Times New Roman" w:hAnsi="宋体" w:eastAsia="宋体" w:cs="Times New Roman"/>
                <w:color w:val="000000" w:themeColor="text1"/>
                <w:szCs w:val="21"/>
              </w:rPr>
              <w:t>项目</w:t>
            </w:r>
          </w:p>
        </w:tc>
        <w:tc>
          <w:tcPr>
            <w:tcW w:w="677" w:type="dxa"/>
            <w:vMerge w:val="restart"/>
            <w:vAlign w:val="center"/>
          </w:tcPr>
          <w:p>
            <w:pPr>
              <w:spacing w:line="340" w:lineRule="exact"/>
              <w:jc w:val="center"/>
              <w:rPr>
                <w:rFonts w:ascii="Times New Roman" w:hAnsi="Times New Roman" w:eastAsia="宋体" w:cs="Times New Roman"/>
                <w:color w:val="000000" w:themeColor="text1"/>
                <w:szCs w:val="21"/>
              </w:rPr>
            </w:pPr>
            <w:r>
              <w:rPr>
                <w:rFonts w:ascii="Times New Roman" w:hAnsi="宋体" w:eastAsia="宋体" w:cs="Times New Roman"/>
                <w:color w:val="000000" w:themeColor="text1"/>
                <w:szCs w:val="21"/>
              </w:rPr>
              <w:t>标准</w:t>
            </w:r>
          </w:p>
          <w:p>
            <w:pPr>
              <w:spacing w:line="340" w:lineRule="exact"/>
              <w:jc w:val="center"/>
              <w:rPr>
                <w:rFonts w:ascii="Times New Roman" w:hAnsi="Times New Roman" w:eastAsia="宋体" w:cs="Times New Roman"/>
                <w:color w:val="000000" w:themeColor="text1"/>
                <w:spacing w:val="-20"/>
                <w:szCs w:val="21"/>
              </w:rPr>
            </w:pPr>
            <w:r>
              <w:rPr>
                <w:rFonts w:ascii="Times New Roman" w:hAnsi="Times New Roman" w:eastAsia="宋体" w:cs="Times New Roman"/>
                <w:color w:val="000000" w:themeColor="text1"/>
                <w:spacing w:val="-20"/>
                <w:szCs w:val="21"/>
              </w:rPr>
              <w:t>mg/m</w:t>
            </w:r>
            <w:r>
              <w:rPr>
                <w:rFonts w:ascii="Times New Roman" w:hAnsi="Times New Roman" w:eastAsia="宋体" w:cs="Times New Roman"/>
                <w:color w:val="000000" w:themeColor="text1"/>
                <w:spacing w:val="-20"/>
                <w:szCs w:val="21"/>
                <w:vertAlign w:val="superscript"/>
              </w:rPr>
              <w:t>3</w:t>
            </w:r>
          </w:p>
        </w:tc>
        <w:tc>
          <w:tcPr>
            <w:tcW w:w="2172" w:type="dxa"/>
            <w:gridSpan w:val="3"/>
            <w:vAlign w:val="center"/>
          </w:tcPr>
          <w:p>
            <w:pPr>
              <w:spacing w:line="340" w:lineRule="exact"/>
              <w:jc w:val="center"/>
              <w:rPr>
                <w:rFonts w:ascii="Times New Roman" w:hAnsi="宋体" w:eastAsia="宋体" w:cs="Times New Roman"/>
                <w:color w:val="000000" w:themeColor="text1"/>
                <w:szCs w:val="21"/>
              </w:rPr>
            </w:pPr>
            <w:r>
              <w:rPr>
                <w:rFonts w:ascii="Times New Roman" w:hAnsi="宋体" w:eastAsia="宋体" w:cs="Times New Roman"/>
                <w:color w:val="000000" w:themeColor="text1"/>
                <w:szCs w:val="21"/>
              </w:rPr>
              <w:t>源强特征</w:t>
            </w:r>
          </w:p>
        </w:tc>
        <w:tc>
          <w:tcPr>
            <w:tcW w:w="800" w:type="dxa"/>
            <w:vMerge w:val="restart"/>
            <w:vAlign w:val="center"/>
          </w:tcPr>
          <w:p>
            <w:pPr>
              <w:spacing w:line="340" w:lineRule="exact"/>
              <w:jc w:val="center"/>
              <w:rPr>
                <w:rFonts w:ascii="Times New Roman" w:hAnsi="Times New Roman" w:eastAsia="宋体" w:cs="Times New Roman"/>
                <w:color w:val="000000" w:themeColor="text1"/>
                <w:spacing w:val="-20"/>
                <w:szCs w:val="21"/>
              </w:rPr>
            </w:pPr>
            <w:r>
              <w:rPr>
                <w:rFonts w:ascii="Times New Roman" w:hAnsi="宋体" w:eastAsia="宋体" w:cs="Times New Roman"/>
                <w:color w:val="000000" w:themeColor="text1"/>
                <w:spacing w:val="-20"/>
                <w:szCs w:val="21"/>
              </w:rPr>
              <w:t>年平均</w:t>
            </w:r>
          </w:p>
          <w:p>
            <w:pPr>
              <w:spacing w:line="340" w:lineRule="exact"/>
              <w:jc w:val="center"/>
              <w:rPr>
                <w:rFonts w:ascii="Times New Roman" w:hAnsi="Times New Roman" w:eastAsia="宋体" w:cs="Times New Roman"/>
                <w:color w:val="000000" w:themeColor="text1"/>
                <w:spacing w:val="-20"/>
                <w:szCs w:val="21"/>
              </w:rPr>
            </w:pPr>
            <w:r>
              <w:rPr>
                <w:rFonts w:ascii="Times New Roman" w:hAnsi="宋体" w:eastAsia="宋体" w:cs="Times New Roman"/>
                <w:color w:val="000000" w:themeColor="text1"/>
                <w:spacing w:val="-20"/>
                <w:szCs w:val="21"/>
              </w:rPr>
              <w:t>风</w:t>
            </w:r>
            <w:r>
              <w:rPr>
                <w:rFonts w:ascii="Times New Roman" w:hAnsi="Times New Roman" w:eastAsia="宋体" w:cs="Times New Roman"/>
                <w:color w:val="000000" w:themeColor="text1"/>
                <w:spacing w:val="-20"/>
                <w:szCs w:val="21"/>
              </w:rPr>
              <w:t xml:space="preserve">  </w:t>
            </w:r>
            <w:r>
              <w:rPr>
                <w:rFonts w:ascii="Times New Roman" w:hAnsi="宋体" w:eastAsia="宋体" w:cs="Times New Roman"/>
                <w:color w:val="000000" w:themeColor="text1"/>
                <w:spacing w:val="-20"/>
                <w:szCs w:val="21"/>
              </w:rPr>
              <w:t>速</w:t>
            </w:r>
          </w:p>
          <w:p>
            <w:pPr>
              <w:spacing w:line="340" w:lineRule="exact"/>
              <w:jc w:val="center"/>
              <w:rPr>
                <w:rFonts w:ascii="Times New Roman" w:hAnsi="Times New Roman" w:eastAsia="宋体" w:cs="Times New Roman"/>
                <w:color w:val="000000" w:themeColor="text1"/>
                <w:spacing w:val="-20"/>
                <w:szCs w:val="21"/>
              </w:rPr>
            </w:pPr>
            <w:r>
              <w:rPr>
                <w:rFonts w:ascii="Times New Roman" w:hAnsi="宋体" w:eastAsia="宋体" w:cs="Times New Roman"/>
                <w:color w:val="000000" w:themeColor="text1"/>
                <w:spacing w:val="-20"/>
                <w:szCs w:val="21"/>
              </w:rPr>
              <w:t>（</w:t>
            </w:r>
            <w:r>
              <w:rPr>
                <w:rFonts w:ascii="Times New Roman" w:hAnsi="Times New Roman" w:eastAsia="宋体" w:cs="Times New Roman"/>
                <w:color w:val="000000" w:themeColor="text1"/>
                <w:spacing w:val="-20"/>
                <w:szCs w:val="21"/>
              </w:rPr>
              <w:t>m/s</w:t>
            </w:r>
            <w:r>
              <w:rPr>
                <w:rFonts w:ascii="Times New Roman" w:hAnsi="宋体" w:eastAsia="宋体" w:cs="Times New Roman"/>
                <w:color w:val="000000" w:themeColor="text1"/>
                <w:spacing w:val="-20"/>
                <w:szCs w:val="21"/>
              </w:rPr>
              <w:t>）</w:t>
            </w:r>
          </w:p>
        </w:tc>
        <w:tc>
          <w:tcPr>
            <w:tcW w:w="2262" w:type="dxa"/>
            <w:gridSpan w:val="4"/>
            <w:vAlign w:val="center"/>
          </w:tcPr>
          <w:p>
            <w:pPr>
              <w:spacing w:line="340" w:lineRule="exact"/>
              <w:jc w:val="center"/>
              <w:rPr>
                <w:rFonts w:ascii="Times New Roman" w:hAnsi="Times New Roman" w:eastAsia="宋体" w:cs="Times New Roman"/>
                <w:color w:val="000000" w:themeColor="text1"/>
                <w:szCs w:val="21"/>
              </w:rPr>
            </w:pPr>
            <w:r>
              <w:rPr>
                <w:rFonts w:ascii="Times New Roman" w:hAnsi="宋体" w:eastAsia="宋体" w:cs="Times New Roman"/>
                <w:color w:val="000000" w:themeColor="text1"/>
                <w:szCs w:val="21"/>
              </w:rPr>
              <w:t>计算系数</w:t>
            </w:r>
          </w:p>
        </w:tc>
        <w:tc>
          <w:tcPr>
            <w:tcW w:w="1183" w:type="dxa"/>
            <w:vMerge w:val="restart"/>
            <w:vAlign w:val="center"/>
          </w:tcPr>
          <w:p>
            <w:pPr>
              <w:spacing w:line="340" w:lineRule="exact"/>
              <w:jc w:val="center"/>
              <w:rPr>
                <w:rFonts w:ascii="Times New Roman" w:hAnsi="Times New Roman" w:eastAsia="宋体" w:cs="Times New Roman"/>
                <w:color w:val="000000" w:themeColor="text1"/>
                <w:spacing w:val="-20"/>
                <w:szCs w:val="21"/>
              </w:rPr>
            </w:pPr>
            <w:r>
              <w:rPr>
                <w:rFonts w:ascii="Times New Roman" w:hAnsi="宋体" w:eastAsia="宋体" w:cs="Times New Roman"/>
                <w:color w:val="000000" w:themeColor="text1"/>
                <w:spacing w:val="-20"/>
                <w:szCs w:val="21"/>
              </w:rPr>
              <w:t>卫生防护距离计算值（</w:t>
            </w:r>
            <w:r>
              <w:rPr>
                <w:rFonts w:ascii="Times New Roman" w:hAnsi="Times New Roman" w:eastAsia="宋体" w:cs="Times New Roman"/>
                <w:color w:val="000000" w:themeColor="text1"/>
                <w:spacing w:val="-20"/>
                <w:szCs w:val="21"/>
              </w:rPr>
              <w:t>m</w:t>
            </w:r>
            <w:r>
              <w:rPr>
                <w:rFonts w:ascii="Times New Roman" w:hAnsi="宋体" w:eastAsia="宋体" w:cs="Times New Roman"/>
                <w:color w:val="000000" w:themeColor="text1"/>
                <w:spacing w:val="-20"/>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Ex>
        <w:trPr>
          <w:trHeight w:val="397" w:hRule="atLeast"/>
        </w:trPr>
        <w:tc>
          <w:tcPr>
            <w:tcW w:w="599" w:type="dxa"/>
            <w:vMerge w:val="continue"/>
            <w:vAlign w:val="center"/>
          </w:tcPr>
          <w:p>
            <w:pPr>
              <w:spacing w:line="340" w:lineRule="exact"/>
              <w:jc w:val="center"/>
              <w:rPr>
                <w:rFonts w:ascii="Times New Roman" w:hAnsi="Times New Roman" w:eastAsia="宋体" w:cs="Times New Roman"/>
                <w:color w:val="000000" w:themeColor="text1"/>
                <w:szCs w:val="21"/>
              </w:rPr>
            </w:pPr>
          </w:p>
        </w:tc>
        <w:tc>
          <w:tcPr>
            <w:tcW w:w="829" w:type="dxa"/>
            <w:vMerge w:val="continue"/>
            <w:vAlign w:val="center"/>
          </w:tcPr>
          <w:p>
            <w:pPr>
              <w:spacing w:line="340" w:lineRule="exact"/>
              <w:jc w:val="center"/>
              <w:rPr>
                <w:rFonts w:ascii="Times New Roman" w:hAnsi="Times New Roman" w:eastAsia="宋体" w:cs="Times New Roman"/>
                <w:color w:val="000000" w:themeColor="text1"/>
                <w:szCs w:val="21"/>
              </w:rPr>
            </w:pPr>
          </w:p>
        </w:tc>
        <w:tc>
          <w:tcPr>
            <w:tcW w:w="677" w:type="dxa"/>
            <w:vMerge w:val="continue"/>
            <w:vAlign w:val="center"/>
          </w:tcPr>
          <w:p>
            <w:pPr>
              <w:spacing w:line="340" w:lineRule="exact"/>
              <w:jc w:val="center"/>
              <w:rPr>
                <w:rFonts w:ascii="Times New Roman" w:hAnsi="Times New Roman" w:eastAsia="宋体" w:cs="Times New Roman"/>
                <w:color w:val="000000" w:themeColor="text1"/>
                <w:szCs w:val="21"/>
              </w:rPr>
            </w:pPr>
          </w:p>
        </w:tc>
        <w:tc>
          <w:tcPr>
            <w:tcW w:w="794" w:type="dxa"/>
            <w:vAlign w:val="center"/>
          </w:tcPr>
          <w:p>
            <w:pPr>
              <w:spacing w:line="340" w:lineRule="exact"/>
              <w:jc w:val="center"/>
              <w:rPr>
                <w:rFonts w:ascii="Times New Roman" w:hAnsi="Times New Roman" w:eastAsia="宋体" w:cs="Times New Roman"/>
                <w:color w:val="000000" w:themeColor="text1"/>
                <w:spacing w:val="-20"/>
                <w:szCs w:val="21"/>
              </w:rPr>
            </w:pPr>
            <w:r>
              <w:rPr>
                <w:rFonts w:ascii="Times New Roman" w:hAnsi="宋体" w:eastAsia="宋体" w:cs="Times New Roman"/>
                <w:color w:val="000000" w:themeColor="text1"/>
                <w:spacing w:val="-20"/>
                <w:szCs w:val="21"/>
              </w:rPr>
              <w:t>源</w:t>
            </w:r>
            <w:r>
              <w:rPr>
                <w:rFonts w:ascii="Times New Roman" w:hAnsi="Times New Roman" w:eastAsia="宋体" w:cs="Times New Roman"/>
                <w:color w:val="000000" w:themeColor="text1"/>
                <w:spacing w:val="-20"/>
                <w:szCs w:val="21"/>
              </w:rPr>
              <w:t xml:space="preserve"> </w:t>
            </w:r>
            <w:r>
              <w:rPr>
                <w:rFonts w:ascii="Times New Roman" w:hAnsi="宋体" w:eastAsia="宋体" w:cs="Times New Roman"/>
                <w:color w:val="000000" w:themeColor="text1"/>
                <w:spacing w:val="-20"/>
                <w:szCs w:val="21"/>
              </w:rPr>
              <w:t>强</w:t>
            </w:r>
            <w:r>
              <w:rPr>
                <w:rFonts w:ascii="Times New Roman" w:hAnsi="Times New Roman" w:eastAsia="宋体" w:cs="Times New Roman"/>
                <w:color w:val="000000" w:themeColor="text1"/>
                <w:spacing w:val="-20"/>
                <w:szCs w:val="21"/>
              </w:rPr>
              <w:t>kg/h</w:t>
            </w:r>
          </w:p>
        </w:tc>
        <w:tc>
          <w:tcPr>
            <w:tcW w:w="631" w:type="dxa"/>
            <w:vAlign w:val="center"/>
          </w:tcPr>
          <w:p>
            <w:pPr>
              <w:spacing w:line="340" w:lineRule="exact"/>
              <w:jc w:val="center"/>
              <w:rPr>
                <w:rFonts w:ascii="Times New Roman" w:hAnsi="Times New Roman" w:eastAsia="宋体" w:cs="Times New Roman"/>
                <w:color w:val="000000" w:themeColor="text1"/>
                <w:spacing w:val="-20"/>
                <w:szCs w:val="21"/>
              </w:rPr>
            </w:pPr>
            <w:r>
              <w:rPr>
                <w:rFonts w:hint="eastAsia" w:ascii="Times New Roman" w:hAnsi="宋体" w:eastAsia="宋体" w:cs="Times New Roman"/>
                <w:color w:val="000000" w:themeColor="text1"/>
                <w:spacing w:val="-20"/>
                <w:szCs w:val="21"/>
              </w:rPr>
              <w:t>长m</w:t>
            </w:r>
          </w:p>
        </w:tc>
        <w:tc>
          <w:tcPr>
            <w:tcW w:w="747" w:type="dxa"/>
            <w:vAlign w:val="center"/>
          </w:tcPr>
          <w:p>
            <w:pPr>
              <w:spacing w:line="340" w:lineRule="exact"/>
              <w:jc w:val="center"/>
              <w:rPr>
                <w:rFonts w:ascii="Times New Roman" w:hAnsi="宋体" w:eastAsia="宋体" w:cs="Times New Roman"/>
                <w:color w:val="000000" w:themeColor="text1"/>
                <w:spacing w:val="-20"/>
                <w:szCs w:val="21"/>
              </w:rPr>
            </w:pPr>
            <w:r>
              <w:rPr>
                <w:rFonts w:hint="eastAsia" w:ascii="Times New Roman" w:hAnsi="宋体" w:eastAsia="宋体" w:cs="Times New Roman"/>
                <w:color w:val="000000" w:themeColor="text1"/>
                <w:spacing w:val="-20"/>
                <w:szCs w:val="21"/>
              </w:rPr>
              <w:t>宽m</w:t>
            </w:r>
          </w:p>
        </w:tc>
        <w:tc>
          <w:tcPr>
            <w:tcW w:w="800" w:type="dxa"/>
            <w:vMerge w:val="continue"/>
            <w:vAlign w:val="center"/>
          </w:tcPr>
          <w:p>
            <w:pPr>
              <w:spacing w:line="340" w:lineRule="exact"/>
              <w:jc w:val="center"/>
              <w:rPr>
                <w:rFonts w:ascii="Times New Roman" w:hAnsi="Times New Roman" w:eastAsia="宋体" w:cs="Times New Roman"/>
                <w:color w:val="000000" w:themeColor="text1"/>
                <w:szCs w:val="21"/>
              </w:rPr>
            </w:pPr>
          </w:p>
        </w:tc>
        <w:tc>
          <w:tcPr>
            <w:tcW w:w="532" w:type="dxa"/>
            <w:vAlign w:val="center"/>
          </w:tcPr>
          <w:p>
            <w:pPr>
              <w:spacing w:line="34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A</w:t>
            </w:r>
          </w:p>
        </w:tc>
        <w:tc>
          <w:tcPr>
            <w:tcW w:w="503" w:type="dxa"/>
            <w:vAlign w:val="center"/>
          </w:tcPr>
          <w:p>
            <w:pPr>
              <w:spacing w:line="34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B</w:t>
            </w:r>
          </w:p>
        </w:tc>
        <w:tc>
          <w:tcPr>
            <w:tcW w:w="598" w:type="dxa"/>
            <w:vAlign w:val="center"/>
          </w:tcPr>
          <w:p>
            <w:pPr>
              <w:spacing w:line="34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C</w:t>
            </w:r>
          </w:p>
        </w:tc>
        <w:tc>
          <w:tcPr>
            <w:tcW w:w="629" w:type="dxa"/>
            <w:vAlign w:val="center"/>
          </w:tcPr>
          <w:p>
            <w:pPr>
              <w:spacing w:line="34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D</w:t>
            </w:r>
          </w:p>
        </w:tc>
        <w:tc>
          <w:tcPr>
            <w:tcW w:w="1183" w:type="dxa"/>
            <w:vMerge w:val="continue"/>
            <w:vAlign w:val="center"/>
          </w:tcPr>
          <w:p>
            <w:pPr>
              <w:spacing w:line="340" w:lineRule="exact"/>
              <w:jc w:val="center"/>
              <w:rPr>
                <w:rFonts w:ascii="Times New Roman" w:hAnsi="Times New Roman" w:eastAsia="宋体"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Ex>
        <w:trPr>
          <w:trHeight w:val="397" w:hRule="atLeast"/>
        </w:trPr>
        <w:tc>
          <w:tcPr>
            <w:tcW w:w="599" w:type="dxa"/>
            <w:vMerge w:val="restart"/>
            <w:vAlign w:val="center"/>
          </w:tcPr>
          <w:p>
            <w:pPr>
              <w:spacing w:line="340" w:lineRule="exact"/>
              <w:jc w:val="center"/>
              <w:rPr>
                <w:rFonts w:ascii="Times New Roman" w:hAnsi="宋体" w:eastAsia="宋体" w:cs="Times New Roman"/>
                <w:color w:val="000000" w:themeColor="text1"/>
                <w:spacing w:val="-20"/>
                <w:szCs w:val="21"/>
              </w:rPr>
            </w:pPr>
            <w:r>
              <w:rPr>
                <w:rFonts w:hint="eastAsia" w:ascii="Times New Roman" w:hAnsi="宋体" w:eastAsia="宋体" w:cs="Times New Roman"/>
                <w:color w:val="000000" w:themeColor="text1"/>
                <w:spacing w:val="-20"/>
                <w:szCs w:val="21"/>
              </w:rPr>
              <w:t>污水站</w:t>
            </w:r>
          </w:p>
        </w:tc>
        <w:tc>
          <w:tcPr>
            <w:tcW w:w="829" w:type="dxa"/>
            <w:vAlign w:val="center"/>
          </w:tcPr>
          <w:p>
            <w:pPr>
              <w:spacing w:line="340" w:lineRule="exact"/>
              <w:jc w:val="center"/>
              <w:rPr>
                <w:rFonts w:ascii="Times New Roman" w:hAnsi="宋体" w:eastAsia="宋体" w:cs="Times New Roman"/>
                <w:color w:val="000000" w:themeColor="text1"/>
                <w:spacing w:val="-20"/>
                <w:szCs w:val="21"/>
              </w:rPr>
            </w:pPr>
            <w:r>
              <w:rPr>
                <w:rFonts w:hint="eastAsia" w:ascii="Times New Roman" w:hAnsi="宋体" w:eastAsia="宋体" w:cs="Times New Roman"/>
                <w:color w:val="000000" w:themeColor="text1"/>
                <w:spacing w:val="-20"/>
                <w:szCs w:val="21"/>
              </w:rPr>
              <w:t>氨</w:t>
            </w:r>
          </w:p>
        </w:tc>
        <w:tc>
          <w:tcPr>
            <w:tcW w:w="677" w:type="dxa"/>
            <w:vAlign w:val="center"/>
          </w:tcPr>
          <w:p>
            <w:pPr>
              <w:spacing w:line="3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0.20</w:t>
            </w:r>
          </w:p>
        </w:tc>
        <w:tc>
          <w:tcPr>
            <w:tcW w:w="794" w:type="dxa"/>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0.013</w:t>
            </w:r>
          </w:p>
        </w:tc>
        <w:tc>
          <w:tcPr>
            <w:tcW w:w="631" w:type="dxa"/>
            <w:vAlign w:val="center"/>
          </w:tcPr>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48</w:t>
            </w:r>
          </w:p>
        </w:tc>
        <w:tc>
          <w:tcPr>
            <w:tcW w:w="747" w:type="dxa"/>
            <w:vAlign w:val="center"/>
          </w:tcPr>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20</w:t>
            </w:r>
          </w:p>
        </w:tc>
        <w:tc>
          <w:tcPr>
            <w:tcW w:w="800" w:type="dxa"/>
            <w:vAlign w:val="center"/>
          </w:tcPr>
          <w:p>
            <w:pPr>
              <w:spacing w:line="3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1.8</w:t>
            </w:r>
          </w:p>
        </w:tc>
        <w:tc>
          <w:tcPr>
            <w:tcW w:w="532" w:type="dxa"/>
            <w:vAlign w:val="center"/>
          </w:tcPr>
          <w:p>
            <w:pPr>
              <w:spacing w:line="3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400</w:t>
            </w:r>
          </w:p>
        </w:tc>
        <w:tc>
          <w:tcPr>
            <w:tcW w:w="503" w:type="dxa"/>
            <w:vAlign w:val="center"/>
          </w:tcPr>
          <w:p>
            <w:pPr>
              <w:spacing w:line="340" w:lineRule="exact"/>
              <w:ind w:left="-105" w:leftChars="-50" w:right="-105" w:rightChars="-50"/>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0.01</w:t>
            </w:r>
          </w:p>
        </w:tc>
        <w:tc>
          <w:tcPr>
            <w:tcW w:w="598" w:type="dxa"/>
            <w:vAlign w:val="center"/>
          </w:tcPr>
          <w:p>
            <w:pPr>
              <w:spacing w:line="3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1.85</w:t>
            </w:r>
          </w:p>
        </w:tc>
        <w:tc>
          <w:tcPr>
            <w:tcW w:w="629" w:type="dxa"/>
            <w:vAlign w:val="center"/>
          </w:tcPr>
          <w:p>
            <w:pPr>
              <w:spacing w:line="3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0.78</w:t>
            </w:r>
          </w:p>
        </w:tc>
        <w:tc>
          <w:tcPr>
            <w:tcW w:w="1183" w:type="dxa"/>
            <w:shd w:val="clear" w:color="auto" w:fill="auto"/>
            <w:vAlign w:val="center"/>
          </w:tcPr>
          <w:p>
            <w:pPr>
              <w:spacing w:line="3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0.041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Ex>
        <w:trPr>
          <w:trHeight w:val="525" w:hRule="atLeast"/>
        </w:trPr>
        <w:tc>
          <w:tcPr>
            <w:tcW w:w="599" w:type="dxa"/>
            <w:vMerge w:val="continue"/>
            <w:vAlign w:val="center"/>
          </w:tcPr>
          <w:p>
            <w:pPr>
              <w:spacing w:line="340" w:lineRule="exact"/>
              <w:jc w:val="center"/>
              <w:rPr>
                <w:rFonts w:ascii="Times New Roman" w:hAnsi="宋体" w:eastAsia="宋体" w:cs="Times New Roman"/>
                <w:color w:val="000000" w:themeColor="text1"/>
                <w:spacing w:val="-20"/>
                <w:szCs w:val="21"/>
              </w:rPr>
            </w:pPr>
          </w:p>
        </w:tc>
        <w:tc>
          <w:tcPr>
            <w:tcW w:w="829" w:type="dxa"/>
            <w:vAlign w:val="center"/>
          </w:tcPr>
          <w:p>
            <w:pPr>
              <w:spacing w:line="340" w:lineRule="exact"/>
              <w:jc w:val="center"/>
              <w:rPr>
                <w:rFonts w:ascii="Times New Roman" w:hAnsi="宋体" w:eastAsia="宋体" w:cs="Times New Roman"/>
                <w:color w:val="000000" w:themeColor="text1"/>
                <w:spacing w:val="-20"/>
                <w:szCs w:val="21"/>
              </w:rPr>
            </w:pPr>
            <w:r>
              <w:rPr>
                <w:rFonts w:hint="eastAsia" w:ascii="Times New Roman" w:hAnsi="宋体" w:eastAsia="宋体" w:cs="Times New Roman"/>
                <w:color w:val="000000" w:themeColor="text1"/>
                <w:spacing w:val="-20"/>
                <w:szCs w:val="21"/>
              </w:rPr>
              <w:t>硫化氢</w:t>
            </w:r>
          </w:p>
        </w:tc>
        <w:tc>
          <w:tcPr>
            <w:tcW w:w="677" w:type="dxa"/>
            <w:vAlign w:val="center"/>
          </w:tcPr>
          <w:p>
            <w:pPr>
              <w:spacing w:line="3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0.01</w:t>
            </w:r>
          </w:p>
        </w:tc>
        <w:tc>
          <w:tcPr>
            <w:tcW w:w="794" w:type="dxa"/>
            <w:vAlign w:val="center"/>
          </w:tcPr>
          <w:p>
            <w:pPr>
              <w:spacing w:line="300" w:lineRule="exact"/>
              <w:jc w:val="cente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0.0006</w:t>
            </w:r>
          </w:p>
        </w:tc>
        <w:tc>
          <w:tcPr>
            <w:tcW w:w="631" w:type="dxa"/>
            <w:vAlign w:val="center"/>
          </w:tcPr>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48</w:t>
            </w:r>
          </w:p>
        </w:tc>
        <w:tc>
          <w:tcPr>
            <w:tcW w:w="747" w:type="dxa"/>
            <w:vAlign w:val="center"/>
          </w:tcPr>
          <w:p>
            <w:pPr>
              <w:snapToGrid w:val="0"/>
              <w:spacing w:line="2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kern w:val="0"/>
                <w:szCs w:val="21"/>
              </w:rPr>
              <w:t>20</w:t>
            </w:r>
          </w:p>
        </w:tc>
        <w:tc>
          <w:tcPr>
            <w:tcW w:w="800" w:type="dxa"/>
            <w:vAlign w:val="center"/>
          </w:tcPr>
          <w:p>
            <w:pPr>
              <w:spacing w:line="3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1.8</w:t>
            </w:r>
          </w:p>
        </w:tc>
        <w:tc>
          <w:tcPr>
            <w:tcW w:w="532" w:type="dxa"/>
            <w:vAlign w:val="center"/>
          </w:tcPr>
          <w:p>
            <w:pPr>
              <w:spacing w:line="3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400</w:t>
            </w:r>
          </w:p>
        </w:tc>
        <w:tc>
          <w:tcPr>
            <w:tcW w:w="503" w:type="dxa"/>
            <w:vAlign w:val="center"/>
          </w:tcPr>
          <w:p>
            <w:pPr>
              <w:spacing w:line="340" w:lineRule="exact"/>
              <w:ind w:left="-105" w:leftChars="-50" w:right="-105" w:rightChars="-50"/>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0.01</w:t>
            </w:r>
          </w:p>
        </w:tc>
        <w:tc>
          <w:tcPr>
            <w:tcW w:w="598" w:type="dxa"/>
            <w:vAlign w:val="center"/>
          </w:tcPr>
          <w:p>
            <w:pPr>
              <w:spacing w:line="3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1.85</w:t>
            </w:r>
          </w:p>
        </w:tc>
        <w:tc>
          <w:tcPr>
            <w:tcW w:w="629" w:type="dxa"/>
            <w:vAlign w:val="center"/>
          </w:tcPr>
          <w:p>
            <w:pPr>
              <w:spacing w:line="3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0.78</w:t>
            </w:r>
          </w:p>
        </w:tc>
        <w:tc>
          <w:tcPr>
            <w:tcW w:w="1183" w:type="dxa"/>
            <w:vAlign w:val="center"/>
          </w:tcPr>
          <w:p>
            <w:pPr>
              <w:spacing w:line="340" w:lineRule="exact"/>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9.027</w:t>
            </w:r>
          </w:p>
        </w:tc>
      </w:tr>
    </w:tbl>
    <w:p>
      <w:pPr>
        <w:spacing w:line="360" w:lineRule="auto"/>
        <w:ind w:firstLine="480" w:firstLineChars="200"/>
        <w:rPr>
          <w:rFonts w:ascii="Times New Roman" w:hAnsi="Times New Roman" w:eastAsia="宋体" w:cs="Times New Roman"/>
          <w:color w:val="000000" w:themeColor="text1"/>
          <w:sz w:val="24"/>
          <w:szCs w:val="24"/>
        </w:rPr>
      </w:pPr>
      <w:r>
        <w:rPr>
          <w:rFonts w:hint="eastAsia" w:ascii="Times New Roman" w:hAnsi="宋体" w:eastAsia="宋体" w:cs="Times New Roman"/>
          <w:color w:val="000000" w:themeColor="text1"/>
          <w:sz w:val="24"/>
          <w:szCs w:val="24"/>
        </w:rPr>
        <w:t>经计算得出：根据卫生防护距离取值规定，卫生防护距离在100m以内时，级差为50m；超过100m，但小于或等于1000m时级差为100m，计算的L值在两级之间时，取偏宽的一级。当按两种或两种以上有害气体的Qc/Cm值计算的卫生防护距离在同一级别时，该类工业企业的卫生防护距离级别应该提高一级。故计算的项目卫生防护距离为100m（以污水站为中心）</w:t>
      </w:r>
      <w:r>
        <w:rPr>
          <w:rFonts w:hint="eastAsia" w:ascii="Times New Roman" w:hAnsi="Times New Roman" w:eastAsia="宋体" w:cs="Times New Roman"/>
          <w:color w:val="000000" w:themeColor="text1"/>
          <w:sz w:val="24"/>
          <w:szCs w:val="24"/>
        </w:rPr>
        <w:t>，距离污水站最近敏感点为污水站北侧105m秀兰文景苑小区，不在卫生防护距离内，满足要求。</w:t>
      </w:r>
    </w:p>
    <w:p>
      <w:pPr>
        <w:spacing w:line="360" w:lineRule="auto"/>
        <w:ind w:firstLine="480" w:firstLineChars="200"/>
        <w:rPr>
          <w:rFonts w:ascii="Times New Roman"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在卫生防护距离内禁止建设居住区、文化教育区、医疗机构等环境敏感点。</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5.2.2地表水环境影响分析</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（1）地表水环境影响分析</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本项目废水总排放量为</w:t>
      </w:r>
      <w:r>
        <w:rPr>
          <w:rFonts w:hint="eastAsia" w:ascii="Times New Roman" w:hAnsi="Times New Roman" w:cs="Times New Roman"/>
          <w:color w:val="000000" w:themeColor="text1"/>
          <w:sz w:val="24"/>
          <w:szCs w:val="24"/>
        </w:rPr>
        <w:t>395.686m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/d（144425.390m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/a），</w:t>
      </w:r>
      <w:r>
        <w:rPr>
          <w:rFonts w:hint="eastAsia" w:ascii="Times New Roman" w:hAnsi="Times New Roman" w:cs="Times New Roman"/>
          <w:sz w:val="24"/>
          <w:szCs w:val="24"/>
        </w:rPr>
        <w:t>主要为门诊废水、医疗器械清洗废水、职工生活污水、病房区生活污水、食堂废水。</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sz w:val="24"/>
          <w:szCs w:val="24"/>
        </w:rPr>
        <w:t>项目</w:t>
      </w:r>
      <w:r>
        <w:rPr>
          <w:rFonts w:ascii="Times New Roman" w:hAnsi="Times New Roman" w:cs="Times New Roman"/>
          <w:sz w:val="24"/>
          <w:szCs w:val="24"/>
        </w:rPr>
        <w:t>食堂废水经隔油池</w:t>
      </w:r>
      <w:r>
        <w:rPr>
          <w:rFonts w:hint="eastAsia" w:ascii="Times New Roman" w:hAnsi="Times New Roman" w:cs="Times New Roman"/>
          <w:sz w:val="24"/>
          <w:szCs w:val="24"/>
        </w:rPr>
        <w:t>预处理后，与医疗废水、生活污水一并进入</w:t>
      </w:r>
      <w:r>
        <w:rPr>
          <w:rFonts w:ascii="Times New Roman" w:hAnsi="Times New Roman" w:cs="Times New Roman"/>
          <w:sz w:val="24"/>
          <w:szCs w:val="24"/>
        </w:rPr>
        <w:t>化粪池处理后排入医院污水处理站处理，</w:t>
      </w:r>
      <w:r>
        <w:rPr>
          <w:rFonts w:hint="eastAsia" w:ascii="Times New Roman" w:hAnsi="Times New Roman" w:cs="Times New Roman"/>
          <w:sz w:val="24"/>
          <w:szCs w:val="24"/>
        </w:rPr>
        <w:t>最终排入银定庄污水处理厂，污水站处理能力为</w:t>
      </w:r>
      <w:r>
        <w:rPr>
          <w:rFonts w:hint="eastAsia" w:ascii="Times New Roman" w:hAnsi="Times New Roman" w:cs="Times New Roman"/>
          <w:color w:val="000000" w:themeColor="text1"/>
          <w:sz w:val="24"/>
          <w:szCs w:val="24"/>
        </w:rPr>
        <w:t>500m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/d，采用“格栅+调节池+混凝沉淀+消毒”处理，</w:t>
      </w:r>
      <w:r>
        <w:rPr>
          <w:rFonts w:ascii="Times New Roman" w:hAnsi="Times New Roman" w:cs="Times New Roman"/>
          <w:color w:val="000000" w:themeColor="text1"/>
          <w:sz w:val="24"/>
          <w:szCs w:val="24"/>
        </w:rPr>
        <w:t>处理达到</w:t>
      </w:r>
      <w:r>
        <w:rPr>
          <w:rFonts w:hint="eastAsia" w:ascii="Times New Roman" w:hAnsi="Times New Roman" w:cs="Times New Roman"/>
          <w:color w:val="000000" w:themeColor="text1"/>
          <w:sz w:val="24"/>
          <w:szCs w:val="24"/>
        </w:rPr>
        <w:t>《医疗机构水污染物排放标准》（GB18466-2005）表2预处理标准，同时满足银定庄污水处理厂进水水质要求，通过市政污水管网排入银定庄污水处理厂进一步处理。</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根据《环境影响评价技术导则 地表水环境》（HJ2.3-2018），本项目评价等级为三级B。</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（2）污水处理厂依托可行性分析</w:t>
      </w:r>
    </w:p>
    <w:p>
      <w:pPr>
        <w:pStyle w:val="51"/>
        <w:spacing w:line="360" w:lineRule="auto"/>
        <w:ind w:firstLine="482"/>
        <w:rPr>
          <w:rFonts w:ascii="Times New Roman" w:hAnsi="Times New Roman" w:cs="Times New Roman" w:eastAsiaTheme="majorEastAsia"/>
          <w:color w:val="000000" w:themeColor="text1"/>
        </w:rPr>
      </w:pPr>
      <w:r>
        <w:rPr>
          <w:rFonts w:ascii="Times New Roman" w:hAnsi="Times New Roman" w:cs="Times New Roman" w:eastAsiaTheme="majorEastAsia"/>
          <w:color w:val="000000" w:themeColor="text1"/>
        </w:rPr>
        <w:t>银定庄污水处理厂位于保定市市区东部银定庄以南，东二环以东，主要负责处理保定市铁路以东污水。银定庄污水处理厂于1993年开工建设，1996年投入运行，用带有前置厌氧段的普通活性污泥法，设计规模为8万m</w:t>
      </w:r>
      <w:r>
        <w:rPr>
          <w:rFonts w:ascii="Times New Roman" w:hAnsi="Times New Roman" w:cs="Times New Roman" w:eastAsiaTheme="majorEastAsia"/>
          <w:color w:val="000000" w:themeColor="text1"/>
          <w:vertAlign w:val="superscript"/>
        </w:rPr>
        <w:t>3</w:t>
      </w:r>
      <w:r>
        <w:rPr>
          <w:rFonts w:ascii="Times New Roman" w:hAnsi="Times New Roman" w:cs="Times New Roman" w:eastAsiaTheme="majorEastAsia"/>
          <w:color w:val="000000" w:themeColor="text1"/>
        </w:rPr>
        <w:t>/d，出水水质执行国家《污水综合排放标准》(GB8978-1996)二级标准。2010年，银定庄污水处理厂升级改造后工艺为A</w:t>
      </w:r>
      <w:r>
        <w:rPr>
          <w:rFonts w:ascii="Times New Roman" w:hAnsi="Times New Roman" w:cs="Times New Roman" w:eastAsiaTheme="majorEastAsia"/>
          <w:color w:val="000000" w:themeColor="text1"/>
          <w:vertAlign w:val="superscript"/>
        </w:rPr>
        <w:t>2</w:t>
      </w:r>
      <w:r>
        <w:rPr>
          <w:rFonts w:ascii="Times New Roman" w:hAnsi="Times New Roman" w:cs="Times New Roman" w:eastAsiaTheme="majorEastAsia"/>
          <w:color w:val="000000" w:themeColor="text1"/>
        </w:rPr>
        <w:t>/O+MBBR(移动床生物膜反应器)，处理水量为</w:t>
      </w:r>
      <w:r>
        <w:rPr>
          <w:rFonts w:hint="eastAsia" w:ascii="Times New Roman" w:hAnsi="Times New Roman" w:cs="Times New Roman" w:eastAsiaTheme="majorEastAsia"/>
          <w:color w:val="000000" w:themeColor="text1"/>
        </w:rPr>
        <w:t>8</w:t>
      </w:r>
      <w:r>
        <w:rPr>
          <w:rFonts w:ascii="Times New Roman" w:hAnsi="Times New Roman" w:cs="Times New Roman" w:eastAsiaTheme="majorEastAsia"/>
          <w:color w:val="000000" w:themeColor="text1"/>
        </w:rPr>
        <w:t>万m</w:t>
      </w:r>
      <w:r>
        <w:rPr>
          <w:rFonts w:ascii="Times New Roman" w:hAnsi="Times New Roman" w:cs="Times New Roman" w:eastAsiaTheme="majorEastAsia"/>
          <w:color w:val="000000" w:themeColor="text1"/>
          <w:vertAlign w:val="superscript"/>
        </w:rPr>
        <w:t>3</w:t>
      </w:r>
      <w:r>
        <w:rPr>
          <w:rFonts w:ascii="Times New Roman" w:hAnsi="Times New Roman" w:cs="Times New Roman" w:eastAsiaTheme="majorEastAsia"/>
          <w:color w:val="000000" w:themeColor="text1"/>
        </w:rPr>
        <w:t>/d，出水水质执行《城镇污水处理厂污染物排放标准》(GB18978-2002)中一级</w:t>
      </w:r>
      <w:r>
        <w:rPr>
          <w:rFonts w:hint="eastAsia" w:ascii="Times New Roman" w:hAnsi="Times New Roman" w:cs="Times New Roman" w:eastAsiaTheme="majorEastAsia"/>
          <w:color w:val="000000" w:themeColor="text1"/>
        </w:rPr>
        <w:t>A</w:t>
      </w:r>
      <w:r>
        <w:rPr>
          <w:rFonts w:ascii="Times New Roman" w:hAnsi="Times New Roman" w:cs="Times New Roman" w:eastAsiaTheme="majorEastAsia"/>
          <w:color w:val="000000" w:themeColor="text1"/>
        </w:rPr>
        <w:t>标准。出水排往黄花沟，汇入府河排入白洋淀，沿途用于农灌。</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本项目位于</w:t>
      </w:r>
      <w:r>
        <w:rPr>
          <w:rFonts w:hint="eastAsia" w:ascii="Times New Roman" w:hAnsi="Times New Roman" w:cs="Times New Roman"/>
          <w:color w:val="000000" w:themeColor="text1"/>
          <w:sz w:val="24"/>
          <w:szCs w:val="24"/>
        </w:rPr>
        <w:t>保定市莲池区华电路南侧，秀兰﹒文景苑小区东侧</w:t>
      </w:r>
      <w:r>
        <w:rPr>
          <w:rFonts w:ascii="Times New Roman" w:hAnsi="Times New Roman" w:cs="Times New Roman"/>
          <w:color w:val="000000" w:themeColor="text1"/>
          <w:sz w:val="24"/>
          <w:szCs w:val="24"/>
        </w:rPr>
        <w:t>，在该污水处理厂的收水范围内，且配套管网已铺设完成；本项目外排废水量为</w:t>
      </w:r>
      <w:r>
        <w:rPr>
          <w:rFonts w:hint="eastAsia" w:ascii="Times New Roman" w:hAnsi="Times New Roman" w:cs="Times New Roman"/>
          <w:color w:val="000000" w:themeColor="text1"/>
          <w:sz w:val="24"/>
          <w:szCs w:val="24"/>
        </w:rPr>
        <w:t>395.686m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/d（144425.390m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，污水处理厂剩余处理能力能够满足本项目的使用要求。</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（3）建设项目污染物排放信息</w:t>
      </w:r>
    </w:p>
    <w:p>
      <w:pPr>
        <w:spacing w:line="360" w:lineRule="auto"/>
        <w:ind w:firstLine="480" w:firstLineChars="200"/>
        <w:rPr>
          <w:rFonts w:ascii="Times New Roman" w:hAnsi="Times New Roman" w:cs="Times New Roman"/>
          <w:sz w:val="24"/>
          <w:szCs w:val="24"/>
        </w:rPr>
      </w:pPr>
      <w:r>
        <w:rPr>
          <w:rFonts w:hint="eastAsia" w:cs="Times New Roman" w:asciiTheme="minorEastAsia" w:hAnsiTheme="minorEastAsia"/>
          <w:sz w:val="24"/>
          <w:szCs w:val="24"/>
        </w:rPr>
        <w:t>①</w:t>
      </w:r>
      <w:r>
        <w:rPr>
          <w:rFonts w:hint="eastAsia" w:ascii="Times New Roman" w:hAnsi="Times New Roman" w:cs="Times New Roman"/>
          <w:sz w:val="24"/>
          <w:szCs w:val="24"/>
        </w:rPr>
        <w:t>废水类别、污染物及污染治理设施信息见表5-17。</w:t>
      </w: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2" w:firstLineChars="200"/>
        <w:jc w:val="center"/>
        <w:rPr>
          <w:rFonts w:ascii="Times New Roman" w:hAnsi="Times New Roman" w:cs="Times New Roman"/>
          <w:b/>
          <w:sz w:val="24"/>
          <w:szCs w:val="24"/>
        </w:rPr>
      </w:pPr>
      <w:r>
        <w:rPr>
          <w:rFonts w:hint="eastAsia" w:ascii="Times New Roman" w:hAnsi="Times New Roman" w:cs="Times New Roman"/>
          <w:b/>
          <w:sz w:val="24"/>
          <w:szCs w:val="24"/>
        </w:rPr>
        <w:t>表5-17   废水类别、污染物及污染治理设施信息表</w:t>
      </w:r>
    </w:p>
    <w:tbl>
      <w:tblPr>
        <w:tblStyle w:val="28"/>
        <w:tblW w:w="8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786"/>
        <w:gridCol w:w="1021"/>
        <w:gridCol w:w="798"/>
        <w:gridCol w:w="705"/>
        <w:gridCol w:w="827"/>
        <w:gridCol w:w="826"/>
        <w:gridCol w:w="958"/>
        <w:gridCol w:w="881"/>
        <w:gridCol w:w="825"/>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rPr>
        <w:tc>
          <w:tcPr>
            <w:tcW w:w="445" w:type="dxa"/>
            <w:vMerge w:val="restart"/>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序号</w:t>
            </w:r>
          </w:p>
        </w:tc>
        <w:tc>
          <w:tcPr>
            <w:tcW w:w="786" w:type="dxa"/>
            <w:vMerge w:val="restart"/>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废水类别</w:t>
            </w:r>
          </w:p>
        </w:tc>
        <w:tc>
          <w:tcPr>
            <w:tcW w:w="1021" w:type="dxa"/>
            <w:vMerge w:val="restart"/>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污染物种类</w:t>
            </w:r>
          </w:p>
        </w:tc>
        <w:tc>
          <w:tcPr>
            <w:tcW w:w="798" w:type="dxa"/>
            <w:vMerge w:val="restart"/>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排放去向</w:t>
            </w:r>
          </w:p>
        </w:tc>
        <w:tc>
          <w:tcPr>
            <w:tcW w:w="705" w:type="dxa"/>
            <w:vMerge w:val="restart"/>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排放规律</w:t>
            </w:r>
          </w:p>
        </w:tc>
        <w:tc>
          <w:tcPr>
            <w:tcW w:w="2611" w:type="dxa"/>
            <w:gridSpan w:val="3"/>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污染治理设施</w:t>
            </w:r>
          </w:p>
        </w:tc>
        <w:tc>
          <w:tcPr>
            <w:tcW w:w="881" w:type="dxa"/>
            <w:vMerge w:val="restart"/>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排放口编号</w:t>
            </w:r>
          </w:p>
        </w:tc>
        <w:tc>
          <w:tcPr>
            <w:tcW w:w="825" w:type="dxa"/>
            <w:vMerge w:val="restart"/>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排放口设施是否符合要求</w:t>
            </w:r>
          </w:p>
        </w:tc>
        <w:tc>
          <w:tcPr>
            <w:tcW w:w="840" w:type="dxa"/>
            <w:vMerge w:val="restart"/>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rPr>
        <w:tc>
          <w:tcPr>
            <w:tcW w:w="445" w:type="dxa"/>
            <w:vMerge w:val="continue"/>
            <w:vAlign w:val="center"/>
          </w:tcPr>
          <w:p>
            <w:pPr>
              <w:spacing w:line="320" w:lineRule="exact"/>
              <w:jc w:val="center"/>
              <w:rPr>
                <w:rFonts w:ascii="Times New Roman" w:hAnsi="Times New Roman" w:cs="Times New Roman"/>
                <w:szCs w:val="21"/>
              </w:rPr>
            </w:pPr>
          </w:p>
        </w:tc>
        <w:tc>
          <w:tcPr>
            <w:tcW w:w="786" w:type="dxa"/>
            <w:vMerge w:val="continue"/>
            <w:vAlign w:val="center"/>
          </w:tcPr>
          <w:p>
            <w:pPr>
              <w:spacing w:line="320" w:lineRule="exact"/>
              <w:jc w:val="center"/>
              <w:rPr>
                <w:rFonts w:ascii="Times New Roman" w:hAnsi="Times New Roman" w:cs="Times New Roman"/>
                <w:szCs w:val="21"/>
              </w:rPr>
            </w:pPr>
          </w:p>
        </w:tc>
        <w:tc>
          <w:tcPr>
            <w:tcW w:w="1021" w:type="dxa"/>
            <w:vMerge w:val="continue"/>
            <w:vAlign w:val="center"/>
          </w:tcPr>
          <w:p>
            <w:pPr>
              <w:spacing w:line="320" w:lineRule="exact"/>
              <w:jc w:val="center"/>
              <w:rPr>
                <w:rFonts w:ascii="Times New Roman" w:hAnsi="Times New Roman" w:cs="Times New Roman"/>
                <w:szCs w:val="21"/>
              </w:rPr>
            </w:pPr>
          </w:p>
        </w:tc>
        <w:tc>
          <w:tcPr>
            <w:tcW w:w="798" w:type="dxa"/>
            <w:vMerge w:val="continue"/>
            <w:vAlign w:val="center"/>
          </w:tcPr>
          <w:p>
            <w:pPr>
              <w:spacing w:line="320" w:lineRule="exact"/>
              <w:jc w:val="center"/>
              <w:rPr>
                <w:rFonts w:ascii="Times New Roman" w:hAnsi="Times New Roman" w:cs="Times New Roman"/>
                <w:szCs w:val="21"/>
              </w:rPr>
            </w:pPr>
          </w:p>
        </w:tc>
        <w:tc>
          <w:tcPr>
            <w:tcW w:w="705" w:type="dxa"/>
            <w:vMerge w:val="continue"/>
            <w:vAlign w:val="center"/>
          </w:tcPr>
          <w:p>
            <w:pPr>
              <w:spacing w:line="320" w:lineRule="exact"/>
              <w:jc w:val="center"/>
              <w:rPr>
                <w:rFonts w:ascii="Times New Roman" w:hAnsi="Times New Roman" w:cs="Times New Roman"/>
                <w:szCs w:val="21"/>
              </w:rPr>
            </w:pPr>
          </w:p>
        </w:tc>
        <w:tc>
          <w:tcPr>
            <w:tcW w:w="827" w:type="dxa"/>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污染治理设施编号</w:t>
            </w:r>
          </w:p>
        </w:tc>
        <w:tc>
          <w:tcPr>
            <w:tcW w:w="826" w:type="dxa"/>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污染治理设施名称</w:t>
            </w:r>
          </w:p>
        </w:tc>
        <w:tc>
          <w:tcPr>
            <w:tcW w:w="958" w:type="dxa"/>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污染治理设施工艺</w:t>
            </w:r>
          </w:p>
        </w:tc>
        <w:tc>
          <w:tcPr>
            <w:tcW w:w="881" w:type="dxa"/>
            <w:vMerge w:val="continue"/>
            <w:vAlign w:val="center"/>
          </w:tcPr>
          <w:p>
            <w:pPr>
              <w:spacing w:line="320" w:lineRule="exact"/>
              <w:jc w:val="center"/>
              <w:rPr>
                <w:rFonts w:ascii="Times New Roman" w:hAnsi="Times New Roman" w:cs="Times New Roman"/>
                <w:szCs w:val="21"/>
              </w:rPr>
            </w:pPr>
          </w:p>
        </w:tc>
        <w:tc>
          <w:tcPr>
            <w:tcW w:w="825" w:type="dxa"/>
            <w:vMerge w:val="continue"/>
            <w:vAlign w:val="center"/>
          </w:tcPr>
          <w:p>
            <w:pPr>
              <w:spacing w:line="320" w:lineRule="exact"/>
              <w:jc w:val="center"/>
              <w:rPr>
                <w:rFonts w:ascii="Times New Roman" w:hAnsi="Times New Roman" w:cs="Times New Roman"/>
                <w:szCs w:val="21"/>
              </w:rPr>
            </w:pPr>
          </w:p>
        </w:tc>
        <w:tc>
          <w:tcPr>
            <w:tcW w:w="840" w:type="dxa"/>
            <w:vMerge w:val="continue"/>
            <w:vAlign w:val="center"/>
          </w:tcPr>
          <w:p>
            <w:pPr>
              <w:spacing w:line="320" w:lineRule="exac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trPr>
        <w:tc>
          <w:tcPr>
            <w:tcW w:w="445" w:type="dxa"/>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1</w:t>
            </w:r>
          </w:p>
        </w:tc>
        <w:tc>
          <w:tcPr>
            <w:tcW w:w="786" w:type="dxa"/>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门诊废水、医疗器械清洗废水、职工生活污水、病房区生活污水、食堂废水</w:t>
            </w:r>
          </w:p>
        </w:tc>
        <w:tc>
          <w:tcPr>
            <w:tcW w:w="1021" w:type="dxa"/>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pH、COD、BOD</w:t>
            </w:r>
            <w:r>
              <w:rPr>
                <w:rFonts w:ascii="Times New Roman" w:hAnsi="Times New Roman" w:cs="Times New Roman"/>
                <w:szCs w:val="21"/>
                <w:vertAlign w:val="subscript"/>
              </w:rPr>
              <w:t>5</w:t>
            </w:r>
            <w:r>
              <w:rPr>
                <w:rFonts w:ascii="Times New Roman" w:hAnsi="Times New Roman" w:cs="Times New Roman"/>
                <w:szCs w:val="21"/>
              </w:rPr>
              <w:t>、NH</w:t>
            </w:r>
            <w:r>
              <w:rPr>
                <w:rFonts w:ascii="Times New Roman" w:hAnsi="Times New Roman" w:cs="Times New Roman"/>
                <w:szCs w:val="21"/>
                <w:vertAlign w:val="subscript"/>
              </w:rPr>
              <w:t>3</w:t>
            </w:r>
            <w:r>
              <w:rPr>
                <w:rFonts w:ascii="Times New Roman" w:hAnsi="Times New Roman" w:cs="Times New Roman"/>
                <w:szCs w:val="21"/>
              </w:rPr>
              <w:t>-N、SS、TN、TP</w:t>
            </w:r>
            <w:r>
              <w:rPr>
                <w:rFonts w:hint="eastAsia" w:ascii="Times New Roman" w:hAnsi="Times New Roman" w:cs="Times New Roman"/>
                <w:szCs w:val="21"/>
              </w:rPr>
              <w:t>、动植物油、粪大肠菌群</w:t>
            </w:r>
          </w:p>
        </w:tc>
        <w:tc>
          <w:tcPr>
            <w:tcW w:w="798" w:type="dxa"/>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银定庄污水处理厂</w:t>
            </w:r>
          </w:p>
        </w:tc>
        <w:tc>
          <w:tcPr>
            <w:tcW w:w="705" w:type="dxa"/>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连续排放，流量稳定</w:t>
            </w:r>
          </w:p>
        </w:tc>
        <w:tc>
          <w:tcPr>
            <w:tcW w:w="827" w:type="dxa"/>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H1</w:t>
            </w:r>
          </w:p>
        </w:tc>
        <w:tc>
          <w:tcPr>
            <w:tcW w:w="826" w:type="dxa"/>
            <w:vAlign w:val="center"/>
          </w:tcPr>
          <w:p>
            <w:pPr>
              <w:spacing w:line="320" w:lineRule="exact"/>
              <w:jc w:val="center"/>
              <w:rPr>
                <w:rFonts w:ascii="Times New Roman" w:hAnsi="Times New Roman" w:cs="Times New Roman"/>
                <w:szCs w:val="21"/>
              </w:rPr>
            </w:pPr>
            <w:r>
              <w:rPr>
                <w:rFonts w:hint="eastAsia" w:cs="Times New Roman" w:asciiTheme="minorEastAsia" w:hAnsiTheme="minorEastAsia"/>
                <w:szCs w:val="21"/>
              </w:rPr>
              <w:t>综合污水处理站</w:t>
            </w:r>
          </w:p>
        </w:tc>
        <w:tc>
          <w:tcPr>
            <w:tcW w:w="958" w:type="dxa"/>
            <w:vAlign w:val="center"/>
          </w:tcPr>
          <w:p>
            <w:pPr>
              <w:spacing w:line="320" w:lineRule="exact"/>
              <w:jc w:val="center"/>
              <w:rPr>
                <w:rFonts w:ascii="Times New Roman" w:hAnsi="Times New Roman" w:cs="Times New Roman"/>
                <w:szCs w:val="21"/>
              </w:rPr>
            </w:pPr>
            <w:r>
              <w:rPr>
                <w:rFonts w:hint="eastAsia" w:ascii="Times New Roman" w:hAnsi="Times New Roman" w:cs="Times New Roman"/>
                <w:bCs/>
                <w:szCs w:val="21"/>
              </w:rPr>
              <w:t>格栅+调节池+混凝沉淀+消毒</w:t>
            </w:r>
          </w:p>
        </w:tc>
        <w:tc>
          <w:tcPr>
            <w:tcW w:w="881" w:type="dxa"/>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DW001</w:t>
            </w:r>
            <w:r>
              <w:t xml:space="preserve"> </w:t>
            </w:r>
          </w:p>
        </w:tc>
        <w:tc>
          <w:tcPr>
            <w:tcW w:w="825" w:type="dxa"/>
            <w:vAlign w:val="center"/>
          </w:tcPr>
          <w:p>
            <w:pPr>
              <w:spacing w:line="320" w:lineRule="exact"/>
              <w:jc w:val="center"/>
              <w:rPr>
                <w:rFonts w:ascii="Times New Roman" w:hAnsi="Times New Roman" w:cs="Times New Roman"/>
                <w:szCs w:val="21"/>
              </w:rPr>
            </w:pPr>
            <w:r>
              <w:rPr>
                <w:rFonts w:hint="eastAsia" w:ascii="MS Mincho" w:hAnsi="MS Mincho" w:eastAsia="MS Mincho" w:cs="MS Mincho"/>
                <w:szCs w:val="21"/>
              </w:rPr>
              <w:t>☑</w:t>
            </w:r>
            <w:r>
              <w:rPr>
                <w:rFonts w:hint="eastAsia" w:ascii="Times New Roman" w:hAnsi="Times New Roman" w:cs="Times New Roman"/>
                <w:szCs w:val="21"/>
              </w:rPr>
              <w:t>是</w:t>
            </w:r>
          </w:p>
          <w:p>
            <w:pPr>
              <w:spacing w:line="320" w:lineRule="exact"/>
              <w:jc w:val="center"/>
              <w:rPr>
                <w:rFonts w:ascii="Times New Roman" w:hAnsi="Times New Roman" w:cs="Times New Roman"/>
                <w:szCs w:val="21"/>
              </w:rPr>
            </w:pPr>
            <w:r>
              <w:rPr>
                <w:rFonts w:hint="eastAsia" w:ascii="Times New Roman" w:hAnsi="Times New Roman" w:cs="Times New Roman"/>
                <w:szCs w:val="21"/>
              </w:rPr>
              <w:t>□否</w:t>
            </w:r>
          </w:p>
        </w:tc>
        <w:tc>
          <w:tcPr>
            <w:tcW w:w="840" w:type="dxa"/>
            <w:vAlign w:val="center"/>
          </w:tcPr>
          <w:p>
            <w:pPr>
              <w:spacing w:line="320" w:lineRule="exact"/>
              <w:jc w:val="center"/>
              <w:rPr>
                <w:rFonts w:ascii="Times New Roman" w:hAnsi="Times New Roman" w:cs="Times New Roman"/>
                <w:szCs w:val="21"/>
              </w:rPr>
            </w:pPr>
            <w:r>
              <w:rPr>
                <w:rFonts w:hint="eastAsia" w:ascii="MS Mincho" w:hAnsi="MS Mincho" w:eastAsia="MS Mincho" w:cs="MS Mincho"/>
                <w:szCs w:val="21"/>
              </w:rPr>
              <w:t>☑</w:t>
            </w:r>
            <w:r>
              <w:rPr>
                <w:rFonts w:hint="eastAsia" w:ascii="Times New Roman" w:hAnsi="Times New Roman" w:cs="Times New Roman"/>
                <w:szCs w:val="21"/>
              </w:rPr>
              <w:t>企业总排</w:t>
            </w:r>
          </w:p>
          <w:p>
            <w:pPr>
              <w:spacing w:line="320" w:lineRule="exact"/>
              <w:jc w:val="center"/>
              <w:rPr>
                <w:rFonts w:ascii="Times New Roman" w:hAnsi="Times New Roman" w:cs="Times New Roman"/>
                <w:szCs w:val="21"/>
              </w:rPr>
            </w:pPr>
            <w:r>
              <w:rPr>
                <w:rFonts w:hint="eastAsia" w:ascii="Times New Roman" w:hAnsi="Times New Roman" w:cs="Times New Roman"/>
                <w:szCs w:val="21"/>
              </w:rPr>
              <w:t>□雨水排放</w:t>
            </w:r>
          </w:p>
          <w:p>
            <w:pPr>
              <w:spacing w:line="320" w:lineRule="exact"/>
              <w:jc w:val="center"/>
              <w:rPr>
                <w:rFonts w:ascii="Times New Roman" w:hAnsi="Times New Roman" w:cs="Times New Roman"/>
                <w:szCs w:val="21"/>
              </w:rPr>
            </w:pPr>
            <w:r>
              <w:rPr>
                <w:rFonts w:hint="eastAsia" w:ascii="Times New Roman" w:hAnsi="Times New Roman" w:cs="Times New Roman"/>
                <w:szCs w:val="21"/>
              </w:rPr>
              <w:t>□洁净下水排放</w:t>
            </w:r>
          </w:p>
          <w:p>
            <w:pPr>
              <w:spacing w:line="320" w:lineRule="exact"/>
              <w:jc w:val="center"/>
              <w:rPr>
                <w:rFonts w:ascii="Times New Roman" w:hAnsi="Times New Roman" w:cs="Times New Roman"/>
                <w:szCs w:val="21"/>
              </w:rPr>
            </w:pPr>
            <w:r>
              <w:rPr>
                <w:rFonts w:hint="eastAsia" w:ascii="Times New Roman" w:hAnsi="Times New Roman" w:cs="Times New Roman"/>
                <w:szCs w:val="21"/>
              </w:rPr>
              <w:t>□温排水排放</w:t>
            </w:r>
          </w:p>
          <w:p>
            <w:pPr>
              <w:spacing w:line="320" w:lineRule="exact"/>
              <w:jc w:val="center"/>
              <w:rPr>
                <w:rFonts w:ascii="Times New Roman" w:hAnsi="Times New Roman" w:cs="Times New Roman"/>
                <w:szCs w:val="21"/>
              </w:rPr>
            </w:pPr>
            <w:r>
              <w:rPr>
                <w:rFonts w:hint="eastAsia" w:ascii="Times New Roman" w:hAnsi="Times New Roman" w:cs="Times New Roman"/>
                <w:szCs w:val="21"/>
              </w:rPr>
              <w:t>□车间或车间处理设施排放口</w:t>
            </w:r>
          </w:p>
        </w:tc>
      </w:tr>
    </w:tbl>
    <w:p>
      <w:pPr>
        <w:spacing w:line="360" w:lineRule="auto"/>
        <w:ind w:firstLine="480" w:firstLineChars="200"/>
        <w:rPr>
          <w:rFonts w:ascii="Times New Roman" w:hAnsi="Times New Roman" w:cs="Times New Roman"/>
          <w:sz w:val="24"/>
          <w:szCs w:val="24"/>
        </w:rPr>
      </w:pPr>
      <w:r>
        <w:rPr>
          <w:rFonts w:hint="eastAsia" w:cs="Times New Roman" w:asciiTheme="minorEastAsia" w:hAnsiTheme="minorEastAsia"/>
          <w:sz w:val="24"/>
          <w:szCs w:val="24"/>
        </w:rPr>
        <w:t>②</w:t>
      </w:r>
      <w:r>
        <w:rPr>
          <w:rFonts w:hint="eastAsia" w:ascii="Times New Roman" w:hAnsi="Times New Roman" w:cs="Times New Roman"/>
          <w:sz w:val="24"/>
          <w:szCs w:val="24"/>
        </w:rPr>
        <w:t>废水间接排放口基本情况见表5-18。</w:t>
      </w: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r>
        <w:rPr>
          <w:rFonts w:hint="eastAsia" w:ascii="Times New Roman" w:hAnsi="Times New Roman" w:cs="Times New Roman"/>
          <w:b/>
          <w:sz w:val="24"/>
          <w:szCs w:val="24"/>
        </w:rPr>
        <w:t>表5-18  废水间接排放口基本情况表</w:t>
      </w:r>
    </w:p>
    <w:tbl>
      <w:tblPr>
        <w:tblStyle w:val="28"/>
        <w:tblW w:w="89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881"/>
        <w:gridCol w:w="1424"/>
        <w:gridCol w:w="1326"/>
        <w:gridCol w:w="1109"/>
        <w:gridCol w:w="445"/>
        <w:gridCol w:w="644"/>
        <w:gridCol w:w="445"/>
        <w:gridCol w:w="445"/>
        <w:gridCol w:w="730"/>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433" w:type="dxa"/>
            <w:vMerge w:val="restart"/>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序号</w:t>
            </w:r>
          </w:p>
        </w:tc>
        <w:tc>
          <w:tcPr>
            <w:tcW w:w="881" w:type="dxa"/>
            <w:vMerge w:val="restart"/>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排放口编号</w:t>
            </w:r>
          </w:p>
        </w:tc>
        <w:tc>
          <w:tcPr>
            <w:tcW w:w="2750" w:type="dxa"/>
            <w:gridSpan w:val="2"/>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排放口地理坐标</w:t>
            </w:r>
          </w:p>
        </w:tc>
        <w:tc>
          <w:tcPr>
            <w:tcW w:w="1109" w:type="dxa"/>
            <w:vMerge w:val="restart"/>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废水排放量/（万t/a）</w:t>
            </w:r>
          </w:p>
        </w:tc>
        <w:tc>
          <w:tcPr>
            <w:tcW w:w="445" w:type="dxa"/>
            <w:vMerge w:val="restart"/>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排放去向</w:t>
            </w:r>
          </w:p>
        </w:tc>
        <w:tc>
          <w:tcPr>
            <w:tcW w:w="644" w:type="dxa"/>
            <w:vMerge w:val="restart"/>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排放规律</w:t>
            </w:r>
          </w:p>
        </w:tc>
        <w:tc>
          <w:tcPr>
            <w:tcW w:w="445" w:type="dxa"/>
            <w:vMerge w:val="restart"/>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间歇排放时段</w:t>
            </w:r>
          </w:p>
        </w:tc>
        <w:tc>
          <w:tcPr>
            <w:tcW w:w="2266" w:type="dxa"/>
            <w:gridSpan w:val="3"/>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433" w:type="dxa"/>
            <w:vMerge w:val="continue"/>
            <w:vAlign w:val="center"/>
          </w:tcPr>
          <w:p>
            <w:pPr>
              <w:spacing w:line="320" w:lineRule="exact"/>
              <w:jc w:val="center"/>
              <w:rPr>
                <w:rFonts w:ascii="Times New Roman" w:hAnsi="Times New Roman" w:cs="Times New Roman"/>
                <w:szCs w:val="21"/>
              </w:rPr>
            </w:pPr>
          </w:p>
        </w:tc>
        <w:tc>
          <w:tcPr>
            <w:tcW w:w="881" w:type="dxa"/>
            <w:vMerge w:val="continue"/>
            <w:vAlign w:val="center"/>
          </w:tcPr>
          <w:p>
            <w:pPr>
              <w:spacing w:line="320" w:lineRule="exact"/>
              <w:jc w:val="center"/>
              <w:rPr>
                <w:rFonts w:ascii="Times New Roman" w:hAnsi="Times New Roman" w:cs="Times New Roman"/>
                <w:szCs w:val="21"/>
              </w:rPr>
            </w:pPr>
          </w:p>
        </w:tc>
        <w:tc>
          <w:tcPr>
            <w:tcW w:w="1424" w:type="dxa"/>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经度</w:t>
            </w:r>
          </w:p>
        </w:tc>
        <w:tc>
          <w:tcPr>
            <w:tcW w:w="1326" w:type="dxa"/>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纬度</w:t>
            </w:r>
          </w:p>
        </w:tc>
        <w:tc>
          <w:tcPr>
            <w:tcW w:w="1109" w:type="dxa"/>
            <w:vMerge w:val="continue"/>
            <w:vAlign w:val="center"/>
          </w:tcPr>
          <w:p>
            <w:pPr>
              <w:spacing w:line="320" w:lineRule="exact"/>
              <w:jc w:val="center"/>
              <w:rPr>
                <w:rFonts w:ascii="Times New Roman" w:hAnsi="Times New Roman" w:cs="Times New Roman"/>
                <w:szCs w:val="21"/>
              </w:rPr>
            </w:pPr>
          </w:p>
        </w:tc>
        <w:tc>
          <w:tcPr>
            <w:tcW w:w="445" w:type="dxa"/>
            <w:vMerge w:val="continue"/>
            <w:vAlign w:val="center"/>
          </w:tcPr>
          <w:p>
            <w:pPr>
              <w:spacing w:line="320" w:lineRule="exact"/>
              <w:jc w:val="center"/>
              <w:rPr>
                <w:rFonts w:ascii="Times New Roman" w:hAnsi="Times New Roman" w:cs="Times New Roman"/>
                <w:szCs w:val="21"/>
              </w:rPr>
            </w:pPr>
          </w:p>
        </w:tc>
        <w:tc>
          <w:tcPr>
            <w:tcW w:w="644" w:type="dxa"/>
            <w:vMerge w:val="continue"/>
            <w:vAlign w:val="center"/>
          </w:tcPr>
          <w:p>
            <w:pPr>
              <w:spacing w:line="320" w:lineRule="exact"/>
              <w:jc w:val="center"/>
              <w:rPr>
                <w:rFonts w:ascii="Times New Roman" w:hAnsi="Times New Roman" w:cs="Times New Roman"/>
                <w:szCs w:val="21"/>
              </w:rPr>
            </w:pPr>
          </w:p>
        </w:tc>
        <w:tc>
          <w:tcPr>
            <w:tcW w:w="445" w:type="dxa"/>
            <w:vMerge w:val="continue"/>
            <w:vAlign w:val="center"/>
          </w:tcPr>
          <w:p>
            <w:pPr>
              <w:spacing w:line="320" w:lineRule="exact"/>
              <w:jc w:val="center"/>
              <w:rPr>
                <w:rFonts w:ascii="Times New Roman" w:hAnsi="Times New Roman" w:cs="Times New Roman"/>
                <w:szCs w:val="21"/>
              </w:rPr>
            </w:pPr>
          </w:p>
        </w:tc>
        <w:tc>
          <w:tcPr>
            <w:tcW w:w="445" w:type="dxa"/>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名称</w:t>
            </w:r>
          </w:p>
        </w:tc>
        <w:tc>
          <w:tcPr>
            <w:tcW w:w="730" w:type="dxa"/>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污染物种类</w:t>
            </w:r>
          </w:p>
        </w:tc>
        <w:tc>
          <w:tcPr>
            <w:tcW w:w="1091" w:type="dxa"/>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国家或地方污染物排放标准浓度限值/（mg/L）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433" w:type="dxa"/>
            <w:vMerge w:val="restart"/>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1</w:t>
            </w:r>
          </w:p>
        </w:tc>
        <w:tc>
          <w:tcPr>
            <w:tcW w:w="881" w:type="dxa"/>
            <w:vMerge w:val="restart"/>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DW001</w:t>
            </w:r>
          </w:p>
        </w:tc>
        <w:tc>
          <w:tcPr>
            <w:tcW w:w="1424" w:type="dxa"/>
            <w:vMerge w:val="restart"/>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115°</w:t>
            </w:r>
            <w:r>
              <w:rPr>
                <w:rFonts w:hint="eastAsia" w:ascii="Times New Roman" w:hAnsi="Times New Roman" w:cs="Times New Roman"/>
                <w:szCs w:val="21"/>
              </w:rPr>
              <w:t>30</w:t>
            </w:r>
            <w:r>
              <w:rPr>
                <w:rFonts w:ascii="Times New Roman" w:hAnsi="Times New Roman" w:cs="Times New Roman"/>
                <w:szCs w:val="21"/>
              </w:rPr>
              <w:t>′</w:t>
            </w:r>
            <w:r>
              <w:rPr>
                <w:rFonts w:hint="eastAsia" w:ascii="Times New Roman" w:hAnsi="Times New Roman" w:cs="Times New Roman"/>
                <w:szCs w:val="21"/>
              </w:rPr>
              <w:t>21.56</w:t>
            </w:r>
            <w:r>
              <w:rPr>
                <w:rFonts w:ascii="Times New Roman" w:hAnsi="Times New Roman" w:cs="Times New Roman"/>
                <w:szCs w:val="21"/>
              </w:rPr>
              <w:t>″</w:t>
            </w:r>
          </w:p>
        </w:tc>
        <w:tc>
          <w:tcPr>
            <w:tcW w:w="1326" w:type="dxa"/>
            <w:vMerge w:val="restart"/>
            <w:vAlign w:val="center"/>
          </w:tcPr>
          <w:p>
            <w:pPr>
              <w:spacing w:line="320" w:lineRule="exact"/>
              <w:jc w:val="center"/>
              <w:rPr>
                <w:rFonts w:ascii="Times New Roman" w:hAnsi="Times New Roman" w:cs="Times New Roman"/>
                <w:szCs w:val="21"/>
              </w:rPr>
            </w:pPr>
            <w:r>
              <w:rPr>
                <w:rFonts w:ascii="Times New Roman" w:hAnsi="Times New Roman" w:cs="Times New Roman"/>
                <w:szCs w:val="21"/>
              </w:rPr>
              <w:t>3</w:t>
            </w:r>
            <w:r>
              <w:rPr>
                <w:rFonts w:hint="eastAsia" w:ascii="Times New Roman" w:hAnsi="Times New Roman" w:cs="Times New Roman"/>
                <w:szCs w:val="21"/>
              </w:rPr>
              <w:t>8</w:t>
            </w:r>
            <w:r>
              <w:rPr>
                <w:rFonts w:ascii="Times New Roman" w:hAnsi="Times New Roman" w:cs="Times New Roman"/>
                <w:szCs w:val="21"/>
              </w:rPr>
              <w:t>°</w:t>
            </w:r>
            <w:r>
              <w:rPr>
                <w:rFonts w:hint="eastAsia" w:ascii="Times New Roman" w:hAnsi="Times New Roman" w:cs="Times New Roman"/>
                <w:szCs w:val="21"/>
              </w:rPr>
              <w:t>29</w:t>
            </w:r>
            <w:r>
              <w:rPr>
                <w:rFonts w:ascii="Times New Roman" w:hAnsi="Times New Roman" w:cs="Times New Roman"/>
                <w:szCs w:val="21"/>
              </w:rPr>
              <w:t>′</w:t>
            </w:r>
            <w:r>
              <w:rPr>
                <w:rFonts w:hint="eastAsia" w:ascii="Times New Roman" w:hAnsi="Times New Roman" w:cs="Times New Roman"/>
                <w:szCs w:val="21"/>
              </w:rPr>
              <w:t>30.64</w:t>
            </w:r>
            <w:r>
              <w:rPr>
                <w:rFonts w:ascii="Times New Roman" w:hAnsi="Times New Roman" w:cs="Times New Roman"/>
                <w:szCs w:val="21"/>
              </w:rPr>
              <w:t>″</w:t>
            </w:r>
          </w:p>
        </w:tc>
        <w:tc>
          <w:tcPr>
            <w:tcW w:w="1109" w:type="dxa"/>
            <w:vMerge w:val="restart"/>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14.442539</w:t>
            </w:r>
          </w:p>
        </w:tc>
        <w:tc>
          <w:tcPr>
            <w:tcW w:w="445" w:type="dxa"/>
            <w:vMerge w:val="restart"/>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银定庄污水处理厂</w:t>
            </w:r>
          </w:p>
        </w:tc>
        <w:tc>
          <w:tcPr>
            <w:tcW w:w="644" w:type="dxa"/>
            <w:vMerge w:val="restart"/>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连续排放，流量稳定</w:t>
            </w:r>
          </w:p>
        </w:tc>
        <w:tc>
          <w:tcPr>
            <w:tcW w:w="445" w:type="dxa"/>
            <w:vMerge w:val="restart"/>
            <w:vAlign w:val="center"/>
          </w:tcPr>
          <w:p>
            <w:pPr>
              <w:spacing w:line="320" w:lineRule="exact"/>
              <w:jc w:val="center"/>
              <w:rPr>
                <w:rFonts w:ascii="Times New Roman" w:hAnsi="Times New Roman" w:cs="Times New Roman"/>
                <w:szCs w:val="21"/>
              </w:rPr>
            </w:pPr>
            <w:r>
              <w:rPr>
                <w:rFonts w:hint="eastAsia" w:cs="Times New Roman" w:asciiTheme="minorEastAsia" w:hAnsiTheme="minorEastAsia"/>
                <w:szCs w:val="21"/>
              </w:rPr>
              <w:t>─</w:t>
            </w:r>
          </w:p>
        </w:tc>
        <w:tc>
          <w:tcPr>
            <w:tcW w:w="445" w:type="dxa"/>
            <w:vMerge w:val="restart"/>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银定庄污水处理厂</w:t>
            </w:r>
          </w:p>
        </w:tc>
        <w:tc>
          <w:tcPr>
            <w:tcW w:w="730" w:type="dxa"/>
            <w:vAlign w:val="center"/>
          </w:tcPr>
          <w:p>
            <w:pPr>
              <w:spacing w:line="30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COD</w:t>
            </w:r>
          </w:p>
        </w:tc>
        <w:tc>
          <w:tcPr>
            <w:tcW w:w="1091" w:type="dxa"/>
            <w:vAlign w:val="center"/>
          </w:tcPr>
          <w:p>
            <w:pPr>
              <w:spacing w:line="30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433" w:type="dxa"/>
            <w:vMerge w:val="continue"/>
            <w:vAlign w:val="center"/>
          </w:tcPr>
          <w:p>
            <w:pPr>
              <w:spacing w:line="320" w:lineRule="exact"/>
              <w:jc w:val="center"/>
              <w:rPr>
                <w:rFonts w:ascii="Times New Roman" w:hAnsi="Times New Roman" w:cs="Times New Roman"/>
                <w:szCs w:val="21"/>
              </w:rPr>
            </w:pPr>
          </w:p>
        </w:tc>
        <w:tc>
          <w:tcPr>
            <w:tcW w:w="881" w:type="dxa"/>
            <w:vMerge w:val="continue"/>
            <w:vAlign w:val="center"/>
          </w:tcPr>
          <w:p>
            <w:pPr>
              <w:spacing w:line="320" w:lineRule="exact"/>
              <w:jc w:val="center"/>
              <w:rPr>
                <w:rFonts w:ascii="Times New Roman" w:hAnsi="Times New Roman" w:cs="Times New Roman"/>
                <w:szCs w:val="21"/>
              </w:rPr>
            </w:pPr>
          </w:p>
        </w:tc>
        <w:tc>
          <w:tcPr>
            <w:tcW w:w="1424" w:type="dxa"/>
            <w:vMerge w:val="continue"/>
            <w:vAlign w:val="center"/>
          </w:tcPr>
          <w:p>
            <w:pPr>
              <w:spacing w:line="320" w:lineRule="exact"/>
              <w:jc w:val="center"/>
              <w:rPr>
                <w:rFonts w:ascii="Times New Roman" w:hAnsi="Times New Roman" w:cs="Times New Roman"/>
                <w:szCs w:val="21"/>
              </w:rPr>
            </w:pPr>
          </w:p>
        </w:tc>
        <w:tc>
          <w:tcPr>
            <w:tcW w:w="1326" w:type="dxa"/>
            <w:vMerge w:val="continue"/>
            <w:vAlign w:val="center"/>
          </w:tcPr>
          <w:p>
            <w:pPr>
              <w:spacing w:line="320" w:lineRule="exact"/>
              <w:jc w:val="center"/>
              <w:rPr>
                <w:rFonts w:ascii="Times New Roman" w:hAnsi="Times New Roman" w:cs="Times New Roman"/>
                <w:szCs w:val="21"/>
              </w:rPr>
            </w:pPr>
          </w:p>
        </w:tc>
        <w:tc>
          <w:tcPr>
            <w:tcW w:w="1109" w:type="dxa"/>
            <w:vMerge w:val="continue"/>
            <w:vAlign w:val="center"/>
          </w:tcPr>
          <w:p>
            <w:pPr>
              <w:spacing w:line="320" w:lineRule="exact"/>
              <w:jc w:val="center"/>
              <w:rPr>
                <w:rFonts w:ascii="Times New Roman" w:hAnsi="Times New Roman" w:cs="Times New Roman"/>
                <w:szCs w:val="21"/>
              </w:rPr>
            </w:pPr>
          </w:p>
        </w:tc>
        <w:tc>
          <w:tcPr>
            <w:tcW w:w="445" w:type="dxa"/>
            <w:vMerge w:val="continue"/>
            <w:vAlign w:val="center"/>
          </w:tcPr>
          <w:p>
            <w:pPr>
              <w:spacing w:line="320" w:lineRule="exact"/>
              <w:jc w:val="center"/>
              <w:rPr>
                <w:rFonts w:ascii="Times New Roman" w:hAnsi="Times New Roman" w:cs="Times New Roman"/>
                <w:szCs w:val="21"/>
              </w:rPr>
            </w:pPr>
          </w:p>
        </w:tc>
        <w:tc>
          <w:tcPr>
            <w:tcW w:w="644" w:type="dxa"/>
            <w:vMerge w:val="continue"/>
            <w:vAlign w:val="center"/>
          </w:tcPr>
          <w:p>
            <w:pPr>
              <w:spacing w:line="320" w:lineRule="exact"/>
              <w:jc w:val="center"/>
              <w:rPr>
                <w:rFonts w:ascii="Times New Roman" w:hAnsi="Times New Roman" w:cs="Times New Roman"/>
                <w:szCs w:val="21"/>
              </w:rPr>
            </w:pPr>
          </w:p>
        </w:tc>
        <w:tc>
          <w:tcPr>
            <w:tcW w:w="445" w:type="dxa"/>
            <w:vMerge w:val="continue"/>
            <w:vAlign w:val="center"/>
          </w:tcPr>
          <w:p>
            <w:pPr>
              <w:spacing w:line="320" w:lineRule="exact"/>
              <w:jc w:val="center"/>
              <w:rPr>
                <w:rFonts w:cs="Times New Roman" w:asciiTheme="minorEastAsia" w:hAnsiTheme="minorEastAsia"/>
                <w:szCs w:val="21"/>
              </w:rPr>
            </w:pPr>
          </w:p>
        </w:tc>
        <w:tc>
          <w:tcPr>
            <w:tcW w:w="445" w:type="dxa"/>
            <w:vMerge w:val="continue"/>
            <w:vAlign w:val="center"/>
          </w:tcPr>
          <w:p>
            <w:pPr>
              <w:spacing w:line="320" w:lineRule="exact"/>
              <w:jc w:val="center"/>
              <w:rPr>
                <w:rFonts w:ascii="Times New Roman" w:hAnsi="Times New Roman" w:cs="Times New Roman"/>
                <w:szCs w:val="21"/>
              </w:rPr>
            </w:pPr>
          </w:p>
        </w:tc>
        <w:tc>
          <w:tcPr>
            <w:tcW w:w="730" w:type="dxa"/>
            <w:vAlign w:val="center"/>
          </w:tcPr>
          <w:p>
            <w:pPr>
              <w:spacing w:line="30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氨氮</w:t>
            </w:r>
          </w:p>
        </w:tc>
        <w:tc>
          <w:tcPr>
            <w:tcW w:w="1091" w:type="dxa"/>
            <w:vAlign w:val="center"/>
          </w:tcPr>
          <w:p>
            <w:pPr>
              <w:spacing w:line="30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trPr>
        <w:tc>
          <w:tcPr>
            <w:tcW w:w="433" w:type="dxa"/>
            <w:vMerge w:val="continue"/>
            <w:vAlign w:val="center"/>
          </w:tcPr>
          <w:p>
            <w:pPr>
              <w:spacing w:line="320" w:lineRule="exact"/>
              <w:jc w:val="center"/>
              <w:rPr>
                <w:rFonts w:ascii="Times New Roman" w:hAnsi="Times New Roman" w:cs="Times New Roman"/>
                <w:szCs w:val="21"/>
              </w:rPr>
            </w:pPr>
          </w:p>
        </w:tc>
        <w:tc>
          <w:tcPr>
            <w:tcW w:w="881" w:type="dxa"/>
            <w:vMerge w:val="continue"/>
            <w:vAlign w:val="center"/>
          </w:tcPr>
          <w:p>
            <w:pPr>
              <w:spacing w:line="320" w:lineRule="exact"/>
              <w:jc w:val="center"/>
              <w:rPr>
                <w:rFonts w:ascii="Times New Roman" w:hAnsi="Times New Roman" w:cs="Times New Roman"/>
                <w:szCs w:val="21"/>
              </w:rPr>
            </w:pPr>
          </w:p>
        </w:tc>
        <w:tc>
          <w:tcPr>
            <w:tcW w:w="1424" w:type="dxa"/>
            <w:vMerge w:val="continue"/>
            <w:vAlign w:val="center"/>
          </w:tcPr>
          <w:p>
            <w:pPr>
              <w:spacing w:line="320" w:lineRule="exact"/>
              <w:jc w:val="center"/>
              <w:rPr>
                <w:rFonts w:ascii="Times New Roman" w:hAnsi="Times New Roman" w:cs="Times New Roman"/>
                <w:szCs w:val="21"/>
              </w:rPr>
            </w:pPr>
          </w:p>
        </w:tc>
        <w:tc>
          <w:tcPr>
            <w:tcW w:w="1326" w:type="dxa"/>
            <w:vMerge w:val="continue"/>
            <w:vAlign w:val="center"/>
          </w:tcPr>
          <w:p>
            <w:pPr>
              <w:spacing w:line="320" w:lineRule="exact"/>
              <w:jc w:val="center"/>
              <w:rPr>
                <w:rFonts w:ascii="Times New Roman" w:hAnsi="Times New Roman" w:cs="Times New Roman"/>
                <w:szCs w:val="21"/>
              </w:rPr>
            </w:pPr>
          </w:p>
        </w:tc>
        <w:tc>
          <w:tcPr>
            <w:tcW w:w="1109" w:type="dxa"/>
            <w:vMerge w:val="continue"/>
            <w:vAlign w:val="center"/>
          </w:tcPr>
          <w:p>
            <w:pPr>
              <w:spacing w:line="320" w:lineRule="exact"/>
              <w:jc w:val="center"/>
              <w:rPr>
                <w:rFonts w:ascii="Times New Roman" w:hAnsi="Times New Roman" w:cs="Times New Roman"/>
                <w:szCs w:val="21"/>
              </w:rPr>
            </w:pPr>
          </w:p>
        </w:tc>
        <w:tc>
          <w:tcPr>
            <w:tcW w:w="445" w:type="dxa"/>
            <w:vMerge w:val="continue"/>
            <w:vAlign w:val="center"/>
          </w:tcPr>
          <w:p>
            <w:pPr>
              <w:spacing w:line="320" w:lineRule="exact"/>
              <w:jc w:val="center"/>
              <w:rPr>
                <w:rFonts w:ascii="Times New Roman" w:hAnsi="Times New Roman" w:cs="Times New Roman"/>
                <w:szCs w:val="21"/>
              </w:rPr>
            </w:pPr>
          </w:p>
        </w:tc>
        <w:tc>
          <w:tcPr>
            <w:tcW w:w="644" w:type="dxa"/>
            <w:vMerge w:val="continue"/>
            <w:vAlign w:val="center"/>
          </w:tcPr>
          <w:p>
            <w:pPr>
              <w:spacing w:line="320" w:lineRule="exact"/>
              <w:jc w:val="center"/>
              <w:rPr>
                <w:rFonts w:ascii="Times New Roman" w:hAnsi="Times New Roman" w:cs="Times New Roman"/>
                <w:szCs w:val="21"/>
              </w:rPr>
            </w:pPr>
          </w:p>
        </w:tc>
        <w:tc>
          <w:tcPr>
            <w:tcW w:w="445" w:type="dxa"/>
            <w:vMerge w:val="continue"/>
            <w:vAlign w:val="center"/>
          </w:tcPr>
          <w:p>
            <w:pPr>
              <w:spacing w:line="320" w:lineRule="exact"/>
              <w:jc w:val="center"/>
              <w:rPr>
                <w:rFonts w:cs="Times New Roman" w:asciiTheme="minorEastAsia" w:hAnsiTheme="minorEastAsia"/>
                <w:szCs w:val="21"/>
              </w:rPr>
            </w:pPr>
          </w:p>
        </w:tc>
        <w:tc>
          <w:tcPr>
            <w:tcW w:w="445" w:type="dxa"/>
            <w:vMerge w:val="continue"/>
            <w:vAlign w:val="center"/>
          </w:tcPr>
          <w:p>
            <w:pPr>
              <w:spacing w:line="320" w:lineRule="exact"/>
              <w:jc w:val="center"/>
              <w:rPr>
                <w:rFonts w:ascii="Times New Roman" w:hAnsi="Times New Roman" w:cs="Times New Roman"/>
                <w:szCs w:val="21"/>
              </w:rPr>
            </w:pPr>
          </w:p>
        </w:tc>
        <w:tc>
          <w:tcPr>
            <w:tcW w:w="730" w:type="dxa"/>
            <w:vAlign w:val="center"/>
          </w:tcPr>
          <w:p>
            <w:pPr>
              <w:spacing w:line="30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总氮</w:t>
            </w:r>
          </w:p>
        </w:tc>
        <w:tc>
          <w:tcPr>
            <w:tcW w:w="1091" w:type="dxa"/>
            <w:vAlign w:val="center"/>
          </w:tcPr>
          <w:p>
            <w:pPr>
              <w:spacing w:line="30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trPr>
        <w:tc>
          <w:tcPr>
            <w:tcW w:w="433" w:type="dxa"/>
            <w:vMerge w:val="continue"/>
            <w:vAlign w:val="center"/>
          </w:tcPr>
          <w:p>
            <w:pPr>
              <w:spacing w:line="320" w:lineRule="exact"/>
              <w:jc w:val="center"/>
              <w:rPr>
                <w:rFonts w:ascii="Times New Roman" w:hAnsi="Times New Roman" w:cs="Times New Roman"/>
                <w:szCs w:val="21"/>
              </w:rPr>
            </w:pPr>
          </w:p>
        </w:tc>
        <w:tc>
          <w:tcPr>
            <w:tcW w:w="881" w:type="dxa"/>
            <w:vMerge w:val="continue"/>
            <w:vAlign w:val="center"/>
          </w:tcPr>
          <w:p>
            <w:pPr>
              <w:spacing w:line="320" w:lineRule="exact"/>
              <w:jc w:val="center"/>
              <w:rPr>
                <w:rFonts w:ascii="Times New Roman" w:hAnsi="Times New Roman" w:cs="Times New Roman"/>
                <w:szCs w:val="21"/>
              </w:rPr>
            </w:pPr>
          </w:p>
        </w:tc>
        <w:tc>
          <w:tcPr>
            <w:tcW w:w="1424" w:type="dxa"/>
            <w:vMerge w:val="continue"/>
            <w:vAlign w:val="center"/>
          </w:tcPr>
          <w:p>
            <w:pPr>
              <w:spacing w:line="320" w:lineRule="exact"/>
              <w:jc w:val="center"/>
              <w:rPr>
                <w:rFonts w:ascii="Times New Roman" w:hAnsi="Times New Roman" w:cs="Times New Roman"/>
                <w:szCs w:val="21"/>
              </w:rPr>
            </w:pPr>
          </w:p>
        </w:tc>
        <w:tc>
          <w:tcPr>
            <w:tcW w:w="1326" w:type="dxa"/>
            <w:vMerge w:val="continue"/>
            <w:vAlign w:val="center"/>
          </w:tcPr>
          <w:p>
            <w:pPr>
              <w:spacing w:line="320" w:lineRule="exact"/>
              <w:jc w:val="center"/>
              <w:rPr>
                <w:rFonts w:ascii="Times New Roman" w:hAnsi="Times New Roman" w:cs="Times New Roman"/>
                <w:szCs w:val="21"/>
              </w:rPr>
            </w:pPr>
          </w:p>
        </w:tc>
        <w:tc>
          <w:tcPr>
            <w:tcW w:w="1109" w:type="dxa"/>
            <w:vMerge w:val="continue"/>
            <w:vAlign w:val="center"/>
          </w:tcPr>
          <w:p>
            <w:pPr>
              <w:spacing w:line="320" w:lineRule="exact"/>
              <w:jc w:val="center"/>
              <w:rPr>
                <w:rFonts w:ascii="Times New Roman" w:hAnsi="Times New Roman" w:cs="Times New Roman"/>
                <w:szCs w:val="21"/>
              </w:rPr>
            </w:pPr>
          </w:p>
        </w:tc>
        <w:tc>
          <w:tcPr>
            <w:tcW w:w="445" w:type="dxa"/>
            <w:vMerge w:val="continue"/>
            <w:vAlign w:val="center"/>
          </w:tcPr>
          <w:p>
            <w:pPr>
              <w:spacing w:line="320" w:lineRule="exact"/>
              <w:jc w:val="center"/>
              <w:rPr>
                <w:rFonts w:ascii="Times New Roman" w:hAnsi="Times New Roman" w:cs="Times New Roman"/>
                <w:szCs w:val="21"/>
              </w:rPr>
            </w:pPr>
          </w:p>
        </w:tc>
        <w:tc>
          <w:tcPr>
            <w:tcW w:w="644" w:type="dxa"/>
            <w:vMerge w:val="continue"/>
            <w:vAlign w:val="center"/>
          </w:tcPr>
          <w:p>
            <w:pPr>
              <w:spacing w:line="320" w:lineRule="exact"/>
              <w:jc w:val="center"/>
              <w:rPr>
                <w:rFonts w:ascii="Times New Roman" w:hAnsi="Times New Roman" w:cs="Times New Roman"/>
                <w:szCs w:val="21"/>
              </w:rPr>
            </w:pPr>
          </w:p>
        </w:tc>
        <w:tc>
          <w:tcPr>
            <w:tcW w:w="445" w:type="dxa"/>
            <w:vMerge w:val="continue"/>
            <w:vAlign w:val="center"/>
          </w:tcPr>
          <w:p>
            <w:pPr>
              <w:spacing w:line="320" w:lineRule="exact"/>
              <w:jc w:val="center"/>
              <w:rPr>
                <w:rFonts w:cs="Times New Roman" w:asciiTheme="minorEastAsia" w:hAnsiTheme="minorEastAsia"/>
                <w:szCs w:val="21"/>
              </w:rPr>
            </w:pPr>
          </w:p>
        </w:tc>
        <w:tc>
          <w:tcPr>
            <w:tcW w:w="445" w:type="dxa"/>
            <w:vMerge w:val="continue"/>
            <w:vAlign w:val="center"/>
          </w:tcPr>
          <w:p>
            <w:pPr>
              <w:spacing w:line="320" w:lineRule="exact"/>
              <w:jc w:val="center"/>
              <w:rPr>
                <w:rFonts w:ascii="Times New Roman" w:hAnsi="Times New Roman" w:cs="Times New Roman"/>
                <w:szCs w:val="21"/>
              </w:rPr>
            </w:pPr>
          </w:p>
        </w:tc>
        <w:tc>
          <w:tcPr>
            <w:tcW w:w="730" w:type="dxa"/>
            <w:vAlign w:val="center"/>
          </w:tcPr>
          <w:p>
            <w:pPr>
              <w:spacing w:line="30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总磷</w:t>
            </w:r>
          </w:p>
        </w:tc>
        <w:tc>
          <w:tcPr>
            <w:tcW w:w="1091" w:type="dxa"/>
            <w:vAlign w:val="center"/>
          </w:tcPr>
          <w:p>
            <w:pPr>
              <w:spacing w:line="30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433" w:type="dxa"/>
            <w:vMerge w:val="continue"/>
            <w:vAlign w:val="center"/>
          </w:tcPr>
          <w:p>
            <w:pPr>
              <w:spacing w:line="320" w:lineRule="exact"/>
              <w:jc w:val="center"/>
              <w:rPr>
                <w:rFonts w:ascii="Times New Roman" w:hAnsi="Times New Roman" w:cs="Times New Roman"/>
                <w:szCs w:val="21"/>
              </w:rPr>
            </w:pPr>
          </w:p>
        </w:tc>
        <w:tc>
          <w:tcPr>
            <w:tcW w:w="881" w:type="dxa"/>
            <w:vMerge w:val="continue"/>
            <w:vAlign w:val="center"/>
          </w:tcPr>
          <w:p>
            <w:pPr>
              <w:spacing w:line="320" w:lineRule="exact"/>
              <w:jc w:val="center"/>
              <w:rPr>
                <w:rFonts w:ascii="Times New Roman" w:hAnsi="Times New Roman" w:cs="Times New Roman"/>
                <w:szCs w:val="21"/>
              </w:rPr>
            </w:pPr>
          </w:p>
        </w:tc>
        <w:tc>
          <w:tcPr>
            <w:tcW w:w="1424" w:type="dxa"/>
            <w:vMerge w:val="continue"/>
            <w:vAlign w:val="center"/>
          </w:tcPr>
          <w:p>
            <w:pPr>
              <w:spacing w:line="320" w:lineRule="exact"/>
              <w:jc w:val="center"/>
              <w:rPr>
                <w:rFonts w:ascii="Times New Roman" w:hAnsi="Times New Roman" w:cs="Times New Roman"/>
                <w:szCs w:val="21"/>
              </w:rPr>
            </w:pPr>
          </w:p>
        </w:tc>
        <w:tc>
          <w:tcPr>
            <w:tcW w:w="1326" w:type="dxa"/>
            <w:vMerge w:val="continue"/>
            <w:vAlign w:val="center"/>
          </w:tcPr>
          <w:p>
            <w:pPr>
              <w:spacing w:line="320" w:lineRule="exact"/>
              <w:jc w:val="center"/>
              <w:rPr>
                <w:rFonts w:ascii="Times New Roman" w:hAnsi="Times New Roman" w:cs="Times New Roman"/>
                <w:szCs w:val="21"/>
              </w:rPr>
            </w:pPr>
          </w:p>
        </w:tc>
        <w:tc>
          <w:tcPr>
            <w:tcW w:w="1109" w:type="dxa"/>
            <w:vMerge w:val="continue"/>
            <w:vAlign w:val="center"/>
          </w:tcPr>
          <w:p>
            <w:pPr>
              <w:spacing w:line="320" w:lineRule="exact"/>
              <w:jc w:val="center"/>
              <w:rPr>
                <w:rFonts w:ascii="Times New Roman" w:hAnsi="Times New Roman" w:cs="Times New Roman"/>
                <w:szCs w:val="21"/>
              </w:rPr>
            </w:pPr>
          </w:p>
        </w:tc>
        <w:tc>
          <w:tcPr>
            <w:tcW w:w="445" w:type="dxa"/>
            <w:vMerge w:val="continue"/>
            <w:vAlign w:val="center"/>
          </w:tcPr>
          <w:p>
            <w:pPr>
              <w:spacing w:line="320" w:lineRule="exact"/>
              <w:jc w:val="center"/>
              <w:rPr>
                <w:rFonts w:ascii="Times New Roman" w:hAnsi="Times New Roman" w:cs="Times New Roman"/>
                <w:szCs w:val="21"/>
              </w:rPr>
            </w:pPr>
          </w:p>
        </w:tc>
        <w:tc>
          <w:tcPr>
            <w:tcW w:w="644" w:type="dxa"/>
            <w:vMerge w:val="continue"/>
            <w:vAlign w:val="center"/>
          </w:tcPr>
          <w:p>
            <w:pPr>
              <w:spacing w:line="320" w:lineRule="exact"/>
              <w:jc w:val="center"/>
              <w:rPr>
                <w:rFonts w:ascii="Times New Roman" w:hAnsi="Times New Roman" w:cs="Times New Roman"/>
                <w:szCs w:val="21"/>
              </w:rPr>
            </w:pPr>
          </w:p>
        </w:tc>
        <w:tc>
          <w:tcPr>
            <w:tcW w:w="445" w:type="dxa"/>
            <w:vMerge w:val="continue"/>
            <w:vAlign w:val="center"/>
          </w:tcPr>
          <w:p>
            <w:pPr>
              <w:spacing w:line="320" w:lineRule="exact"/>
              <w:jc w:val="center"/>
              <w:rPr>
                <w:rFonts w:cs="Times New Roman" w:asciiTheme="minorEastAsia" w:hAnsiTheme="minorEastAsia"/>
                <w:szCs w:val="21"/>
              </w:rPr>
            </w:pPr>
          </w:p>
        </w:tc>
        <w:tc>
          <w:tcPr>
            <w:tcW w:w="445" w:type="dxa"/>
            <w:vMerge w:val="continue"/>
            <w:vAlign w:val="center"/>
          </w:tcPr>
          <w:p>
            <w:pPr>
              <w:spacing w:line="320" w:lineRule="exact"/>
              <w:jc w:val="center"/>
              <w:rPr>
                <w:rFonts w:ascii="Times New Roman" w:hAnsi="Times New Roman" w:cs="Times New Roman"/>
                <w:szCs w:val="21"/>
              </w:rPr>
            </w:pPr>
          </w:p>
        </w:tc>
        <w:tc>
          <w:tcPr>
            <w:tcW w:w="730" w:type="dxa"/>
            <w:vAlign w:val="center"/>
          </w:tcPr>
          <w:p>
            <w:pPr>
              <w:spacing w:line="30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BOD</w:t>
            </w:r>
            <w:r>
              <w:rPr>
                <w:rFonts w:hint="eastAsia" w:ascii="Times New Roman" w:hAnsi="Times New Roman" w:eastAsia="宋体" w:cs="Times New Roman"/>
                <w:color w:val="000000"/>
                <w:szCs w:val="21"/>
                <w:vertAlign w:val="subscript"/>
              </w:rPr>
              <w:t>5</w:t>
            </w:r>
          </w:p>
        </w:tc>
        <w:tc>
          <w:tcPr>
            <w:tcW w:w="1091" w:type="dxa"/>
            <w:vAlign w:val="center"/>
          </w:tcPr>
          <w:p>
            <w:pPr>
              <w:spacing w:line="30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10</w:t>
            </w:r>
          </w:p>
        </w:tc>
      </w:tr>
    </w:tbl>
    <w:p>
      <w:pPr>
        <w:pStyle w:val="50"/>
        <w:numPr>
          <w:ilvl w:val="0"/>
          <w:numId w:val="11"/>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废水污染物排放执行标准见表5-19。</w:t>
      </w:r>
    </w:p>
    <w:p>
      <w:pPr>
        <w:spacing w:line="360" w:lineRule="auto"/>
        <w:ind w:firstLine="482" w:firstLineChars="200"/>
        <w:jc w:val="center"/>
        <w:rPr>
          <w:rFonts w:ascii="Times New Roman" w:hAnsi="Times New Roman" w:cs="Times New Roman"/>
          <w:b/>
          <w:sz w:val="24"/>
          <w:szCs w:val="24"/>
        </w:rPr>
      </w:pPr>
      <w:r>
        <w:rPr>
          <w:rFonts w:hint="eastAsia" w:ascii="Times New Roman" w:hAnsi="Times New Roman" w:cs="Times New Roman"/>
          <w:b/>
          <w:sz w:val="24"/>
          <w:szCs w:val="24"/>
        </w:rPr>
        <w:t>表5-19   废水污染物排放执行标准表</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275"/>
        <w:gridCol w:w="1418"/>
        <w:gridCol w:w="2834"/>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60" w:type="dxa"/>
            <w:vMerge w:val="restart"/>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序号</w:t>
            </w:r>
          </w:p>
        </w:tc>
        <w:tc>
          <w:tcPr>
            <w:tcW w:w="1275" w:type="dxa"/>
            <w:vMerge w:val="restart"/>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排放口编号</w:t>
            </w:r>
          </w:p>
        </w:tc>
        <w:tc>
          <w:tcPr>
            <w:tcW w:w="1418" w:type="dxa"/>
            <w:vMerge w:val="restart"/>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污染物种类</w:t>
            </w:r>
          </w:p>
        </w:tc>
        <w:tc>
          <w:tcPr>
            <w:tcW w:w="4869" w:type="dxa"/>
            <w:gridSpan w:val="2"/>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国家或地方污染物排放标准及其他按规定商定的排放协议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60" w:type="dxa"/>
            <w:vMerge w:val="continue"/>
            <w:vAlign w:val="center"/>
          </w:tcPr>
          <w:p>
            <w:pPr>
              <w:spacing w:line="320" w:lineRule="exact"/>
              <w:jc w:val="center"/>
              <w:rPr>
                <w:rFonts w:ascii="Times New Roman" w:hAnsi="Times New Roman" w:cs="Times New Roman"/>
                <w:szCs w:val="21"/>
              </w:rPr>
            </w:pPr>
          </w:p>
        </w:tc>
        <w:tc>
          <w:tcPr>
            <w:tcW w:w="1275" w:type="dxa"/>
            <w:vMerge w:val="continue"/>
            <w:vAlign w:val="center"/>
          </w:tcPr>
          <w:p>
            <w:pPr>
              <w:spacing w:line="320" w:lineRule="exact"/>
              <w:jc w:val="center"/>
              <w:rPr>
                <w:rFonts w:ascii="Times New Roman" w:hAnsi="Times New Roman" w:cs="Times New Roman"/>
                <w:szCs w:val="21"/>
              </w:rPr>
            </w:pPr>
          </w:p>
        </w:tc>
        <w:tc>
          <w:tcPr>
            <w:tcW w:w="1418" w:type="dxa"/>
            <w:vMerge w:val="continue"/>
            <w:vAlign w:val="center"/>
          </w:tcPr>
          <w:p>
            <w:pPr>
              <w:spacing w:line="320" w:lineRule="exact"/>
              <w:jc w:val="center"/>
              <w:rPr>
                <w:rFonts w:ascii="Times New Roman" w:hAnsi="Times New Roman" w:cs="Times New Roman"/>
                <w:szCs w:val="21"/>
              </w:rPr>
            </w:pPr>
          </w:p>
        </w:tc>
        <w:tc>
          <w:tcPr>
            <w:tcW w:w="2834" w:type="dxa"/>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名称</w:t>
            </w:r>
          </w:p>
        </w:tc>
        <w:tc>
          <w:tcPr>
            <w:tcW w:w="2035" w:type="dxa"/>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60" w:type="dxa"/>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1</w:t>
            </w:r>
          </w:p>
        </w:tc>
        <w:tc>
          <w:tcPr>
            <w:tcW w:w="1275" w:type="dxa"/>
            <w:vMerge w:val="restart"/>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DW001</w:t>
            </w:r>
          </w:p>
        </w:tc>
        <w:tc>
          <w:tcPr>
            <w:tcW w:w="1418" w:type="dxa"/>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COD</w:t>
            </w:r>
          </w:p>
        </w:tc>
        <w:tc>
          <w:tcPr>
            <w:tcW w:w="2834" w:type="dxa"/>
            <w:vMerge w:val="restart"/>
            <w:vAlign w:val="center"/>
          </w:tcPr>
          <w:p>
            <w:pPr>
              <w:spacing w:line="320" w:lineRule="exact"/>
              <w:rPr>
                <w:rFonts w:ascii="Times New Roman" w:hAnsi="Times New Roman" w:cs="Times New Roman"/>
                <w:szCs w:val="21"/>
              </w:rPr>
            </w:pPr>
            <w:r>
              <w:rPr>
                <w:rFonts w:hint="eastAsia" w:ascii="Times New Roman" w:hAnsi="Times New Roman" w:cs="Times New Roman"/>
                <w:szCs w:val="21"/>
              </w:rPr>
              <w:t>《医疗机构水污染物排放标准》（GB18466-2005）表2预处理标准，</w:t>
            </w:r>
            <w:r>
              <w:rPr>
                <w:rFonts w:ascii="Times New Roman" w:hAnsi="Times New Roman" w:cs="Times New Roman"/>
                <w:szCs w:val="21"/>
              </w:rPr>
              <w:t>保定市银定庄污水处理厂进水水质要求</w:t>
            </w:r>
          </w:p>
        </w:tc>
        <w:tc>
          <w:tcPr>
            <w:tcW w:w="2035" w:type="dxa"/>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250</w:t>
            </w:r>
            <w:r>
              <w:rPr>
                <w:rFonts w:hint="eastAsia" w:ascii="Times New Roman" w:hAnsi="Times New Roman" w:cs="Times New Roman"/>
                <w:szCs w:val="21"/>
              </w:rPr>
              <w:t xml:space="preserve"> </w:t>
            </w:r>
            <w:r>
              <w:rPr>
                <w:rFonts w:hint="eastAsia" w:ascii="Times New Roman" w:hAnsi="Times New Roman" w:eastAsia="宋体" w:cs="Times New Roman"/>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60" w:type="dxa"/>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2</w:t>
            </w:r>
          </w:p>
        </w:tc>
        <w:tc>
          <w:tcPr>
            <w:tcW w:w="1275" w:type="dxa"/>
            <w:vMerge w:val="continue"/>
            <w:vAlign w:val="center"/>
          </w:tcPr>
          <w:p>
            <w:pPr>
              <w:spacing w:line="320" w:lineRule="exact"/>
              <w:jc w:val="center"/>
              <w:rPr>
                <w:rFonts w:ascii="Times New Roman" w:hAnsi="Times New Roman" w:cs="Times New Roman"/>
                <w:szCs w:val="21"/>
              </w:rPr>
            </w:pPr>
          </w:p>
        </w:tc>
        <w:tc>
          <w:tcPr>
            <w:tcW w:w="1418" w:type="dxa"/>
            <w:vAlign w:val="center"/>
          </w:tcPr>
          <w:p>
            <w:pPr>
              <w:spacing w:line="30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BOD</w:t>
            </w:r>
            <w:r>
              <w:rPr>
                <w:rFonts w:hint="eastAsia" w:ascii="Times New Roman" w:hAnsi="Times New Roman" w:eastAsia="宋体" w:cs="Times New Roman"/>
                <w:color w:val="000000"/>
                <w:szCs w:val="21"/>
                <w:vertAlign w:val="subscript"/>
              </w:rPr>
              <w:t>5</w:t>
            </w:r>
          </w:p>
        </w:tc>
        <w:tc>
          <w:tcPr>
            <w:tcW w:w="2834" w:type="dxa"/>
            <w:vMerge w:val="continue"/>
            <w:vAlign w:val="center"/>
          </w:tcPr>
          <w:p>
            <w:pPr>
              <w:spacing w:line="320" w:lineRule="exact"/>
              <w:jc w:val="center"/>
              <w:rPr>
                <w:rFonts w:ascii="Times New Roman" w:hAnsi="Times New Roman" w:cs="Times New Roman"/>
                <w:szCs w:val="21"/>
              </w:rPr>
            </w:pPr>
          </w:p>
        </w:tc>
        <w:tc>
          <w:tcPr>
            <w:tcW w:w="2035" w:type="dxa"/>
            <w:vAlign w:val="center"/>
          </w:tcPr>
          <w:p>
            <w:pPr>
              <w:spacing w:line="30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100</w:t>
            </w:r>
            <w:r>
              <w:rPr>
                <w:rFonts w:hint="eastAsia" w:ascii="Times New Roman" w:hAnsi="Times New Roman" w:cs="Times New Roman"/>
                <w:szCs w:val="21"/>
              </w:rPr>
              <w:t xml:space="preserve"> </w:t>
            </w:r>
            <w:r>
              <w:rPr>
                <w:rFonts w:hint="eastAsia" w:ascii="Times New Roman" w:hAnsi="Times New Roman" w:eastAsia="宋体" w:cs="Times New Roman"/>
                <w:color w:val="000000"/>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60" w:type="dxa"/>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3</w:t>
            </w:r>
          </w:p>
        </w:tc>
        <w:tc>
          <w:tcPr>
            <w:tcW w:w="1275" w:type="dxa"/>
            <w:vMerge w:val="continue"/>
            <w:vAlign w:val="center"/>
          </w:tcPr>
          <w:p>
            <w:pPr>
              <w:spacing w:line="320" w:lineRule="exact"/>
              <w:jc w:val="center"/>
              <w:rPr>
                <w:rFonts w:ascii="Times New Roman" w:hAnsi="Times New Roman" w:cs="Times New Roman"/>
                <w:szCs w:val="21"/>
              </w:rPr>
            </w:pPr>
          </w:p>
        </w:tc>
        <w:tc>
          <w:tcPr>
            <w:tcW w:w="1418" w:type="dxa"/>
            <w:vAlign w:val="center"/>
          </w:tcPr>
          <w:p>
            <w:pPr>
              <w:spacing w:line="30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氨氮</w:t>
            </w:r>
          </w:p>
        </w:tc>
        <w:tc>
          <w:tcPr>
            <w:tcW w:w="2834" w:type="dxa"/>
            <w:vMerge w:val="continue"/>
            <w:vAlign w:val="center"/>
          </w:tcPr>
          <w:p>
            <w:pPr>
              <w:spacing w:line="320" w:lineRule="exact"/>
              <w:jc w:val="center"/>
              <w:rPr>
                <w:rFonts w:ascii="Times New Roman" w:hAnsi="Times New Roman" w:cs="Times New Roman"/>
                <w:szCs w:val="21"/>
              </w:rPr>
            </w:pPr>
          </w:p>
        </w:tc>
        <w:tc>
          <w:tcPr>
            <w:tcW w:w="2035" w:type="dxa"/>
            <w:vAlign w:val="center"/>
          </w:tcPr>
          <w:p>
            <w:pPr>
              <w:spacing w:line="300" w:lineRule="exact"/>
              <w:jc w:val="center"/>
              <w:rPr>
                <w:rFonts w:ascii="Times New Roman" w:hAnsi="Times New Roman" w:eastAsia="宋体" w:cs="Times New Roman"/>
                <w:color w:val="000000"/>
                <w:szCs w:val="21"/>
              </w:rPr>
            </w:pPr>
            <w:r>
              <w:rPr>
                <w:rFonts w:hint="eastAsia" w:ascii="宋体" w:hAnsi="宋体" w:eastAsia="宋体"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60" w:type="dxa"/>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4</w:t>
            </w:r>
          </w:p>
        </w:tc>
        <w:tc>
          <w:tcPr>
            <w:tcW w:w="1275" w:type="dxa"/>
            <w:vMerge w:val="continue"/>
            <w:vAlign w:val="center"/>
          </w:tcPr>
          <w:p>
            <w:pPr>
              <w:spacing w:line="320" w:lineRule="exact"/>
              <w:jc w:val="center"/>
              <w:rPr>
                <w:rFonts w:ascii="Times New Roman" w:hAnsi="Times New Roman" w:cs="Times New Roman"/>
                <w:szCs w:val="21"/>
              </w:rPr>
            </w:pPr>
          </w:p>
        </w:tc>
        <w:tc>
          <w:tcPr>
            <w:tcW w:w="1418" w:type="dxa"/>
            <w:vAlign w:val="center"/>
          </w:tcPr>
          <w:p>
            <w:pPr>
              <w:spacing w:line="30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总氮</w:t>
            </w:r>
          </w:p>
        </w:tc>
        <w:tc>
          <w:tcPr>
            <w:tcW w:w="2834" w:type="dxa"/>
            <w:vMerge w:val="continue"/>
            <w:vAlign w:val="center"/>
          </w:tcPr>
          <w:p>
            <w:pPr>
              <w:spacing w:line="320" w:lineRule="exact"/>
              <w:jc w:val="center"/>
              <w:rPr>
                <w:rFonts w:ascii="Times New Roman" w:hAnsi="Times New Roman" w:cs="Times New Roman"/>
                <w:szCs w:val="21"/>
              </w:rPr>
            </w:pPr>
          </w:p>
        </w:tc>
        <w:tc>
          <w:tcPr>
            <w:tcW w:w="2035" w:type="dxa"/>
            <w:vAlign w:val="center"/>
          </w:tcPr>
          <w:p>
            <w:pPr>
              <w:spacing w:line="30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70</w:t>
            </w:r>
            <w:r>
              <w:rPr>
                <w:rFonts w:hint="eastAsia" w:ascii="Times New Roman" w:hAnsi="Times New Roman" w:cs="Times New Roman"/>
                <w:szCs w:val="21"/>
              </w:rPr>
              <w:t xml:space="preserve"> </w:t>
            </w:r>
            <w:r>
              <w:rPr>
                <w:rFonts w:hint="eastAsia" w:ascii="Times New Roman" w:hAnsi="Times New Roman" w:eastAsia="宋体" w:cs="Times New Roman"/>
                <w:color w:val="000000"/>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60" w:type="dxa"/>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5</w:t>
            </w:r>
          </w:p>
        </w:tc>
        <w:tc>
          <w:tcPr>
            <w:tcW w:w="1275" w:type="dxa"/>
            <w:vMerge w:val="continue"/>
            <w:vAlign w:val="center"/>
          </w:tcPr>
          <w:p>
            <w:pPr>
              <w:spacing w:line="320" w:lineRule="exact"/>
              <w:jc w:val="center"/>
              <w:rPr>
                <w:rFonts w:ascii="Times New Roman" w:hAnsi="Times New Roman" w:cs="Times New Roman"/>
                <w:szCs w:val="21"/>
              </w:rPr>
            </w:pPr>
          </w:p>
        </w:tc>
        <w:tc>
          <w:tcPr>
            <w:tcW w:w="1418" w:type="dxa"/>
            <w:vAlign w:val="center"/>
          </w:tcPr>
          <w:p>
            <w:pPr>
              <w:spacing w:line="30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总磷</w:t>
            </w:r>
          </w:p>
        </w:tc>
        <w:tc>
          <w:tcPr>
            <w:tcW w:w="2834" w:type="dxa"/>
            <w:vMerge w:val="continue"/>
            <w:vAlign w:val="center"/>
          </w:tcPr>
          <w:p>
            <w:pPr>
              <w:spacing w:line="320" w:lineRule="exact"/>
              <w:jc w:val="center"/>
              <w:rPr>
                <w:rFonts w:ascii="Times New Roman" w:hAnsi="Times New Roman" w:cs="Times New Roman"/>
                <w:szCs w:val="21"/>
              </w:rPr>
            </w:pPr>
          </w:p>
        </w:tc>
        <w:tc>
          <w:tcPr>
            <w:tcW w:w="2035" w:type="dxa"/>
            <w:vAlign w:val="center"/>
          </w:tcPr>
          <w:p>
            <w:pPr>
              <w:spacing w:line="30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7.0</w:t>
            </w:r>
            <w:r>
              <w:rPr>
                <w:rFonts w:hint="eastAsia" w:ascii="Times New Roman" w:hAnsi="Times New Roman" w:cs="Times New Roman"/>
                <w:szCs w:val="21"/>
              </w:rPr>
              <w:t xml:space="preserve"> </w:t>
            </w:r>
            <w:r>
              <w:rPr>
                <w:rFonts w:hint="eastAsia" w:ascii="Times New Roman" w:hAnsi="Times New Roman" w:eastAsia="宋体" w:cs="Times New Roman"/>
                <w:color w:val="000000"/>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60" w:type="dxa"/>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6</w:t>
            </w:r>
          </w:p>
        </w:tc>
        <w:tc>
          <w:tcPr>
            <w:tcW w:w="1275" w:type="dxa"/>
            <w:vMerge w:val="continue"/>
            <w:vAlign w:val="center"/>
          </w:tcPr>
          <w:p>
            <w:pPr>
              <w:spacing w:line="320" w:lineRule="exact"/>
              <w:jc w:val="center"/>
              <w:rPr>
                <w:rFonts w:ascii="Times New Roman" w:hAnsi="Times New Roman" w:cs="Times New Roman"/>
                <w:szCs w:val="21"/>
              </w:rPr>
            </w:pPr>
          </w:p>
        </w:tc>
        <w:tc>
          <w:tcPr>
            <w:tcW w:w="1418" w:type="dxa"/>
            <w:vAlign w:val="center"/>
          </w:tcPr>
          <w:p>
            <w:pPr>
              <w:spacing w:line="30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SS</w:t>
            </w:r>
          </w:p>
        </w:tc>
        <w:tc>
          <w:tcPr>
            <w:tcW w:w="2834" w:type="dxa"/>
            <w:vMerge w:val="continue"/>
            <w:vAlign w:val="center"/>
          </w:tcPr>
          <w:p>
            <w:pPr>
              <w:spacing w:line="320" w:lineRule="exact"/>
              <w:jc w:val="center"/>
              <w:rPr>
                <w:rFonts w:ascii="Times New Roman" w:hAnsi="Times New Roman" w:cs="Times New Roman"/>
                <w:szCs w:val="21"/>
              </w:rPr>
            </w:pPr>
          </w:p>
        </w:tc>
        <w:tc>
          <w:tcPr>
            <w:tcW w:w="2035" w:type="dxa"/>
            <w:vAlign w:val="center"/>
          </w:tcPr>
          <w:p>
            <w:pPr>
              <w:spacing w:line="30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60</w:t>
            </w:r>
            <w:r>
              <w:rPr>
                <w:rFonts w:hint="eastAsia" w:ascii="Times New Roman" w:hAnsi="Times New Roman" w:cs="Times New Roman"/>
                <w:szCs w:val="21"/>
              </w:rPr>
              <w:t xml:space="preserve"> </w:t>
            </w:r>
            <w:r>
              <w:rPr>
                <w:rFonts w:hint="eastAsia" w:ascii="Times New Roman" w:hAnsi="Times New Roman" w:eastAsia="宋体" w:cs="Times New Roman"/>
                <w:color w:val="000000"/>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60" w:type="dxa"/>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7</w:t>
            </w:r>
          </w:p>
        </w:tc>
        <w:tc>
          <w:tcPr>
            <w:tcW w:w="1275" w:type="dxa"/>
            <w:vMerge w:val="continue"/>
            <w:vAlign w:val="center"/>
          </w:tcPr>
          <w:p>
            <w:pPr>
              <w:spacing w:line="320" w:lineRule="exact"/>
              <w:jc w:val="center"/>
              <w:rPr>
                <w:rFonts w:ascii="Times New Roman" w:hAnsi="Times New Roman" w:cs="Times New Roman"/>
                <w:szCs w:val="21"/>
              </w:rPr>
            </w:pPr>
          </w:p>
        </w:tc>
        <w:tc>
          <w:tcPr>
            <w:tcW w:w="1418" w:type="dxa"/>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动植物油</w:t>
            </w:r>
          </w:p>
        </w:tc>
        <w:tc>
          <w:tcPr>
            <w:tcW w:w="2834" w:type="dxa"/>
            <w:vMerge w:val="continue"/>
            <w:vAlign w:val="center"/>
          </w:tcPr>
          <w:p>
            <w:pPr>
              <w:spacing w:line="320" w:lineRule="exact"/>
              <w:jc w:val="center"/>
              <w:rPr>
                <w:rFonts w:ascii="Times New Roman" w:hAnsi="Times New Roman" w:cs="Times New Roman"/>
                <w:szCs w:val="21"/>
              </w:rPr>
            </w:pPr>
          </w:p>
        </w:tc>
        <w:tc>
          <w:tcPr>
            <w:tcW w:w="2035" w:type="dxa"/>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20</w:t>
            </w:r>
            <w:r>
              <w:rPr>
                <w:rFonts w:hint="eastAsia" w:ascii="Times New Roman" w:hAnsi="Times New Roman" w:cs="Times New Roman"/>
                <w:szCs w:val="21"/>
              </w:rPr>
              <w:t xml:space="preserve"> </w:t>
            </w:r>
            <w:r>
              <w:rPr>
                <w:rFonts w:hint="eastAsia" w:ascii="Times New Roman" w:hAnsi="Times New Roman" w:eastAsia="宋体" w:cs="Times New Roman"/>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60" w:type="dxa"/>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8</w:t>
            </w:r>
          </w:p>
        </w:tc>
        <w:tc>
          <w:tcPr>
            <w:tcW w:w="1275" w:type="dxa"/>
            <w:vMerge w:val="continue"/>
            <w:vAlign w:val="center"/>
          </w:tcPr>
          <w:p>
            <w:pPr>
              <w:spacing w:line="320" w:lineRule="exact"/>
              <w:jc w:val="center"/>
              <w:rPr>
                <w:rFonts w:ascii="Times New Roman" w:hAnsi="Times New Roman" w:cs="Times New Roman"/>
                <w:szCs w:val="21"/>
              </w:rPr>
            </w:pPr>
          </w:p>
        </w:tc>
        <w:tc>
          <w:tcPr>
            <w:tcW w:w="1418" w:type="dxa"/>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粪大肠菌群</w:t>
            </w:r>
          </w:p>
        </w:tc>
        <w:tc>
          <w:tcPr>
            <w:tcW w:w="2834" w:type="dxa"/>
            <w:vMerge w:val="continue"/>
            <w:vAlign w:val="center"/>
          </w:tcPr>
          <w:p>
            <w:pPr>
              <w:spacing w:line="320" w:lineRule="exact"/>
              <w:jc w:val="center"/>
              <w:rPr>
                <w:rFonts w:ascii="Times New Roman" w:hAnsi="Times New Roman" w:cs="Times New Roman"/>
                <w:szCs w:val="21"/>
              </w:rPr>
            </w:pPr>
          </w:p>
        </w:tc>
        <w:tc>
          <w:tcPr>
            <w:tcW w:w="2035" w:type="dxa"/>
            <w:vAlign w:val="center"/>
          </w:tcPr>
          <w:p>
            <w:pPr>
              <w:spacing w:line="300" w:lineRule="exact"/>
              <w:jc w:val="center"/>
              <w:rPr>
                <w:rFonts w:ascii="Times New Roman" w:hAnsi="Times New Roman" w:eastAsia="宋体" w:cs="Times New Roman"/>
                <w:szCs w:val="21"/>
              </w:rPr>
            </w:pPr>
            <w:r>
              <w:rPr>
                <w:rFonts w:hint="eastAsia" w:ascii="Times New Roman" w:hAnsi="Times New Roman" w:eastAsia="宋体" w:cs="Times New Roman"/>
                <w:szCs w:val="21"/>
              </w:rPr>
              <w:t>5000 MPN/L</w:t>
            </w:r>
          </w:p>
        </w:tc>
      </w:tr>
    </w:tbl>
    <w:p>
      <w:pPr>
        <w:pStyle w:val="50"/>
        <w:numPr>
          <w:ilvl w:val="0"/>
          <w:numId w:val="11"/>
        </w:numPr>
        <w:spacing w:line="360" w:lineRule="auto"/>
        <w:ind w:firstLineChars="0"/>
        <w:rPr>
          <w:rFonts w:ascii="Times New Roman" w:hAnsi="Times New Roman" w:cs="Times New Roman"/>
          <w:sz w:val="24"/>
          <w:szCs w:val="24"/>
        </w:rPr>
      </w:pPr>
      <w:r>
        <w:rPr>
          <w:rFonts w:hint="eastAsia" w:ascii="Times New Roman" w:hAnsi="Times New Roman" w:cs="Times New Roman"/>
          <w:sz w:val="24"/>
          <w:szCs w:val="24"/>
        </w:rPr>
        <w:t>废水污染物排放信息见表5-20。</w:t>
      </w: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表5-20   废水污染物排放信息表</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1348"/>
        <w:gridCol w:w="1362"/>
        <w:gridCol w:w="1395"/>
        <w:gridCol w:w="1378"/>
        <w:gridCol w:w="1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45"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序号</w:t>
            </w:r>
          </w:p>
        </w:tc>
        <w:tc>
          <w:tcPr>
            <w:tcW w:w="1348"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排放口编号</w:t>
            </w:r>
          </w:p>
        </w:tc>
        <w:tc>
          <w:tcPr>
            <w:tcW w:w="1362"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污染物种类</w:t>
            </w:r>
          </w:p>
        </w:tc>
        <w:tc>
          <w:tcPr>
            <w:tcW w:w="1395"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排放浓度/（mg/L）</w:t>
            </w:r>
          </w:p>
        </w:tc>
        <w:tc>
          <w:tcPr>
            <w:tcW w:w="1378"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日排放量/（t/d）</w:t>
            </w:r>
          </w:p>
        </w:tc>
        <w:tc>
          <w:tcPr>
            <w:tcW w:w="1694"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45"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w:t>
            </w:r>
          </w:p>
        </w:tc>
        <w:tc>
          <w:tcPr>
            <w:tcW w:w="1348" w:type="dxa"/>
            <w:vMerge w:val="restart"/>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DW001</w:t>
            </w:r>
          </w:p>
        </w:tc>
        <w:tc>
          <w:tcPr>
            <w:tcW w:w="1362"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COD</w:t>
            </w:r>
          </w:p>
        </w:tc>
        <w:tc>
          <w:tcPr>
            <w:tcW w:w="1395"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200</w:t>
            </w:r>
          </w:p>
        </w:tc>
        <w:tc>
          <w:tcPr>
            <w:tcW w:w="1378"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0.079</w:t>
            </w:r>
          </w:p>
        </w:tc>
        <w:tc>
          <w:tcPr>
            <w:tcW w:w="1694"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28.885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45"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w:t>
            </w:r>
          </w:p>
        </w:tc>
        <w:tc>
          <w:tcPr>
            <w:tcW w:w="1348" w:type="dxa"/>
            <w:vMerge w:val="continue"/>
            <w:vAlign w:val="center"/>
          </w:tcPr>
          <w:p>
            <w:pPr>
              <w:spacing w:line="320" w:lineRule="exact"/>
              <w:jc w:val="center"/>
              <w:rPr>
                <w:rFonts w:ascii="Times New Roman" w:hAnsi="Times New Roman" w:cs="Times New Roman"/>
                <w:color w:val="000000" w:themeColor="text1"/>
                <w:szCs w:val="21"/>
              </w:rPr>
            </w:pPr>
          </w:p>
        </w:tc>
        <w:tc>
          <w:tcPr>
            <w:tcW w:w="1362"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氨氮</w:t>
            </w:r>
          </w:p>
        </w:tc>
        <w:tc>
          <w:tcPr>
            <w:tcW w:w="1395"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20</w:t>
            </w:r>
          </w:p>
        </w:tc>
        <w:tc>
          <w:tcPr>
            <w:tcW w:w="1378"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0.008</w:t>
            </w:r>
          </w:p>
        </w:tc>
        <w:tc>
          <w:tcPr>
            <w:tcW w:w="1694"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45"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3</w:t>
            </w:r>
          </w:p>
        </w:tc>
        <w:tc>
          <w:tcPr>
            <w:tcW w:w="1348" w:type="dxa"/>
            <w:vMerge w:val="continue"/>
            <w:vAlign w:val="center"/>
          </w:tcPr>
          <w:p>
            <w:pPr>
              <w:spacing w:line="320" w:lineRule="exact"/>
              <w:jc w:val="center"/>
              <w:rPr>
                <w:rFonts w:ascii="Times New Roman" w:hAnsi="Times New Roman" w:cs="Times New Roman"/>
                <w:color w:val="000000" w:themeColor="text1"/>
                <w:szCs w:val="21"/>
              </w:rPr>
            </w:pPr>
          </w:p>
        </w:tc>
        <w:tc>
          <w:tcPr>
            <w:tcW w:w="1362"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总氮</w:t>
            </w:r>
          </w:p>
        </w:tc>
        <w:tc>
          <w:tcPr>
            <w:tcW w:w="1395"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30</w:t>
            </w:r>
          </w:p>
        </w:tc>
        <w:tc>
          <w:tcPr>
            <w:tcW w:w="1378"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0.012</w:t>
            </w:r>
          </w:p>
        </w:tc>
        <w:tc>
          <w:tcPr>
            <w:tcW w:w="1694"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45"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w:t>
            </w:r>
          </w:p>
        </w:tc>
        <w:tc>
          <w:tcPr>
            <w:tcW w:w="1348" w:type="dxa"/>
            <w:vMerge w:val="continue"/>
            <w:vAlign w:val="center"/>
          </w:tcPr>
          <w:p>
            <w:pPr>
              <w:spacing w:line="320" w:lineRule="exact"/>
              <w:jc w:val="center"/>
              <w:rPr>
                <w:rFonts w:ascii="Times New Roman" w:hAnsi="Times New Roman" w:cs="Times New Roman"/>
                <w:color w:val="000000" w:themeColor="text1"/>
                <w:szCs w:val="21"/>
              </w:rPr>
            </w:pPr>
          </w:p>
        </w:tc>
        <w:tc>
          <w:tcPr>
            <w:tcW w:w="1362"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总磷</w:t>
            </w:r>
          </w:p>
        </w:tc>
        <w:tc>
          <w:tcPr>
            <w:tcW w:w="1395"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5.0</w:t>
            </w:r>
          </w:p>
        </w:tc>
        <w:tc>
          <w:tcPr>
            <w:tcW w:w="1378"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0.002</w:t>
            </w:r>
          </w:p>
        </w:tc>
        <w:tc>
          <w:tcPr>
            <w:tcW w:w="1694"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93" w:type="dxa"/>
            <w:gridSpan w:val="2"/>
            <w:vMerge w:val="restart"/>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全厂排放口统计</w:t>
            </w:r>
          </w:p>
        </w:tc>
        <w:tc>
          <w:tcPr>
            <w:tcW w:w="4135" w:type="dxa"/>
            <w:gridSpan w:val="3"/>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COD</w:t>
            </w:r>
          </w:p>
        </w:tc>
        <w:tc>
          <w:tcPr>
            <w:tcW w:w="1694"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28.885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93" w:type="dxa"/>
            <w:gridSpan w:val="2"/>
            <w:vMerge w:val="continue"/>
            <w:vAlign w:val="center"/>
          </w:tcPr>
          <w:p>
            <w:pPr>
              <w:spacing w:line="320" w:lineRule="exact"/>
              <w:jc w:val="center"/>
              <w:rPr>
                <w:rFonts w:ascii="Times New Roman" w:hAnsi="Times New Roman" w:cs="Times New Roman"/>
                <w:color w:val="000000" w:themeColor="text1"/>
                <w:szCs w:val="21"/>
              </w:rPr>
            </w:pPr>
          </w:p>
        </w:tc>
        <w:tc>
          <w:tcPr>
            <w:tcW w:w="4135" w:type="dxa"/>
            <w:gridSpan w:val="3"/>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氨氮</w:t>
            </w:r>
          </w:p>
        </w:tc>
        <w:tc>
          <w:tcPr>
            <w:tcW w:w="1694"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93" w:type="dxa"/>
            <w:gridSpan w:val="2"/>
            <w:vMerge w:val="continue"/>
            <w:vAlign w:val="center"/>
          </w:tcPr>
          <w:p>
            <w:pPr>
              <w:spacing w:line="320" w:lineRule="exact"/>
              <w:jc w:val="center"/>
              <w:rPr>
                <w:rFonts w:ascii="Times New Roman" w:hAnsi="Times New Roman" w:cs="Times New Roman"/>
                <w:color w:val="000000" w:themeColor="text1"/>
                <w:szCs w:val="21"/>
              </w:rPr>
            </w:pPr>
          </w:p>
        </w:tc>
        <w:tc>
          <w:tcPr>
            <w:tcW w:w="4135" w:type="dxa"/>
            <w:gridSpan w:val="3"/>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总氮</w:t>
            </w:r>
          </w:p>
        </w:tc>
        <w:tc>
          <w:tcPr>
            <w:tcW w:w="1694"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93" w:type="dxa"/>
            <w:gridSpan w:val="2"/>
            <w:vMerge w:val="continue"/>
            <w:vAlign w:val="center"/>
          </w:tcPr>
          <w:p>
            <w:pPr>
              <w:spacing w:line="320" w:lineRule="exact"/>
              <w:jc w:val="center"/>
              <w:rPr>
                <w:rFonts w:ascii="Times New Roman" w:hAnsi="Times New Roman" w:cs="Times New Roman"/>
                <w:color w:val="000000" w:themeColor="text1"/>
                <w:szCs w:val="21"/>
              </w:rPr>
            </w:pPr>
          </w:p>
        </w:tc>
        <w:tc>
          <w:tcPr>
            <w:tcW w:w="4135" w:type="dxa"/>
            <w:gridSpan w:val="3"/>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总磷</w:t>
            </w:r>
          </w:p>
        </w:tc>
        <w:tc>
          <w:tcPr>
            <w:tcW w:w="1694" w:type="dxa"/>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0.722</w:t>
            </w:r>
          </w:p>
        </w:tc>
      </w:tr>
    </w:tbl>
    <w:p>
      <w:pPr>
        <w:spacing w:line="360" w:lineRule="auto"/>
        <w:ind w:firstLine="482" w:firstLineChars="200"/>
        <w:jc w:val="center"/>
        <w:rPr>
          <w:rFonts w:ascii="Times New Roman" w:hAnsi="Times New Roman" w:cs="Times New Roman"/>
          <w:b/>
          <w:color w:val="000000" w:themeColor="text1"/>
          <w:sz w:val="24"/>
          <w:szCs w:val="24"/>
        </w:rPr>
      </w:pPr>
      <w:r>
        <w:rPr>
          <w:rFonts w:ascii="Times New Roman" w:cs="Times New Roman"/>
          <w:b/>
          <w:color w:val="000000" w:themeColor="text1"/>
          <w:sz w:val="24"/>
          <w:szCs w:val="24"/>
        </w:rPr>
        <w:t>表</w:t>
      </w:r>
      <w:r>
        <w:rPr>
          <w:rFonts w:ascii="Times New Roman" w:hAnsi="Times New Roman" w:cs="Times New Roman"/>
          <w:b/>
          <w:color w:val="000000" w:themeColor="text1"/>
          <w:sz w:val="24"/>
          <w:szCs w:val="24"/>
        </w:rPr>
        <w:t>5-</w:t>
      </w:r>
      <w:r>
        <w:rPr>
          <w:rFonts w:hint="eastAsia" w:ascii="Times New Roman" w:hAnsi="Times New Roman" w:cs="Times New Roman"/>
          <w:b/>
          <w:color w:val="000000" w:themeColor="text1"/>
          <w:sz w:val="24"/>
          <w:szCs w:val="24"/>
        </w:rPr>
        <w:t>21</w:t>
      </w:r>
      <w:r>
        <w:rPr>
          <w:rFonts w:ascii="Times New Roman" w:hAnsi="Times New Roman" w:cs="Times New Roman"/>
          <w:b/>
          <w:color w:val="000000" w:themeColor="text1"/>
          <w:sz w:val="24"/>
          <w:szCs w:val="24"/>
        </w:rPr>
        <w:t xml:space="preserve">  </w:t>
      </w:r>
      <w:r>
        <w:rPr>
          <w:rFonts w:ascii="Times New Roman" w:cs="Times New Roman"/>
          <w:b/>
          <w:color w:val="000000" w:themeColor="text1"/>
          <w:sz w:val="24"/>
          <w:szCs w:val="24"/>
        </w:rPr>
        <w:t>项目地表水环境影响评价自查表</w:t>
      </w:r>
    </w:p>
    <w:tbl>
      <w:tblPr>
        <w:tblStyle w:val="27"/>
        <w:tblW w:w="9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560"/>
        <w:gridCol w:w="1417"/>
        <w:gridCol w:w="983"/>
        <w:gridCol w:w="435"/>
        <w:gridCol w:w="850"/>
        <w:gridCol w:w="425"/>
        <w:gridCol w:w="426"/>
        <w:gridCol w:w="567"/>
        <w:gridCol w:w="425"/>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7" w:type="dxa"/>
            <w:gridSpan w:val="2"/>
            <w:shd w:val="clear" w:color="auto" w:fill="auto"/>
            <w:vAlign w:val="center"/>
          </w:tcPr>
          <w:p>
            <w:pPr>
              <w:jc w:val="center"/>
              <w:rPr>
                <w:color w:val="000000" w:themeColor="text1"/>
                <w:sz w:val="18"/>
                <w:szCs w:val="18"/>
              </w:rPr>
            </w:pPr>
            <w:r>
              <w:rPr>
                <w:rFonts w:hint="eastAsia"/>
                <w:color w:val="000000" w:themeColor="text1"/>
                <w:sz w:val="18"/>
                <w:szCs w:val="18"/>
              </w:rPr>
              <w:t>工作内容</w:t>
            </w:r>
          </w:p>
        </w:tc>
        <w:tc>
          <w:tcPr>
            <w:tcW w:w="6928" w:type="dxa"/>
            <w:gridSpan w:val="9"/>
            <w:shd w:val="clear" w:color="auto" w:fill="auto"/>
            <w:vAlign w:val="center"/>
          </w:tcPr>
          <w:p>
            <w:pPr>
              <w:jc w:val="center"/>
              <w:rPr>
                <w:color w:val="000000" w:themeColor="text1"/>
                <w:sz w:val="18"/>
                <w:szCs w:val="18"/>
              </w:rPr>
            </w:pPr>
            <w:r>
              <w:rPr>
                <w:rFonts w:hint="eastAsia"/>
                <w:color w:val="000000" w:themeColor="text1"/>
                <w:sz w:val="18"/>
                <w:szCs w:val="18"/>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restart"/>
            <w:shd w:val="clear" w:color="auto" w:fill="auto"/>
            <w:vAlign w:val="center"/>
          </w:tcPr>
          <w:p>
            <w:pPr>
              <w:jc w:val="center"/>
              <w:rPr>
                <w:color w:val="000000" w:themeColor="text1"/>
                <w:sz w:val="18"/>
                <w:szCs w:val="18"/>
              </w:rPr>
            </w:pPr>
            <w:r>
              <w:rPr>
                <w:rFonts w:hint="eastAsia"/>
                <w:color w:val="000000" w:themeColor="text1"/>
                <w:sz w:val="18"/>
                <w:szCs w:val="18"/>
              </w:rPr>
              <w:t>影响识别</w:t>
            </w:r>
          </w:p>
        </w:tc>
        <w:tc>
          <w:tcPr>
            <w:tcW w:w="1560" w:type="dxa"/>
            <w:shd w:val="clear" w:color="auto" w:fill="auto"/>
            <w:vAlign w:val="center"/>
          </w:tcPr>
          <w:p>
            <w:pPr>
              <w:jc w:val="center"/>
              <w:rPr>
                <w:color w:val="000000" w:themeColor="text1"/>
                <w:sz w:val="18"/>
                <w:szCs w:val="18"/>
              </w:rPr>
            </w:pPr>
            <w:r>
              <w:rPr>
                <w:rFonts w:hint="eastAsia"/>
                <w:color w:val="000000" w:themeColor="text1"/>
                <w:sz w:val="18"/>
                <w:szCs w:val="18"/>
              </w:rPr>
              <w:t>影响类型</w:t>
            </w:r>
          </w:p>
        </w:tc>
        <w:tc>
          <w:tcPr>
            <w:tcW w:w="6928" w:type="dxa"/>
            <w:gridSpan w:val="9"/>
            <w:shd w:val="clear" w:color="auto" w:fill="auto"/>
            <w:vAlign w:val="center"/>
          </w:tcPr>
          <w:p>
            <w:pPr>
              <w:rPr>
                <w:color w:val="000000" w:themeColor="text1"/>
                <w:sz w:val="18"/>
                <w:szCs w:val="18"/>
              </w:rPr>
            </w:pPr>
            <w:r>
              <w:rPr>
                <w:rFonts w:hint="eastAsia"/>
                <w:color w:val="000000" w:themeColor="text1"/>
                <w:sz w:val="18"/>
                <w:szCs w:val="18"/>
              </w:rPr>
              <w:t>水污染影响型</w:t>
            </w:r>
            <w:r>
              <w:rPr>
                <w:rFonts w:hint="eastAsia" w:ascii="宋体" w:hAnsi="宋体"/>
                <w:color w:val="000000" w:themeColor="text1"/>
                <w:sz w:val="18"/>
                <w:szCs w:val="18"/>
              </w:rPr>
              <w:sym w:font="CommercialPi BT" w:char="F029"/>
            </w:r>
            <w:r>
              <w:rPr>
                <w:rFonts w:hint="eastAsia"/>
                <w:color w:val="000000" w:themeColor="text1"/>
                <w:sz w:val="18"/>
                <w:szCs w:val="18"/>
              </w:rPr>
              <w:t>；水文要素影响型</w:t>
            </w:r>
            <w:r>
              <w:rPr>
                <w:rFonts w:hint="eastAsia" w:ascii="宋体" w:hAnsi="宋体"/>
                <w:color w:val="000000" w:themeColor="text1"/>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shd w:val="clear" w:color="auto" w:fill="auto"/>
            <w:vAlign w:val="center"/>
          </w:tcPr>
          <w:p>
            <w:pPr>
              <w:jc w:val="center"/>
              <w:rPr>
                <w:color w:val="000000" w:themeColor="text1"/>
                <w:sz w:val="18"/>
                <w:szCs w:val="18"/>
              </w:rPr>
            </w:pPr>
            <w:r>
              <w:rPr>
                <w:rFonts w:hint="eastAsia"/>
                <w:color w:val="000000" w:themeColor="text1"/>
                <w:sz w:val="18"/>
                <w:szCs w:val="18"/>
              </w:rPr>
              <w:t>水环境保护目标</w:t>
            </w:r>
          </w:p>
        </w:tc>
        <w:tc>
          <w:tcPr>
            <w:tcW w:w="6928" w:type="dxa"/>
            <w:gridSpan w:val="9"/>
            <w:shd w:val="clear" w:color="auto" w:fill="auto"/>
            <w:vAlign w:val="center"/>
          </w:tcPr>
          <w:p>
            <w:pPr>
              <w:rPr>
                <w:color w:val="000000" w:themeColor="text1"/>
                <w:sz w:val="18"/>
                <w:szCs w:val="18"/>
              </w:rPr>
            </w:pPr>
            <w:r>
              <w:rPr>
                <w:rFonts w:hint="eastAsia"/>
                <w:color w:val="000000" w:themeColor="text1"/>
                <w:sz w:val="18"/>
                <w:szCs w:val="18"/>
              </w:rPr>
              <w:t>饮用水水源保护区</w:t>
            </w:r>
            <w:r>
              <w:rPr>
                <w:rFonts w:hint="eastAsia" w:ascii="宋体" w:hAnsi="宋体"/>
                <w:color w:val="000000" w:themeColor="text1"/>
                <w:sz w:val="18"/>
                <w:szCs w:val="18"/>
              </w:rPr>
              <w:t>□</w:t>
            </w:r>
            <w:r>
              <w:rPr>
                <w:rFonts w:hint="eastAsia"/>
                <w:color w:val="000000" w:themeColor="text1"/>
                <w:sz w:val="18"/>
                <w:szCs w:val="18"/>
              </w:rPr>
              <w:t>；饮用水取水口</w:t>
            </w:r>
            <w:r>
              <w:rPr>
                <w:rFonts w:hint="eastAsia" w:ascii="宋体" w:hAnsi="宋体"/>
                <w:color w:val="000000" w:themeColor="text1"/>
                <w:sz w:val="18"/>
                <w:szCs w:val="18"/>
              </w:rPr>
              <w:t>□</w:t>
            </w:r>
            <w:r>
              <w:rPr>
                <w:rFonts w:hint="eastAsia"/>
                <w:color w:val="000000" w:themeColor="text1"/>
                <w:sz w:val="18"/>
                <w:szCs w:val="18"/>
              </w:rPr>
              <w:t>；涉水的自然保护区</w:t>
            </w:r>
            <w:r>
              <w:rPr>
                <w:rFonts w:hint="eastAsia" w:ascii="宋体" w:hAnsi="宋体"/>
                <w:color w:val="000000" w:themeColor="text1"/>
                <w:sz w:val="18"/>
                <w:szCs w:val="18"/>
              </w:rPr>
              <w:t>□</w:t>
            </w:r>
            <w:r>
              <w:rPr>
                <w:rFonts w:hint="eastAsia"/>
                <w:color w:val="000000" w:themeColor="text1"/>
                <w:sz w:val="18"/>
                <w:szCs w:val="18"/>
              </w:rPr>
              <w:t>；涉水的风景名胜区</w:t>
            </w:r>
            <w:r>
              <w:rPr>
                <w:rFonts w:hint="eastAsia" w:ascii="宋体" w:hAnsi="宋体"/>
                <w:color w:val="000000" w:themeColor="text1"/>
                <w:sz w:val="18"/>
                <w:szCs w:val="18"/>
              </w:rPr>
              <w:t>□</w:t>
            </w:r>
            <w:r>
              <w:rPr>
                <w:rFonts w:hint="eastAsia"/>
                <w:color w:val="000000" w:themeColor="text1"/>
                <w:sz w:val="18"/>
                <w:szCs w:val="18"/>
              </w:rPr>
              <w:t>；重要湿地</w:t>
            </w:r>
            <w:r>
              <w:rPr>
                <w:rFonts w:hint="eastAsia" w:ascii="宋体" w:hAnsi="宋体"/>
                <w:color w:val="000000" w:themeColor="text1"/>
                <w:sz w:val="18"/>
                <w:szCs w:val="18"/>
              </w:rPr>
              <w:t>□</w:t>
            </w:r>
            <w:r>
              <w:rPr>
                <w:rFonts w:hint="eastAsia"/>
                <w:color w:val="000000" w:themeColor="text1"/>
                <w:sz w:val="18"/>
                <w:szCs w:val="18"/>
              </w:rPr>
              <w:t>；重点保护与珍稀水生生物的栖息地</w:t>
            </w:r>
            <w:r>
              <w:rPr>
                <w:rFonts w:hint="eastAsia" w:ascii="宋体" w:hAnsi="宋体"/>
                <w:color w:val="000000" w:themeColor="text1"/>
                <w:sz w:val="18"/>
                <w:szCs w:val="18"/>
              </w:rPr>
              <w:t>□</w:t>
            </w:r>
            <w:r>
              <w:rPr>
                <w:rFonts w:hint="eastAsia"/>
                <w:color w:val="000000" w:themeColor="text1"/>
                <w:sz w:val="18"/>
                <w:szCs w:val="18"/>
              </w:rPr>
              <w:t>；重要水生生物的自然产卵场及索饵场、越冬场和洄游通道</w:t>
            </w:r>
            <w:r>
              <w:rPr>
                <w:rFonts w:hint="eastAsia" w:ascii="宋体" w:hAnsi="宋体"/>
                <w:color w:val="000000" w:themeColor="text1"/>
                <w:sz w:val="18"/>
                <w:szCs w:val="18"/>
              </w:rPr>
              <w:t>□</w:t>
            </w:r>
            <w:r>
              <w:rPr>
                <w:rFonts w:hint="eastAsia"/>
                <w:color w:val="000000" w:themeColor="text1"/>
                <w:sz w:val="18"/>
                <w:szCs w:val="18"/>
              </w:rPr>
              <w:t>；天然渔场等渔业水体</w:t>
            </w:r>
            <w:r>
              <w:rPr>
                <w:rFonts w:hint="eastAsia" w:ascii="宋体" w:hAnsi="宋体"/>
                <w:color w:val="000000" w:themeColor="text1"/>
                <w:sz w:val="18"/>
                <w:szCs w:val="18"/>
              </w:rPr>
              <w:t>□</w:t>
            </w:r>
            <w:r>
              <w:rPr>
                <w:rFonts w:hint="eastAsia"/>
                <w:color w:val="000000" w:themeColor="text1"/>
                <w:sz w:val="18"/>
                <w:szCs w:val="18"/>
              </w:rPr>
              <w:t>；水产种质资源保护区</w:t>
            </w:r>
            <w:r>
              <w:rPr>
                <w:rFonts w:hint="eastAsia" w:ascii="宋体" w:hAnsi="宋体"/>
                <w:color w:val="000000" w:themeColor="text1"/>
                <w:sz w:val="18"/>
                <w:szCs w:val="18"/>
              </w:rPr>
              <w:t>□</w:t>
            </w:r>
            <w:r>
              <w:rPr>
                <w:rFonts w:hint="eastAsia"/>
                <w:color w:val="000000" w:themeColor="text1"/>
                <w:sz w:val="18"/>
                <w:szCs w:val="18"/>
              </w:rPr>
              <w:t>；其它</w:t>
            </w:r>
            <w:r>
              <w:rPr>
                <w:rFonts w:hint="eastAsia" w:ascii="宋体" w:hAnsi="宋体"/>
                <w:color w:val="000000" w:themeColor="text1"/>
                <w:sz w:val="18"/>
                <w:szCs w:val="18"/>
              </w:rPr>
              <w:sym w:font="CommercialPi BT" w:char="F029"/>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vMerge w:val="restart"/>
            <w:shd w:val="clear" w:color="auto" w:fill="auto"/>
            <w:vAlign w:val="center"/>
          </w:tcPr>
          <w:p>
            <w:pPr>
              <w:jc w:val="center"/>
              <w:rPr>
                <w:color w:val="000000" w:themeColor="text1"/>
                <w:sz w:val="18"/>
                <w:szCs w:val="18"/>
              </w:rPr>
            </w:pPr>
            <w:r>
              <w:rPr>
                <w:rFonts w:hint="eastAsia"/>
                <w:color w:val="000000" w:themeColor="text1"/>
                <w:sz w:val="18"/>
                <w:szCs w:val="18"/>
              </w:rPr>
              <w:t>影响途径</w:t>
            </w:r>
          </w:p>
        </w:tc>
        <w:tc>
          <w:tcPr>
            <w:tcW w:w="3685" w:type="dxa"/>
            <w:gridSpan w:val="4"/>
            <w:shd w:val="clear" w:color="auto" w:fill="auto"/>
            <w:vAlign w:val="center"/>
          </w:tcPr>
          <w:p>
            <w:pPr>
              <w:jc w:val="center"/>
              <w:rPr>
                <w:color w:val="000000" w:themeColor="text1"/>
                <w:sz w:val="18"/>
                <w:szCs w:val="18"/>
              </w:rPr>
            </w:pPr>
            <w:r>
              <w:rPr>
                <w:rFonts w:hint="eastAsia"/>
                <w:color w:val="000000" w:themeColor="text1"/>
                <w:sz w:val="18"/>
                <w:szCs w:val="18"/>
              </w:rPr>
              <w:t>水污染影响型</w:t>
            </w:r>
          </w:p>
        </w:tc>
        <w:tc>
          <w:tcPr>
            <w:tcW w:w="3243" w:type="dxa"/>
            <w:gridSpan w:val="5"/>
            <w:shd w:val="clear" w:color="auto" w:fill="auto"/>
            <w:vAlign w:val="center"/>
          </w:tcPr>
          <w:p>
            <w:pPr>
              <w:jc w:val="center"/>
              <w:rPr>
                <w:color w:val="000000" w:themeColor="text1"/>
                <w:sz w:val="18"/>
                <w:szCs w:val="18"/>
              </w:rPr>
            </w:pPr>
            <w:r>
              <w:rPr>
                <w:rFonts w:hint="eastAsia"/>
                <w:color w:val="000000" w:themeColor="text1"/>
                <w:sz w:val="18"/>
                <w:szCs w:val="18"/>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vMerge w:val="continue"/>
            <w:shd w:val="clear" w:color="auto" w:fill="auto"/>
            <w:vAlign w:val="center"/>
          </w:tcPr>
          <w:p>
            <w:pPr>
              <w:jc w:val="center"/>
              <w:rPr>
                <w:color w:val="000000" w:themeColor="text1"/>
                <w:sz w:val="18"/>
                <w:szCs w:val="18"/>
              </w:rPr>
            </w:pPr>
          </w:p>
        </w:tc>
        <w:tc>
          <w:tcPr>
            <w:tcW w:w="3685" w:type="dxa"/>
            <w:gridSpan w:val="4"/>
            <w:shd w:val="clear" w:color="auto" w:fill="auto"/>
            <w:vAlign w:val="center"/>
          </w:tcPr>
          <w:p>
            <w:pPr>
              <w:rPr>
                <w:color w:val="000000" w:themeColor="text1"/>
                <w:sz w:val="18"/>
                <w:szCs w:val="18"/>
              </w:rPr>
            </w:pPr>
            <w:r>
              <w:rPr>
                <w:rFonts w:hint="eastAsia"/>
                <w:color w:val="000000" w:themeColor="text1"/>
                <w:sz w:val="18"/>
                <w:szCs w:val="18"/>
              </w:rPr>
              <w:t>直接排放</w:t>
            </w:r>
            <w:r>
              <w:rPr>
                <w:rFonts w:hint="eastAsia" w:ascii="宋体" w:hAnsi="宋体"/>
                <w:color w:val="000000" w:themeColor="text1"/>
                <w:sz w:val="18"/>
                <w:szCs w:val="18"/>
              </w:rPr>
              <w:t>□</w:t>
            </w:r>
            <w:r>
              <w:rPr>
                <w:rFonts w:hint="eastAsia"/>
                <w:color w:val="000000" w:themeColor="text1"/>
                <w:sz w:val="18"/>
                <w:szCs w:val="18"/>
              </w:rPr>
              <w:t>；间接排放</w:t>
            </w:r>
            <w:r>
              <w:rPr>
                <w:rFonts w:hint="eastAsia" w:ascii="宋体" w:hAnsi="宋体"/>
                <w:color w:val="000000" w:themeColor="text1"/>
                <w:sz w:val="18"/>
                <w:szCs w:val="18"/>
              </w:rPr>
              <w:sym w:font="CommercialPi BT" w:char="F029"/>
            </w:r>
            <w:r>
              <w:rPr>
                <w:rFonts w:hint="eastAsia"/>
                <w:color w:val="000000" w:themeColor="text1"/>
                <w:sz w:val="18"/>
                <w:szCs w:val="18"/>
              </w:rPr>
              <w:t>；其它</w:t>
            </w:r>
            <w:r>
              <w:rPr>
                <w:rFonts w:hint="eastAsia" w:ascii="宋体" w:hAnsi="宋体"/>
                <w:color w:val="000000" w:themeColor="text1"/>
                <w:sz w:val="18"/>
                <w:szCs w:val="18"/>
              </w:rPr>
              <w:t>□</w:t>
            </w:r>
          </w:p>
        </w:tc>
        <w:tc>
          <w:tcPr>
            <w:tcW w:w="3243" w:type="dxa"/>
            <w:gridSpan w:val="5"/>
            <w:shd w:val="clear" w:color="auto" w:fill="auto"/>
            <w:vAlign w:val="center"/>
          </w:tcPr>
          <w:p>
            <w:pPr>
              <w:rPr>
                <w:color w:val="000000" w:themeColor="text1"/>
                <w:sz w:val="18"/>
                <w:szCs w:val="18"/>
              </w:rPr>
            </w:pPr>
            <w:r>
              <w:rPr>
                <w:rFonts w:hint="eastAsia"/>
                <w:color w:val="000000" w:themeColor="text1"/>
                <w:sz w:val="18"/>
                <w:szCs w:val="18"/>
              </w:rPr>
              <w:t>水温</w:t>
            </w:r>
            <w:r>
              <w:rPr>
                <w:rFonts w:hint="eastAsia" w:ascii="宋体" w:hAnsi="宋体"/>
                <w:color w:val="000000" w:themeColor="text1"/>
                <w:sz w:val="18"/>
                <w:szCs w:val="18"/>
              </w:rPr>
              <w:t>□</w:t>
            </w:r>
            <w:r>
              <w:rPr>
                <w:rFonts w:hint="eastAsia"/>
                <w:color w:val="000000" w:themeColor="text1"/>
                <w:sz w:val="18"/>
                <w:szCs w:val="18"/>
              </w:rPr>
              <w:t>；径流</w:t>
            </w:r>
            <w:r>
              <w:rPr>
                <w:rFonts w:hint="eastAsia" w:ascii="宋体" w:hAnsi="宋体"/>
                <w:color w:val="000000" w:themeColor="text1"/>
                <w:sz w:val="18"/>
                <w:szCs w:val="18"/>
              </w:rPr>
              <w:t>□</w:t>
            </w:r>
            <w:r>
              <w:rPr>
                <w:rFonts w:hint="eastAsia"/>
                <w:color w:val="000000" w:themeColor="text1"/>
                <w:sz w:val="18"/>
                <w:szCs w:val="18"/>
              </w:rPr>
              <w:t>；水域面积</w:t>
            </w:r>
            <w:r>
              <w:rPr>
                <w:rFonts w:hint="eastAsia" w:ascii="宋体" w:hAnsi="宋体"/>
                <w:color w:val="000000" w:themeColor="text1"/>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shd w:val="clear" w:color="auto" w:fill="auto"/>
            <w:vAlign w:val="center"/>
          </w:tcPr>
          <w:p>
            <w:pPr>
              <w:jc w:val="center"/>
              <w:rPr>
                <w:color w:val="000000" w:themeColor="text1"/>
                <w:sz w:val="18"/>
                <w:szCs w:val="18"/>
              </w:rPr>
            </w:pPr>
            <w:r>
              <w:rPr>
                <w:rFonts w:hint="eastAsia"/>
                <w:color w:val="000000" w:themeColor="text1"/>
                <w:sz w:val="18"/>
                <w:szCs w:val="18"/>
              </w:rPr>
              <w:t>影响因子</w:t>
            </w:r>
          </w:p>
        </w:tc>
        <w:tc>
          <w:tcPr>
            <w:tcW w:w="3685" w:type="dxa"/>
            <w:gridSpan w:val="4"/>
            <w:shd w:val="clear" w:color="auto" w:fill="auto"/>
            <w:vAlign w:val="center"/>
          </w:tcPr>
          <w:p>
            <w:pPr>
              <w:rPr>
                <w:color w:val="000000" w:themeColor="text1"/>
                <w:sz w:val="18"/>
                <w:szCs w:val="18"/>
              </w:rPr>
            </w:pPr>
            <w:r>
              <w:rPr>
                <w:rFonts w:hint="eastAsia"/>
                <w:color w:val="000000" w:themeColor="text1"/>
                <w:sz w:val="18"/>
                <w:szCs w:val="18"/>
              </w:rPr>
              <w:t>持久性污染物</w:t>
            </w:r>
            <w:r>
              <w:rPr>
                <w:rFonts w:hint="eastAsia" w:ascii="宋体" w:hAnsi="宋体"/>
                <w:color w:val="000000" w:themeColor="text1"/>
                <w:sz w:val="18"/>
                <w:szCs w:val="18"/>
              </w:rPr>
              <w:t>□</w:t>
            </w:r>
            <w:r>
              <w:rPr>
                <w:rFonts w:hint="eastAsia"/>
                <w:color w:val="000000" w:themeColor="text1"/>
                <w:sz w:val="18"/>
                <w:szCs w:val="18"/>
              </w:rPr>
              <w:t>；有毒有害污染物</w:t>
            </w:r>
            <w:r>
              <w:rPr>
                <w:rFonts w:hint="eastAsia" w:ascii="宋体" w:hAnsi="宋体"/>
                <w:color w:val="000000" w:themeColor="text1"/>
                <w:sz w:val="18"/>
                <w:szCs w:val="18"/>
              </w:rPr>
              <w:sym w:font="Wingdings 2" w:char="F052"/>
            </w:r>
            <w:r>
              <w:rPr>
                <w:rFonts w:hint="eastAsia"/>
                <w:color w:val="000000" w:themeColor="text1"/>
                <w:sz w:val="18"/>
                <w:szCs w:val="18"/>
              </w:rPr>
              <w:t>；非持久性污染物</w:t>
            </w:r>
            <w:r>
              <w:rPr>
                <w:rFonts w:hint="eastAsia" w:ascii="宋体" w:hAnsi="宋体"/>
                <w:color w:val="000000" w:themeColor="text1"/>
                <w:sz w:val="18"/>
                <w:szCs w:val="18"/>
              </w:rPr>
              <w:t>□</w:t>
            </w:r>
            <w:r>
              <w:rPr>
                <w:rFonts w:hint="eastAsia"/>
                <w:color w:val="000000" w:themeColor="text1"/>
                <w:sz w:val="18"/>
                <w:szCs w:val="18"/>
              </w:rPr>
              <w:t>；pH值</w:t>
            </w:r>
            <w:r>
              <w:rPr>
                <w:rFonts w:hint="eastAsia" w:ascii="宋体" w:hAnsi="宋体"/>
                <w:color w:val="000000" w:themeColor="text1"/>
                <w:sz w:val="18"/>
                <w:szCs w:val="18"/>
              </w:rPr>
              <w:t>□</w:t>
            </w:r>
            <w:r>
              <w:rPr>
                <w:rFonts w:hint="eastAsia"/>
                <w:color w:val="000000" w:themeColor="text1"/>
                <w:sz w:val="18"/>
                <w:szCs w:val="18"/>
              </w:rPr>
              <w:t>；热污染</w:t>
            </w:r>
            <w:r>
              <w:rPr>
                <w:rFonts w:hint="eastAsia" w:ascii="宋体" w:hAnsi="宋体"/>
                <w:color w:val="000000" w:themeColor="text1"/>
                <w:sz w:val="18"/>
                <w:szCs w:val="18"/>
              </w:rPr>
              <w:t>□</w:t>
            </w:r>
            <w:r>
              <w:rPr>
                <w:rFonts w:hint="eastAsia"/>
                <w:color w:val="000000" w:themeColor="text1"/>
                <w:sz w:val="18"/>
                <w:szCs w:val="18"/>
              </w:rPr>
              <w:t>；富营养化</w:t>
            </w:r>
            <w:r>
              <w:rPr>
                <w:rFonts w:hint="eastAsia" w:ascii="宋体" w:hAnsi="宋体"/>
                <w:color w:val="000000" w:themeColor="text1"/>
                <w:sz w:val="18"/>
                <w:szCs w:val="18"/>
              </w:rPr>
              <w:t>□</w:t>
            </w:r>
            <w:r>
              <w:rPr>
                <w:rFonts w:hint="eastAsia"/>
                <w:color w:val="000000" w:themeColor="text1"/>
                <w:sz w:val="18"/>
                <w:szCs w:val="18"/>
              </w:rPr>
              <w:t>；其它</w:t>
            </w:r>
            <w:r>
              <w:rPr>
                <w:rFonts w:hint="eastAsia" w:ascii="宋体" w:hAnsi="宋体"/>
                <w:color w:val="000000" w:themeColor="text1"/>
                <w:sz w:val="18"/>
                <w:szCs w:val="18"/>
              </w:rPr>
              <w:sym w:font="CommercialPi BT" w:char="F029"/>
            </w:r>
          </w:p>
        </w:tc>
        <w:tc>
          <w:tcPr>
            <w:tcW w:w="3243" w:type="dxa"/>
            <w:gridSpan w:val="5"/>
            <w:shd w:val="clear" w:color="auto" w:fill="auto"/>
            <w:vAlign w:val="center"/>
          </w:tcPr>
          <w:p>
            <w:pPr>
              <w:rPr>
                <w:color w:val="000000" w:themeColor="text1"/>
                <w:sz w:val="18"/>
                <w:szCs w:val="18"/>
              </w:rPr>
            </w:pPr>
            <w:r>
              <w:rPr>
                <w:rFonts w:hint="eastAsia"/>
                <w:color w:val="000000" w:themeColor="text1"/>
                <w:sz w:val="18"/>
                <w:szCs w:val="18"/>
              </w:rPr>
              <w:t>水温</w:t>
            </w:r>
            <w:r>
              <w:rPr>
                <w:rFonts w:hint="eastAsia" w:ascii="宋体" w:hAnsi="宋体"/>
                <w:color w:val="000000" w:themeColor="text1"/>
                <w:sz w:val="18"/>
                <w:szCs w:val="18"/>
              </w:rPr>
              <w:t>□</w:t>
            </w:r>
            <w:r>
              <w:rPr>
                <w:rFonts w:hint="eastAsia"/>
                <w:color w:val="000000" w:themeColor="text1"/>
                <w:sz w:val="18"/>
                <w:szCs w:val="18"/>
              </w:rPr>
              <w:t>；水位</w:t>
            </w:r>
            <w:r>
              <w:rPr>
                <w:rFonts w:hint="eastAsia" w:ascii="宋体" w:hAnsi="宋体"/>
                <w:color w:val="000000" w:themeColor="text1"/>
                <w:sz w:val="18"/>
                <w:szCs w:val="18"/>
              </w:rPr>
              <w:t>□</w:t>
            </w:r>
            <w:r>
              <w:rPr>
                <w:rFonts w:hint="eastAsia"/>
                <w:color w:val="000000" w:themeColor="text1"/>
                <w:sz w:val="18"/>
                <w:szCs w:val="18"/>
              </w:rPr>
              <w:t>；流速</w:t>
            </w:r>
            <w:r>
              <w:rPr>
                <w:rFonts w:hint="eastAsia" w:ascii="宋体" w:hAnsi="宋体"/>
                <w:color w:val="000000" w:themeColor="text1"/>
                <w:sz w:val="18"/>
                <w:szCs w:val="18"/>
              </w:rPr>
              <w:t>□</w:t>
            </w:r>
            <w:r>
              <w:rPr>
                <w:rFonts w:hint="eastAsia"/>
                <w:color w:val="000000" w:themeColor="text1"/>
                <w:sz w:val="18"/>
                <w:szCs w:val="18"/>
              </w:rPr>
              <w:t>；流量</w:t>
            </w:r>
            <w:r>
              <w:rPr>
                <w:rFonts w:hint="eastAsia" w:ascii="宋体" w:hAnsi="宋体"/>
                <w:color w:val="000000" w:themeColor="text1"/>
                <w:sz w:val="18"/>
                <w:szCs w:val="18"/>
              </w:rPr>
              <w:t>□</w:t>
            </w:r>
            <w:r>
              <w:rPr>
                <w:rFonts w:hint="eastAsia"/>
                <w:color w:val="000000" w:themeColor="text1"/>
                <w:sz w:val="18"/>
                <w:szCs w:val="18"/>
              </w:rPr>
              <w:t>；其它</w:t>
            </w:r>
            <w:r>
              <w:rPr>
                <w:rFonts w:hint="eastAsia" w:ascii="宋体" w:hAnsi="宋体"/>
                <w:color w:val="000000" w:themeColor="text1"/>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7" w:type="dxa"/>
            <w:gridSpan w:val="2"/>
            <w:vMerge w:val="restart"/>
            <w:shd w:val="clear" w:color="auto" w:fill="auto"/>
            <w:vAlign w:val="center"/>
          </w:tcPr>
          <w:p>
            <w:pPr>
              <w:jc w:val="center"/>
              <w:rPr>
                <w:color w:val="000000" w:themeColor="text1"/>
                <w:sz w:val="18"/>
                <w:szCs w:val="18"/>
              </w:rPr>
            </w:pPr>
            <w:r>
              <w:rPr>
                <w:rFonts w:hint="eastAsia"/>
                <w:color w:val="000000" w:themeColor="text1"/>
                <w:sz w:val="18"/>
                <w:szCs w:val="18"/>
              </w:rPr>
              <w:t>评价等级</w:t>
            </w:r>
          </w:p>
        </w:tc>
        <w:tc>
          <w:tcPr>
            <w:tcW w:w="3685" w:type="dxa"/>
            <w:gridSpan w:val="4"/>
            <w:shd w:val="clear" w:color="auto" w:fill="auto"/>
            <w:vAlign w:val="center"/>
          </w:tcPr>
          <w:p>
            <w:pPr>
              <w:jc w:val="center"/>
              <w:rPr>
                <w:color w:val="000000" w:themeColor="text1"/>
                <w:sz w:val="18"/>
                <w:szCs w:val="18"/>
              </w:rPr>
            </w:pPr>
            <w:r>
              <w:rPr>
                <w:rFonts w:hint="eastAsia"/>
                <w:color w:val="000000" w:themeColor="text1"/>
                <w:sz w:val="18"/>
                <w:szCs w:val="18"/>
              </w:rPr>
              <w:t>水污染影响型</w:t>
            </w:r>
          </w:p>
        </w:tc>
        <w:tc>
          <w:tcPr>
            <w:tcW w:w="3243" w:type="dxa"/>
            <w:gridSpan w:val="5"/>
            <w:shd w:val="clear" w:color="auto" w:fill="auto"/>
            <w:vAlign w:val="center"/>
          </w:tcPr>
          <w:p>
            <w:pPr>
              <w:jc w:val="center"/>
              <w:rPr>
                <w:color w:val="000000" w:themeColor="text1"/>
                <w:sz w:val="18"/>
                <w:szCs w:val="18"/>
              </w:rPr>
            </w:pPr>
            <w:r>
              <w:rPr>
                <w:rFonts w:hint="eastAsia"/>
                <w:color w:val="000000" w:themeColor="text1"/>
                <w:sz w:val="18"/>
                <w:szCs w:val="18"/>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7" w:type="dxa"/>
            <w:gridSpan w:val="2"/>
            <w:vMerge w:val="continue"/>
            <w:shd w:val="clear" w:color="auto" w:fill="auto"/>
            <w:vAlign w:val="center"/>
          </w:tcPr>
          <w:p>
            <w:pPr>
              <w:jc w:val="center"/>
              <w:rPr>
                <w:color w:val="000000" w:themeColor="text1"/>
                <w:sz w:val="18"/>
                <w:szCs w:val="18"/>
              </w:rPr>
            </w:pPr>
          </w:p>
        </w:tc>
        <w:tc>
          <w:tcPr>
            <w:tcW w:w="3685" w:type="dxa"/>
            <w:gridSpan w:val="4"/>
            <w:shd w:val="clear" w:color="auto" w:fill="auto"/>
            <w:vAlign w:val="center"/>
          </w:tcPr>
          <w:p>
            <w:pPr>
              <w:rPr>
                <w:color w:val="000000" w:themeColor="text1"/>
                <w:sz w:val="18"/>
                <w:szCs w:val="18"/>
              </w:rPr>
            </w:pPr>
            <w:r>
              <w:rPr>
                <w:rFonts w:hint="eastAsia"/>
                <w:color w:val="000000" w:themeColor="text1"/>
                <w:sz w:val="18"/>
                <w:szCs w:val="18"/>
              </w:rPr>
              <w:t>一级</w:t>
            </w:r>
            <w:r>
              <w:rPr>
                <w:rFonts w:hint="eastAsia" w:ascii="宋体" w:hAnsi="宋体"/>
                <w:color w:val="000000" w:themeColor="text1"/>
                <w:sz w:val="18"/>
                <w:szCs w:val="18"/>
              </w:rPr>
              <w:t>□</w:t>
            </w:r>
            <w:r>
              <w:rPr>
                <w:rFonts w:hint="eastAsia"/>
                <w:color w:val="000000" w:themeColor="text1"/>
                <w:sz w:val="18"/>
                <w:szCs w:val="18"/>
              </w:rPr>
              <w:t>；二级</w:t>
            </w:r>
            <w:r>
              <w:rPr>
                <w:rFonts w:hint="eastAsia" w:ascii="宋体" w:hAnsi="宋体"/>
                <w:color w:val="000000" w:themeColor="text1"/>
                <w:sz w:val="18"/>
                <w:szCs w:val="18"/>
              </w:rPr>
              <w:t>□</w:t>
            </w:r>
            <w:r>
              <w:rPr>
                <w:rFonts w:hint="eastAsia"/>
                <w:color w:val="000000" w:themeColor="text1"/>
                <w:sz w:val="18"/>
                <w:szCs w:val="18"/>
              </w:rPr>
              <w:t>；三级A</w:t>
            </w:r>
            <w:r>
              <w:rPr>
                <w:rFonts w:hint="eastAsia" w:ascii="宋体" w:hAnsi="宋体"/>
                <w:color w:val="000000" w:themeColor="text1"/>
                <w:sz w:val="18"/>
                <w:szCs w:val="18"/>
              </w:rPr>
              <w:sym w:font="Wingdings 2" w:char="F052"/>
            </w:r>
            <w:r>
              <w:rPr>
                <w:rFonts w:hint="eastAsia"/>
                <w:color w:val="000000" w:themeColor="text1"/>
                <w:sz w:val="18"/>
                <w:szCs w:val="18"/>
              </w:rPr>
              <w:t>；三级B</w:t>
            </w:r>
            <w:r>
              <w:rPr>
                <w:rFonts w:hint="eastAsia" w:ascii="宋体" w:hAnsi="宋体"/>
                <w:color w:val="000000" w:themeColor="text1"/>
                <w:sz w:val="18"/>
                <w:szCs w:val="18"/>
              </w:rPr>
              <w:sym w:font="CommercialPi BT" w:char="F029"/>
            </w:r>
          </w:p>
        </w:tc>
        <w:tc>
          <w:tcPr>
            <w:tcW w:w="3243" w:type="dxa"/>
            <w:gridSpan w:val="5"/>
            <w:shd w:val="clear" w:color="auto" w:fill="auto"/>
            <w:vAlign w:val="center"/>
          </w:tcPr>
          <w:p>
            <w:pPr>
              <w:rPr>
                <w:color w:val="000000" w:themeColor="text1"/>
                <w:sz w:val="18"/>
                <w:szCs w:val="18"/>
              </w:rPr>
            </w:pPr>
            <w:r>
              <w:rPr>
                <w:rFonts w:hint="eastAsia"/>
                <w:color w:val="000000" w:themeColor="text1"/>
                <w:sz w:val="18"/>
                <w:szCs w:val="18"/>
              </w:rPr>
              <w:t>一级</w:t>
            </w:r>
            <w:r>
              <w:rPr>
                <w:rFonts w:hint="eastAsia" w:ascii="宋体" w:hAnsi="宋体"/>
                <w:color w:val="000000" w:themeColor="text1"/>
                <w:sz w:val="18"/>
                <w:szCs w:val="18"/>
              </w:rPr>
              <w:t>□</w:t>
            </w:r>
            <w:r>
              <w:rPr>
                <w:rFonts w:hint="eastAsia"/>
                <w:color w:val="000000" w:themeColor="text1"/>
                <w:sz w:val="18"/>
                <w:szCs w:val="18"/>
              </w:rPr>
              <w:t>；二级</w:t>
            </w:r>
            <w:r>
              <w:rPr>
                <w:rFonts w:hint="eastAsia" w:ascii="宋体" w:hAnsi="宋体"/>
                <w:color w:val="000000" w:themeColor="text1"/>
                <w:sz w:val="18"/>
                <w:szCs w:val="18"/>
              </w:rPr>
              <w:t>□</w:t>
            </w:r>
            <w:r>
              <w:rPr>
                <w:rFonts w:hint="eastAsia"/>
                <w:color w:val="000000" w:themeColor="text1"/>
                <w:sz w:val="18"/>
                <w:szCs w:val="18"/>
              </w:rPr>
              <w:t>；三级</w:t>
            </w:r>
            <w:r>
              <w:rPr>
                <w:rFonts w:hint="eastAsia" w:ascii="宋体" w:hAnsi="宋体"/>
                <w:color w:val="000000" w:themeColor="text1"/>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restart"/>
            <w:shd w:val="clear" w:color="auto" w:fill="auto"/>
            <w:vAlign w:val="center"/>
          </w:tcPr>
          <w:p>
            <w:pPr>
              <w:jc w:val="center"/>
              <w:rPr>
                <w:color w:val="000000" w:themeColor="text1"/>
                <w:sz w:val="18"/>
                <w:szCs w:val="18"/>
              </w:rPr>
            </w:pPr>
            <w:r>
              <w:rPr>
                <w:rFonts w:hint="eastAsia"/>
                <w:color w:val="000000" w:themeColor="text1"/>
                <w:sz w:val="18"/>
                <w:szCs w:val="18"/>
              </w:rPr>
              <w:t>现状调查</w:t>
            </w:r>
          </w:p>
        </w:tc>
        <w:tc>
          <w:tcPr>
            <w:tcW w:w="1560" w:type="dxa"/>
            <w:vMerge w:val="restart"/>
            <w:shd w:val="clear" w:color="auto" w:fill="auto"/>
            <w:vAlign w:val="center"/>
          </w:tcPr>
          <w:p>
            <w:pPr>
              <w:jc w:val="center"/>
              <w:rPr>
                <w:color w:val="000000" w:themeColor="text1"/>
                <w:sz w:val="18"/>
                <w:szCs w:val="18"/>
              </w:rPr>
            </w:pPr>
            <w:r>
              <w:rPr>
                <w:rFonts w:hint="eastAsia"/>
                <w:color w:val="000000" w:themeColor="text1"/>
                <w:sz w:val="18"/>
                <w:szCs w:val="18"/>
              </w:rPr>
              <w:t>区域污染源</w:t>
            </w:r>
          </w:p>
        </w:tc>
        <w:tc>
          <w:tcPr>
            <w:tcW w:w="3685" w:type="dxa"/>
            <w:gridSpan w:val="4"/>
            <w:shd w:val="clear" w:color="auto" w:fill="auto"/>
            <w:vAlign w:val="center"/>
          </w:tcPr>
          <w:p>
            <w:pPr>
              <w:jc w:val="center"/>
              <w:rPr>
                <w:color w:val="000000" w:themeColor="text1"/>
                <w:sz w:val="18"/>
                <w:szCs w:val="18"/>
              </w:rPr>
            </w:pPr>
            <w:r>
              <w:rPr>
                <w:rFonts w:hint="eastAsia"/>
                <w:color w:val="000000" w:themeColor="text1"/>
                <w:sz w:val="18"/>
                <w:szCs w:val="18"/>
              </w:rPr>
              <w:t>调查项目</w:t>
            </w:r>
          </w:p>
        </w:tc>
        <w:tc>
          <w:tcPr>
            <w:tcW w:w="3243" w:type="dxa"/>
            <w:gridSpan w:val="5"/>
            <w:shd w:val="clear" w:color="auto" w:fill="auto"/>
            <w:vAlign w:val="center"/>
          </w:tcPr>
          <w:p>
            <w:pPr>
              <w:jc w:val="center"/>
              <w:rPr>
                <w:color w:val="000000" w:themeColor="text1"/>
                <w:sz w:val="18"/>
                <w:szCs w:val="18"/>
              </w:rPr>
            </w:pPr>
            <w:r>
              <w:rPr>
                <w:rFonts w:hint="eastAsia"/>
                <w:color w:val="000000" w:themeColor="text1"/>
                <w:sz w:val="18"/>
                <w:szCs w:val="18"/>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vMerge w:val="continue"/>
            <w:shd w:val="clear" w:color="auto" w:fill="auto"/>
            <w:vAlign w:val="center"/>
          </w:tcPr>
          <w:p>
            <w:pPr>
              <w:jc w:val="center"/>
              <w:rPr>
                <w:color w:val="000000" w:themeColor="text1"/>
                <w:sz w:val="18"/>
                <w:szCs w:val="18"/>
              </w:rPr>
            </w:pPr>
          </w:p>
        </w:tc>
        <w:tc>
          <w:tcPr>
            <w:tcW w:w="2400" w:type="dxa"/>
            <w:gridSpan w:val="2"/>
            <w:shd w:val="clear" w:color="auto" w:fill="auto"/>
            <w:vAlign w:val="center"/>
          </w:tcPr>
          <w:p>
            <w:pPr>
              <w:jc w:val="center"/>
              <w:rPr>
                <w:color w:val="000000" w:themeColor="text1"/>
                <w:sz w:val="18"/>
                <w:szCs w:val="18"/>
              </w:rPr>
            </w:pPr>
            <w:r>
              <w:rPr>
                <w:rFonts w:hint="eastAsia"/>
                <w:color w:val="000000" w:themeColor="text1"/>
                <w:sz w:val="18"/>
                <w:szCs w:val="18"/>
              </w:rPr>
              <w:t>已建</w:t>
            </w:r>
            <w:r>
              <w:rPr>
                <w:rFonts w:hint="eastAsia" w:ascii="宋体" w:hAnsi="宋体"/>
                <w:color w:val="000000" w:themeColor="text1"/>
                <w:sz w:val="18"/>
                <w:szCs w:val="18"/>
              </w:rPr>
              <w:t>□</w:t>
            </w:r>
            <w:r>
              <w:rPr>
                <w:rFonts w:hint="eastAsia"/>
                <w:color w:val="000000" w:themeColor="text1"/>
                <w:sz w:val="18"/>
                <w:szCs w:val="18"/>
              </w:rPr>
              <w:t>；在建</w:t>
            </w:r>
            <w:r>
              <w:rPr>
                <w:rFonts w:hint="eastAsia" w:ascii="宋体" w:hAnsi="宋体"/>
                <w:color w:val="000000" w:themeColor="text1"/>
                <w:sz w:val="18"/>
                <w:szCs w:val="18"/>
              </w:rPr>
              <w:t>□</w:t>
            </w:r>
            <w:r>
              <w:rPr>
                <w:rFonts w:hint="eastAsia"/>
                <w:color w:val="000000" w:themeColor="text1"/>
                <w:sz w:val="18"/>
                <w:szCs w:val="18"/>
              </w:rPr>
              <w:t>；拟建</w:t>
            </w:r>
            <w:r>
              <w:rPr>
                <w:rFonts w:hint="eastAsia" w:ascii="宋体" w:hAnsi="宋体"/>
                <w:color w:val="000000" w:themeColor="text1"/>
                <w:sz w:val="18"/>
                <w:szCs w:val="18"/>
              </w:rPr>
              <w:t>□</w:t>
            </w:r>
            <w:r>
              <w:rPr>
                <w:rFonts w:hint="eastAsia"/>
                <w:color w:val="000000" w:themeColor="text1"/>
                <w:sz w:val="18"/>
                <w:szCs w:val="18"/>
              </w:rPr>
              <w:t>；其它</w:t>
            </w:r>
            <w:r>
              <w:rPr>
                <w:rFonts w:hint="eastAsia" w:ascii="宋体" w:hAnsi="宋体"/>
                <w:color w:val="000000" w:themeColor="text1"/>
                <w:sz w:val="18"/>
                <w:szCs w:val="18"/>
              </w:rPr>
              <w:t>□</w:t>
            </w:r>
          </w:p>
        </w:tc>
        <w:tc>
          <w:tcPr>
            <w:tcW w:w="1285" w:type="dxa"/>
            <w:gridSpan w:val="2"/>
            <w:shd w:val="clear" w:color="auto" w:fill="auto"/>
            <w:vAlign w:val="center"/>
          </w:tcPr>
          <w:p>
            <w:pPr>
              <w:jc w:val="center"/>
              <w:rPr>
                <w:color w:val="000000" w:themeColor="text1"/>
                <w:sz w:val="18"/>
                <w:szCs w:val="18"/>
              </w:rPr>
            </w:pPr>
            <w:r>
              <w:rPr>
                <w:rFonts w:hint="eastAsia"/>
                <w:color w:val="000000" w:themeColor="text1"/>
                <w:sz w:val="18"/>
                <w:szCs w:val="18"/>
              </w:rPr>
              <w:t>拟替代的污染源</w:t>
            </w:r>
            <w:r>
              <w:rPr>
                <w:rFonts w:hint="eastAsia" w:ascii="宋体" w:hAnsi="宋体"/>
                <w:color w:val="000000" w:themeColor="text1"/>
                <w:sz w:val="18"/>
                <w:szCs w:val="18"/>
              </w:rPr>
              <w:t>□</w:t>
            </w:r>
          </w:p>
        </w:tc>
        <w:tc>
          <w:tcPr>
            <w:tcW w:w="3243" w:type="dxa"/>
            <w:gridSpan w:val="5"/>
            <w:shd w:val="clear" w:color="auto" w:fill="auto"/>
            <w:vAlign w:val="center"/>
          </w:tcPr>
          <w:p>
            <w:pPr>
              <w:jc w:val="center"/>
              <w:rPr>
                <w:color w:val="000000" w:themeColor="text1"/>
                <w:sz w:val="18"/>
                <w:szCs w:val="18"/>
              </w:rPr>
            </w:pPr>
            <w:r>
              <w:rPr>
                <w:rFonts w:hint="eastAsia"/>
                <w:color w:val="000000" w:themeColor="text1"/>
                <w:sz w:val="18"/>
                <w:szCs w:val="18"/>
              </w:rPr>
              <w:t>排污许可证</w:t>
            </w:r>
            <w:r>
              <w:rPr>
                <w:rFonts w:hint="eastAsia" w:ascii="宋体" w:hAnsi="宋体"/>
                <w:color w:val="000000" w:themeColor="text1"/>
                <w:sz w:val="18"/>
                <w:szCs w:val="18"/>
              </w:rPr>
              <w:t>□</w:t>
            </w:r>
            <w:r>
              <w:rPr>
                <w:rFonts w:hint="eastAsia"/>
                <w:color w:val="000000" w:themeColor="text1"/>
                <w:sz w:val="18"/>
                <w:szCs w:val="18"/>
              </w:rPr>
              <w:t>；环评</w:t>
            </w:r>
            <w:r>
              <w:rPr>
                <w:rFonts w:hint="eastAsia" w:ascii="宋体" w:hAnsi="宋体"/>
                <w:color w:val="000000" w:themeColor="text1"/>
                <w:sz w:val="18"/>
                <w:szCs w:val="18"/>
              </w:rPr>
              <w:t>□</w:t>
            </w:r>
            <w:r>
              <w:rPr>
                <w:rFonts w:hint="eastAsia"/>
                <w:color w:val="000000" w:themeColor="text1"/>
                <w:sz w:val="18"/>
                <w:szCs w:val="18"/>
              </w:rPr>
              <w:t>；环评验收</w:t>
            </w:r>
            <w:r>
              <w:rPr>
                <w:rFonts w:hint="eastAsia" w:ascii="宋体" w:hAnsi="宋体"/>
                <w:color w:val="000000" w:themeColor="text1"/>
                <w:sz w:val="18"/>
                <w:szCs w:val="18"/>
              </w:rPr>
              <w:t>□</w:t>
            </w:r>
            <w:r>
              <w:rPr>
                <w:rFonts w:hint="eastAsia"/>
                <w:color w:val="000000" w:themeColor="text1"/>
                <w:sz w:val="18"/>
                <w:szCs w:val="18"/>
              </w:rPr>
              <w:t>；既有实测</w:t>
            </w:r>
            <w:r>
              <w:rPr>
                <w:rFonts w:hint="eastAsia" w:ascii="宋体" w:hAnsi="宋体"/>
                <w:color w:val="000000" w:themeColor="text1"/>
                <w:sz w:val="18"/>
                <w:szCs w:val="18"/>
              </w:rPr>
              <w:t>□</w:t>
            </w:r>
            <w:r>
              <w:rPr>
                <w:rFonts w:hint="eastAsia"/>
                <w:color w:val="000000" w:themeColor="text1"/>
                <w:sz w:val="18"/>
                <w:szCs w:val="18"/>
              </w:rPr>
              <w:t>；现场监测</w:t>
            </w:r>
            <w:r>
              <w:rPr>
                <w:rFonts w:hint="eastAsia" w:ascii="宋体" w:hAnsi="宋体"/>
                <w:color w:val="000000" w:themeColor="text1"/>
                <w:sz w:val="18"/>
                <w:szCs w:val="18"/>
              </w:rPr>
              <w:t>□</w:t>
            </w:r>
            <w:r>
              <w:rPr>
                <w:rFonts w:hint="eastAsia"/>
                <w:color w:val="000000" w:themeColor="text1"/>
                <w:sz w:val="18"/>
                <w:szCs w:val="18"/>
              </w:rPr>
              <w:t>；入河排放口数据</w:t>
            </w:r>
            <w:r>
              <w:rPr>
                <w:rFonts w:hint="eastAsia" w:ascii="宋体" w:hAnsi="宋体"/>
                <w:color w:val="000000" w:themeColor="text1"/>
                <w:sz w:val="18"/>
                <w:szCs w:val="18"/>
              </w:rPr>
              <w:t>□</w:t>
            </w:r>
            <w:r>
              <w:rPr>
                <w:rFonts w:hint="eastAsia"/>
                <w:color w:val="000000" w:themeColor="text1"/>
                <w:sz w:val="18"/>
                <w:szCs w:val="18"/>
              </w:rPr>
              <w:t>；其它</w:t>
            </w:r>
            <w:r>
              <w:rPr>
                <w:rFonts w:hint="eastAsia" w:ascii="宋体" w:hAnsi="宋体"/>
                <w:color w:val="000000" w:themeColor="text1"/>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vMerge w:val="restart"/>
            <w:shd w:val="clear" w:color="auto" w:fill="auto"/>
            <w:vAlign w:val="center"/>
          </w:tcPr>
          <w:p>
            <w:pPr>
              <w:jc w:val="center"/>
              <w:rPr>
                <w:color w:val="000000" w:themeColor="text1"/>
                <w:sz w:val="18"/>
                <w:szCs w:val="18"/>
              </w:rPr>
            </w:pPr>
            <w:r>
              <w:rPr>
                <w:rFonts w:hint="eastAsia"/>
                <w:color w:val="000000" w:themeColor="text1"/>
                <w:sz w:val="18"/>
                <w:szCs w:val="18"/>
              </w:rPr>
              <w:t>受影响水体水环境质量</w:t>
            </w:r>
          </w:p>
        </w:tc>
        <w:tc>
          <w:tcPr>
            <w:tcW w:w="3685" w:type="dxa"/>
            <w:gridSpan w:val="4"/>
            <w:shd w:val="clear" w:color="auto" w:fill="auto"/>
            <w:vAlign w:val="center"/>
          </w:tcPr>
          <w:p>
            <w:pPr>
              <w:jc w:val="center"/>
              <w:rPr>
                <w:color w:val="000000" w:themeColor="text1"/>
                <w:sz w:val="18"/>
                <w:szCs w:val="18"/>
              </w:rPr>
            </w:pPr>
            <w:r>
              <w:rPr>
                <w:rFonts w:hint="eastAsia"/>
                <w:color w:val="000000" w:themeColor="text1"/>
                <w:sz w:val="18"/>
                <w:szCs w:val="18"/>
              </w:rPr>
              <w:t>调查时期</w:t>
            </w:r>
          </w:p>
        </w:tc>
        <w:tc>
          <w:tcPr>
            <w:tcW w:w="3243" w:type="dxa"/>
            <w:gridSpan w:val="5"/>
            <w:shd w:val="clear" w:color="auto" w:fill="auto"/>
            <w:vAlign w:val="center"/>
          </w:tcPr>
          <w:p>
            <w:pPr>
              <w:jc w:val="center"/>
              <w:rPr>
                <w:color w:val="000000" w:themeColor="text1"/>
                <w:sz w:val="18"/>
                <w:szCs w:val="18"/>
              </w:rPr>
            </w:pPr>
            <w:r>
              <w:rPr>
                <w:rFonts w:hint="eastAsia"/>
                <w:color w:val="000000" w:themeColor="text1"/>
                <w:sz w:val="18"/>
                <w:szCs w:val="18"/>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vMerge w:val="continue"/>
            <w:shd w:val="clear" w:color="auto" w:fill="auto"/>
            <w:vAlign w:val="center"/>
          </w:tcPr>
          <w:p>
            <w:pPr>
              <w:jc w:val="center"/>
              <w:rPr>
                <w:color w:val="000000" w:themeColor="text1"/>
                <w:sz w:val="18"/>
                <w:szCs w:val="18"/>
              </w:rPr>
            </w:pPr>
          </w:p>
        </w:tc>
        <w:tc>
          <w:tcPr>
            <w:tcW w:w="3685" w:type="dxa"/>
            <w:gridSpan w:val="4"/>
            <w:shd w:val="clear" w:color="auto" w:fill="auto"/>
            <w:vAlign w:val="center"/>
          </w:tcPr>
          <w:p>
            <w:pPr>
              <w:rPr>
                <w:color w:val="000000" w:themeColor="text1"/>
                <w:sz w:val="18"/>
                <w:szCs w:val="18"/>
              </w:rPr>
            </w:pPr>
            <w:r>
              <w:rPr>
                <w:rFonts w:hint="eastAsia"/>
                <w:color w:val="000000" w:themeColor="text1"/>
                <w:sz w:val="18"/>
                <w:szCs w:val="18"/>
              </w:rPr>
              <w:t>丰水期</w:t>
            </w:r>
            <w:r>
              <w:rPr>
                <w:rFonts w:hint="eastAsia" w:ascii="宋体" w:hAnsi="宋体"/>
                <w:color w:val="000000" w:themeColor="text1"/>
                <w:sz w:val="18"/>
                <w:szCs w:val="18"/>
              </w:rPr>
              <w:t>□</w:t>
            </w:r>
            <w:r>
              <w:rPr>
                <w:rFonts w:hint="eastAsia"/>
                <w:color w:val="000000" w:themeColor="text1"/>
                <w:sz w:val="18"/>
                <w:szCs w:val="18"/>
              </w:rPr>
              <w:t>；平水期</w:t>
            </w:r>
            <w:r>
              <w:rPr>
                <w:rFonts w:hint="eastAsia" w:ascii="宋体" w:hAnsi="宋体"/>
                <w:color w:val="000000" w:themeColor="text1"/>
                <w:sz w:val="18"/>
                <w:szCs w:val="18"/>
              </w:rPr>
              <w:t>□</w:t>
            </w:r>
            <w:r>
              <w:rPr>
                <w:rFonts w:hint="eastAsia"/>
                <w:color w:val="000000" w:themeColor="text1"/>
                <w:sz w:val="18"/>
                <w:szCs w:val="18"/>
              </w:rPr>
              <w:t>；枯水期</w:t>
            </w:r>
            <w:r>
              <w:rPr>
                <w:rFonts w:hint="eastAsia" w:ascii="宋体" w:hAnsi="宋体"/>
                <w:color w:val="000000" w:themeColor="text1"/>
                <w:sz w:val="18"/>
                <w:szCs w:val="18"/>
              </w:rPr>
              <w:t>□</w:t>
            </w:r>
            <w:r>
              <w:rPr>
                <w:rFonts w:hint="eastAsia"/>
                <w:color w:val="000000" w:themeColor="text1"/>
                <w:sz w:val="18"/>
                <w:szCs w:val="18"/>
              </w:rPr>
              <w:t>；冰封期</w:t>
            </w:r>
            <w:r>
              <w:rPr>
                <w:rFonts w:hint="eastAsia" w:ascii="宋体" w:hAnsi="宋体"/>
                <w:color w:val="000000" w:themeColor="text1"/>
                <w:sz w:val="18"/>
                <w:szCs w:val="18"/>
              </w:rPr>
              <w:t>□</w:t>
            </w:r>
          </w:p>
          <w:p>
            <w:pPr>
              <w:rPr>
                <w:color w:val="000000" w:themeColor="text1"/>
                <w:sz w:val="18"/>
                <w:szCs w:val="18"/>
              </w:rPr>
            </w:pPr>
            <w:r>
              <w:rPr>
                <w:rFonts w:hint="eastAsia"/>
                <w:color w:val="000000" w:themeColor="text1"/>
                <w:sz w:val="18"/>
                <w:szCs w:val="18"/>
              </w:rPr>
              <w:t>春季</w:t>
            </w:r>
            <w:r>
              <w:rPr>
                <w:rFonts w:hint="eastAsia" w:ascii="宋体" w:hAnsi="宋体"/>
                <w:color w:val="000000" w:themeColor="text1"/>
                <w:sz w:val="18"/>
                <w:szCs w:val="18"/>
              </w:rPr>
              <w:t>□</w:t>
            </w:r>
            <w:r>
              <w:rPr>
                <w:rFonts w:hint="eastAsia"/>
                <w:color w:val="000000" w:themeColor="text1"/>
                <w:sz w:val="18"/>
                <w:szCs w:val="18"/>
              </w:rPr>
              <w:t>；夏季</w:t>
            </w:r>
            <w:r>
              <w:rPr>
                <w:rFonts w:hint="eastAsia" w:ascii="宋体" w:hAnsi="宋体"/>
                <w:color w:val="000000" w:themeColor="text1"/>
                <w:sz w:val="18"/>
                <w:szCs w:val="18"/>
              </w:rPr>
              <w:t>□</w:t>
            </w:r>
            <w:r>
              <w:rPr>
                <w:rFonts w:hint="eastAsia"/>
                <w:color w:val="000000" w:themeColor="text1"/>
                <w:sz w:val="18"/>
                <w:szCs w:val="18"/>
              </w:rPr>
              <w:t>；秋季</w:t>
            </w:r>
            <w:r>
              <w:rPr>
                <w:rFonts w:hint="eastAsia" w:ascii="宋体" w:hAnsi="宋体"/>
                <w:color w:val="000000" w:themeColor="text1"/>
                <w:sz w:val="18"/>
                <w:szCs w:val="18"/>
              </w:rPr>
              <w:t>□</w:t>
            </w:r>
            <w:r>
              <w:rPr>
                <w:rFonts w:hint="eastAsia"/>
                <w:color w:val="000000" w:themeColor="text1"/>
                <w:sz w:val="18"/>
                <w:szCs w:val="18"/>
              </w:rPr>
              <w:t>；冬季</w:t>
            </w:r>
            <w:r>
              <w:rPr>
                <w:rFonts w:hint="eastAsia" w:ascii="宋体" w:hAnsi="宋体"/>
                <w:color w:val="000000" w:themeColor="text1"/>
                <w:sz w:val="18"/>
                <w:szCs w:val="18"/>
              </w:rPr>
              <w:t>□</w:t>
            </w:r>
          </w:p>
        </w:tc>
        <w:tc>
          <w:tcPr>
            <w:tcW w:w="3243" w:type="dxa"/>
            <w:gridSpan w:val="5"/>
            <w:shd w:val="clear" w:color="auto" w:fill="auto"/>
            <w:vAlign w:val="center"/>
          </w:tcPr>
          <w:p>
            <w:pPr>
              <w:rPr>
                <w:color w:val="000000" w:themeColor="text1"/>
                <w:sz w:val="18"/>
                <w:szCs w:val="18"/>
              </w:rPr>
            </w:pPr>
            <w:r>
              <w:rPr>
                <w:rFonts w:hint="eastAsia"/>
                <w:color w:val="000000" w:themeColor="text1"/>
                <w:sz w:val="18"/>
                <w:szCs w:val="18"/>
              </w:rPr>
              <w:t>生态环境保护主管部门</w:t>
            </w:r>
            <w:r>
              <w:rPr>
                <w:rFonts w:hint="eastAsia" w:ascii="宋体" w:hAnsi="宋体"/>
                <w:color w:val="000000" w:themeColor="text1"/>
                <w:sz w:val="18"/>
                <w:szCs w:val="18"/>
              </w:rPr>
              <w:t>□</w:t>
            </w:r>
            <w:r>
              <w:rPr>
                <w:rFonts w:hint="eastAsia"/>
                <w:color w:val="000000" w:themeColor="text1"/>
                <w:sz w:val="18"/>
                <w:szCs w:val="18"/>
              </w:rPr>
              <w:t>；补充监测</w:t>
            </w:r>
            <w:r>
              <w:rPr>
                <w:rFonts w:hint="eastAsia" w:ascii="宋体" w:hAnsi="宋体"/>
                <w:color w:val="000000" w:themeColor="text1"/>
                <w:sz w:val="18"/>
                <w:szCs w:val="18"/>
              </w:rPr>
              <w:t>□</w:t>
            </w:r>
            <w:r>
              <w:rPr>
                <w:rFonts w:hint="eastAsia"/>
                <w:color w:val="000000" w:themeColor="text1"/>
                <w:sz w:val="18"/>
                <w:szCs w:val="18"/>
              </w:rPr>
              <w:t>；其它</w:t>
            </w:r>
            <w:r>
              <w:rPr>
                <w:rFonts w:hint="eastAsia" w:ascii="宋体" w:hAnsi="宋体"/>
                <w:color w:val="000000" w:themeColor="text1"/>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shd w:val="clear" w:color="auto" w:fill="auto"/>
            <w:vAlign w:val="center"/>
          </w:tcPr>
          <w:p>
            <w:pPr>
              <w:jc w:val="center"/>
              <w:rPr>
                <w:color w:val="000000" w:themeColor="text1"/>
                <w:sz w:val="18"/>
                <w:szCs w:val="18"/>
              </w:rPr>
            </w:pPr>
            <w:r>
              <w:rPr>
                <w:rFonts w:hint="eastAsia"/>
                <w:color w:val="000000" w:themeColor="text1"/>
                <w:sz w:val="18"/>
                <w:szCs w:val="18"/>
              </w:rPr>
              <w:t>区域水资源开发利用状况</w:t>
            </w:r>
          </w:p>
        </w:tc>
        <w:tc>
          <w:tcPr>
            <w:tcW w:w="6928" w:type="dxa"/>
            <w:gridSpan w:val="9"/>
            <w:shd w:val="clear" w:color="auto" w:fill="auto"/>
            <w:vAlign w:val="center"/>
          </w:tcPr>
          <w:p>
            <w:pPr>
              <w:rPr>
                <w:color w:val="000000" w:themeColor="text1"/>
                <w:sz w:val="18"/>
                <w:szCs w:val="18"/>
              </w:rPr>
            </w:pPr>
            <w:r>
              <w:rPr>
                <w:rFonts w:hint="eastAsia"/>
                <w:color w:val="000000" w:themeColor="text1"/>
                <w:sz w:val="18"/>
                <w:szCs w:val="18"/>
              </w:rPr>
              <w:t>未开发</w:t>
            </w:r>
            <w:r>
              <w:rPr>
                <w:rFonts w:hint="eastAsia" w:ascii="宋体" w:hAnsi="宋体"/>
                <w:color w:val="000000" w:themeColor="text1"/>
                <w:sz w:val="18"/>
                <w:szCs w:val="18"/>
              </w:rPr>
              <w:t>□</w:t>
            </w:r>
            <w:r>
              <w:rPr>
                <w:rFonts w:hint="eastAsia"/>
                <w:color w:val="000000" w:themeColor="text1"/>
                <w:sz w:val="18"/>
                <w:szCs w:val="18"/>
              </w:rPr>
              <w:t>；开发量40%以下</w:t>
            </w:r>
            <w:r>
              <w:rPr>
                <w:rFonts w:hint="eastAsia" w:ascii="宋体" w:hAnsi="宋体"/>
                <w:color w:val="000000" w:themeColor="text1"/>
                <w:sz w:val="18"/>
                <w:szCs w:val="18"/>
              </w:rPr>
              <w:t>□</w:t>
            </w:r>
            <w:r>
              <w:rPr>
                <w:rFonts w:hint="eastAsia"/>
                <w:color w:val="000000" w:themeColor="text1"/>
                <w:sz w:val="18"/>
                <w:szCs w:val="18"/>
              </w:rPr>
              <w:t>；开发量40%以上</w:t>
            </w:r>
            <w:r>
              <w:rPr>
                <w:rFonts w:hint="eastAsia" w:ascii="宋体" w:hAnsi="宋体"/>
                <w:color w:val="000000" w:themeColor="text1"/>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vMerge w:val="restart"/>
            <w:shd w:val="clear" w:color="auto" w:fill="auto"/>
            <w:vAlign w:val="center"/>
          </w:tcPr>
          <w:p>
            <w:pPr>
              <w:jc w:val="center"/>
              <w:rPr>
                <w:color w:val="000000" w:themeColor="text1"/>
                <w:sz w:val="18"/>
                <w:szCs w:val="18"/>
              </w:rPr>
            </w:pPr>
            <w:r>
              <w:rPr>
                <w:rFonts w:hint="eastAsia"/>
                <w:color w:val="000000" w:themeColor="text1"/>
                <w:sz w:val="18"/>
                <w:szCs w:val="18"/>
              </w:rPr>
              <w:t>水文情势调查</w:t>
            </w:r>
          </w:p>
        </w:tc>
        <w:tc>
          <w:tcPr>
            <w:tcW w:w="3685" w:type="dxa"/>
            <w:gridSpan w:val="4"/>
            <w:shd w:val="clear" w:color="auto" w:fill="auto"/>
            <w:vAlign w:val="center"/>
          </w:tcPr>
          <w:p>
            <w:pPr>
              <w:jc w:val="center"/>
              <w:rPr>
                <w:color w:val="000000" w:themeColor="text1"/>
                <w:sz w:val="18"/>
                <w:szCs w:val="18"/>
              </w:rPr>
            </w:pPr>
            <w:r>
              <w:rPr>
                <w:rFonts w:hint="eastAsia"/>
                <w:color w:val="000000" w:themeColor="text1"/>
                <w:sz w:val="18"/>
                <w:szCs w:val="18"/>
              </w:rPr>
              <w:t>调查时期</w:t>
            </w:r>
          </w:p>
        </w:tc>
        <w:tc>
          <w:tcPr>
            <w:tcW w:w="3243" w:type="dxa"/>
            <w:gridSpan w:val="5"/>
            <w:shd w:val="clear" w:color="auto" w:fill="auto"/>
            <w:vAlign w:val="center"/>
          </w:tcPr>
          <w:p>
            <w:pPr>
              <w:jc w:val="center"/>
              <w:rPr>
                <w:color w:val="000000" w:themeColor="text1"/>
                <w:sz w:val="18"/>
                <w:szCs w:val="18"/>
              </w:rPr>
            </w:pPr>
            <w:r>
              <w:rPr>
                <w:rFonts w:hint="eastAsia"/>
                <w:color w:val="000000" w:themeColor="text1"/>
                <w:sz w:val="18"/>
                <w:szCs w:val="18"/>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vMerge w:val="continue"/>
            <w:shd w:val="clear" w:color="auto" w:fill="auto"/>
            <w:vAlign w:val="center"/>
          </w:tcPr>
          <w:p>
            <w:pPr>
              <w:jc w:val="center"/>
              <w:rPr>
                <w:color w:val="000000" w:themeColor="text1"/>
                <w:sz w:val="18"/>
                <w:szCs w:val="18"/>
              </w:rPr>
            </w:pPr>
          </w:p>
        </w:tc>
        <w:tc>
          <w:tcPr>
            <w:tcW w:w="3685" w:type="dxa"/>
            <w:gridSpan w:val="4"/>
            <w:shd w:val="clear" w:color="auto" w:fill="auto"/>
            <w:vAlign w:val="center"/>
          </w:tcPr>
          <w:p>
            <w:pPr>
              <w:rPr>
                <w:color w:val="000000" w:themeColor="text1"/>
                <w:sz w:val="18"/>
                <w:szCs w:val="18"/>
              </w:rPr>
            </w:pPr>
            <w:r>
              <w:rPr>
                <w:rFonts w:hint="eastAsia"/>
                <w:color w:val="000000" w:themeColor="text1"/>
                <w:sz w:val="18"/>
                <w:szCs w:val="18"/>
              </w:rPr>
              <w:t>丰水期</w:t>
            </w:r>
            <w:r>
              <w:rPr>
                <w:rFonts w:hint="eastAsia" w:ascii="宋体" w:hAnsi="宋体"/>
                <w:color w:val="000000" w:themeColor="text1"/>
                <w:sz w:val="18"/>
                <w:szCs w:val="18"/>
              </w:rPr>
              <w:t>□</w:t>
            </w:r>
            <w:r>
              <w:rPr>
                <w:rFonts w:hint="eastAsia"/>
                <w:color w:val="000000" w:themeColor="text1"/>
                <w:sz w:val="18"/>
                <w:szCs w:val="18"/>
              </w:rPr>
              <w:t>；平水期</w:t>
            </w:r>
            <w:r>
              <w:rPr>
                <w:rFonts w:hint="eastAsia" w:ascii="宋体" w:hAnsi="宋体"/>
                <w:color w:val="000000" w:themeColor="text1"/>
                <w:sz w:val="18"/>
                <w:szCs w:val="18"/>
              </w:rPr>
              <w:t>□</w:t>
            </w:r>
            <w:r>
              <w:rPr>
                <w:rFonts w:hint="eastAsia"/>
                <w:color w:val="000000" w:themeColor="text1"/>
                <w:sz w:val="18"/>
                <w:szCs w:val="18"/>
              </w:rPr>
              <w:t>；枯水期</w:t>
            </w:r>
            <w:r>
              <w:rPr>
                <w:rFonts w:hint="eastAsia" w:ascii="宋体" w:hAnsi="宋体"/>
                <w:color w:val="000000" w:themeColor="text1"/>
                <w:sz w:val="18"/>
                <w:szCs w:val="18"/>
              </w:rPr>
              <w:t>□</w:t>
            </w:r>
            <w:r>
              <w:rPr>
                <w:rFonts w:hint="eastAsia"/>
                <w:color w:val="000000" w:themeColor="text1"/>
                <w:sz w:val="18"/>
                <w:szCs w:val="18"/>
              </w:rPr>
              <w:t>；冰封期</w:t>
            </w:r>
            <w:r>
              <w:rPr>
                <w:rFonts w:hint="eastAsia" w:ascii="宋体" w:hAnsi="宋体"/>
                <w:color w:val="000000" w:themeColor="text1"/>
                <w:sz w:val="18"/>
                <w:szCs w:val="18"/>
              </w:rPr>
              <w:t>□</w:t>
            </w:r>
          </w:p>
          <w:p>
            <w:pPr>
              <w:rPr>
                <w:color w:val="000000" w:themeColor="text1"/>
                <w:sz w:val="18"/>
                <w:szCs w:val="18"/>
              </w:rPr>
            </w:pPr>
            <w:r>
              <w:rPr>
                <w:rFonts w:hint="eastAsia"/>
                <w:color w:val="000000" w:themeColor="text1"/>
                <w:sz w:val="18"/>
                <w:szCs w:val="18"/>
              </w:rPr>
              <w:t>春季</w:t>
            </w:r>
            <w:r>
              <w:rPr>
                <w:rFonts w:hint="eastAsia" w:ascii="宋体" w:hAnsi="宋体"/>
                <w:color w:val="000000" w:themeColor="text1"/>
                <w:sz w:val="18"/>
                <w:szCs w:val="18"/>
              </w:rPr>
              <w:t>□</w:t>
            </w:r>
            <w:r>
              <w:rPr>
                <w:rFonts w:hint="eastAsia"/>
                <w:color w:val="000000" w:themeColor="text1"/>
                <w:sz w:val="18"/>
                <w:szCs w:val="18"/>
              </w:rPr>
              <w:t>；夏季</w:t>
            </w:r>
            <w:r>
              <w:rPr>
                <w:rFonts w:hint="eastAsia" w:ascii="宋体" w:hAnsi="宋体"/>
                <w:color w:val="000000" w:themeColor="text1"/>
                <w:sz w:val="18"/>
                <w:szCs w:val="18"/>
              </w:rPr>
              <w:t>□</w:t>
            </w:r>
            <w:r>
              <w:rPr>
                <w:rFonts w:hint="eastAsia"/>
                <w:color w:val="000000" w:themeColor="text1"/>
                <w:sz w:val="18"/>
                <w:szCs w:val="18"/>
              </w:rPr>
              <w:t>；秋季</w:t>
            </w:r>
            <w:r>
              <w:rPr>
                <w:rFonts w:hint="eastAsia" w:ascii="宋体" w:hAnsi="宋体"/>
                <w:color w:val="000000" w:themeColor="text1"/>
                <w:sz w:val="18"/>
                <w:szCs w:val="18"/>
              </w:rPr>
              <w:t>□</w:t>
            </w:r>
            <w:r>
              <w:rPr>
                <w:rFonts w:hint="eastAsia"/>
                <w:color w:val="000000" w:themeColor="text1"/>
                <w:sz w:val="18"/>
                <w:szCs w:val="18"/>
              </w:rPr>
              <w:t>；冬季</w:t>
            </w:r>
            <w:r>
              <w:rPr>
                <w:rFonts w:hint="eastAsia" w:ascii="宋体" w:hAnsi="宋体"/>
                <w:color w:val="000000" w:themeColor="text1"/>
                <w:sz w:val="18"/>
                <w:szCs w:val="18"/>
              </w:rPr>
              <w:t>□</w:t>
            </w:r>
          </w:p>
        </w:tc>
        <w:tc>
          <w:tcPr>
            <w:tcW w:w="3243" w:type="dxa"/>
            <w:gridSpan w:val="5"/>
            <w:shd w:val="clear" w:color="auto" w:fill="auto"/>
            <w:vAlign w:val="center"/>
          </w:tcPr>
          <w:p>
            <w:pPr>
              <w:rPr>
                <w:color w:val="000000" w:themeColor="text1"/>
                <w:sz w:val="18"/>
                <w:szCs w:val="18"/>
              </w:rPr>
            </w:pPr>
            <w:r>
              <w:rPr>
                <w:rFonts w:hint="eastAsia"/>
                <w:color w:val="000000" w:themeColor="text1"/>
                <w:sz w:val="18"/>
                <w:szCs w:val="18"/>
              </w:rPr>
              <w:t>水行政主管部门</w:t>
            </w:r>
            <w:r>
              <w:rPr>
                <w:rFonts w:hint="eastAsia" w:ascii="宋体" w:hAnsi="宋体"/>
                <w:color w:val="000000" w:themeColor="text1"/>
                <w:sz w:val="18"/>
                <w:szCs w:val="18"/>
              </w:rPr>
              <w:t>□</w:t>
            </w:r>
            <w:r>
              <w:rPr>
                <w:rFonts w:hint="eastAsia"/>
                <w:color w:val="000000" w:themeColor="text1"/>
                <w:sz w:val="18"/>
                <w:szCs w:val="18"/>
              </w:rPr>
              <w:t>；补充监测</w:t>
            </w:r>
            <w:r>
              <w:rPr>
                <w:rFonts w:hint="eastAsia" w:ascii="宋体" w:hAnsi="宋体"/>
                <w:color w:val="000000" w:themeColor="text1"/>
                <w:sz w:val="18"/>
                <w:szCs w:val="18"/>
              </w:rPr>
              <w:t>□</w:t>
            </w:r>
            <w:r>
              <w:rPr>
                <w:rFonts w:hint="eastAsia"/>
                <w:color w:val="000000" w:themeColor="text1"/>
                <w:sz w:val="18"/>
                <w:szCs w:val="18"/>
              </w:rPr>
              <w:t>；其它</w:t>
            </w:r>
            <w:r>
              <w:rPr>
                <w:rFonts w:hint="eastAsia" w:ascii="宋体" w:hAnsi="宋体"/>
                <w:color w:val="000000" w:themeColor="text1"/>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vMerge w:val="restart"/>
            <w:shd w:val="clear" w:color="auto" w:fill="auto"/>
            <w:vAlign w:val="center"/>
          </w:tcPr>
          <w:p>
            <w:pPr>
              <w:jc w:val="center"/>
              <w:rPr>
                <w:color w:val="000000" w:themeColor="text1"/>
                <w:sz w:val="18"/>
                <w:szCs w:val="18"/>
              </w:rPr>
            </w:pPr>
            <w:r>
              <w:rPr>
                <w:rFonts w:hint="eastAsia"/>
                <w:color w:val="000000" w:themeColor="text1"/>
                <w:sz w:val="18"/>
                <w:szCs w:val="18"/>
              </w:rPr>
              <w:t>补充监测</w:t>
            </w:r>
          </w:p>
        </w:tc>
        <w:tc>
          <w:tcPr>
            <w:tcW w:w="3685" w:type="dxa"/>
            <w:gridSpan w:val="4"/>
            <w:shd w:val="clear" w:color="auto" w:fill="auto"/>
            <w:vAlign w:val="center"/>
          </w:tcPr>
          <w:p>
            <w:pPr>
              <w:jc w:val="center"/>
              <w:rPr>
                <w:color w:val="000000" w:themeColor="text1"/>
                <w:sz w:val="18"/>
                <w:szCs w:val="18"/>
              </w:rPr>
            </w:pPr>
            <w:r>
              <w:rPr>
                <w:rFonts w:hint="eastAsia"/>
                <w:color w:val="000000" w:themeColor="text1"/>
                <w:sz w:val="18"/>
                <w:szCs w:val="18"/>
              </w:rPr>
              <w:t>监测时期</w:t>
            </w:r>
          </w:p>
        </w:tc>
        <w:tc>
          <w:tcPr>
            <w:tcW w:w="1418" w:type="dxa"/>
            <w:gridSpan w:val="3"/>
            <w:shd w:val="clear" w:color="auto" w:fill="auto"/>
            <w:vAlign w:val="center"/>
          </w:tcPr>
          <w:p>
            <w:pPr>
              <w:jc w:val="center"/>
              <w:rPr>
                <w:color w:val="000000" w:themeColor="text1"/>
                <w:sz w:val="18"/>
                <w:szCs w:val="18"/>
              </w:rPr>
            </w:pPr>
            <w:r>
              <w:rPr>
                <w:rFonts w:hint="eastAsia"/>
                <w:color w:val="000000" w:themeColor="text1"/>
                <w:sz w:val="18"/>
                <w:szCs w:val="18"/>
              </w:rPr>
              <w:t>监测因子</w:t>
            </w:r>
          </w:p>
        </w:tc>
        <w:tc>
          <w:tcPr>
            <w:tcW w:w="1825" w:type="dxa"/>
            <w:gridSpan w:val="2"/>
            <w:shd w:val="clear" w:color="auto" w:fill="auto"/>
            <w:vAlign w:val="center"/>
          </w:tcPr>
          <w:p>
            <w:pPr>
              <w:jc w:val="center"/>
              <w:rPr>
                <w:color w:val="000000" w:themeColor="text1"/>
                <w:sz w:val="18"/>
                <w:szCs w:val="18"/>
              </w:rPr>
            </w:pPr>
            <w:r>
              <w:rPr>
                <w:rFonts w:hint="eastAsia"/>
                <w:color w:val="000000" w:themeColor="text1"/>
                <w:sz w:val="18"/>
                <w:szCs w:val="18"/>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vMerge w:val="continue"/>
            <w:shd w:val="clear" w:color="auto" w:fill="auto"/>
            <w:vAlign w:val="center"/>
          </w:tcPr>
          <w:p>
            <w:pPr>
              <w:jc w:val="center"/>
              <w:rPr>
                <w:color w:val="000000" w:themeColor="text1"/>
                <w:sz w:val="18"/>
                <w:szCs w:val="18"/>
              </w:rPr>
            </w:pPr>
          </w:p>
        </w:tc>
        <w:tc>
          <w:tcPr>
            <w:tcW w:w="3685" w:type="dxa"/>
            <w:gridSpan w:val="4"/>
            <w:shd w:val="clear" w:color="auto" w:fill="auto"/>
            <w:vAlign w:val="center"/>
          </w:tcPr>
          <w:p>
            <w:pPr>
              <w:rPr>
                <w:color w:val="000000" w:themeColor="text1"/>
                <w:sz w:val="18"/>
                <w:szCs w:val="18"/>
              </w:rPr>
            </w:pPr>
            <w:r>
              <w:rPr>
                <w:rFonts w:hint="eastAsia"/>
                <w:color w:val="000000" w:themeColor="text1"/>
                <w:sz w:val="18"/>
                <w:szCs w:val="18"/>
              </w:rPr>
              <w:t>丰水期</w:t>
            </w:r>
            <w:r>
              <w:rPr>
                <w:rFonts w:hint="eastAsia" w:ascii="宋体" w:hAnsi="宋体"/>
                <w:color w:val="000000" w:themeColor="text1"/>
                <w:sz w:val="18"/>
                <w:szCs w:val="18"/>
              </w:rPr>
              <w:t>□</w:t>
            </w:r>
            <w:r>
              <w:rPr>
                <w:rFonts w:hint="eastAsia"/>
                <w:color w:val="000000" w:themeColor="text1"/>
                <w:sz w:val="18"/>
                <w:szCs w:val="18"/>
              </w:rPr>
              <w:t>；平水期</w:t>
            </w:r>
            <w:r>
              <w:rPr>
                <w:rFonts w:hint="eastAsia" w:ascii="宋体" w:hAnsi="宋体"/>
                <w:color w:val="000000" w:themeColor="text1"/>
                <w:sz w:val="18"/>
                <w:szCs w:val="18"/>
              </w:rPr>
              <w:t>□</w:t>
            </w:r>
            <w:r>
              <w:rPr>
                <w:rFonts w:hint="eastAsia"/>
                <w:color w:val="000000" w:themeColor="text1"/>
                <w:sz w:val="18"/>
                <w:szCs w:val="18"/>
              </w:rPr>
              <w:t>；枯水期</w:t>
            </w:r>
            <w:r>
              <w:rPr>
                <w:rFonts w:hint="eastAsia" w:ascii="宋体" w:hAnsi="宋体"/>
                <w:color w:val="000000" w:themeColor="text1"/>
                <w:sz w:val="18"/>
                <w:szCs w:val="18"/>
              </w:rPr>
              <w:t>□</w:t>
            </w:r>
            <w:r>
              <w:rPr>
                <w:rFonts w:hint="eastAsia"/>
                <w:color w:val="000000" w:themeColor="text1"/>
                <w:sz w:val="18"/>
                <w:szCs w:val="18"/>
              </w:rPr>
              <w:t>；冰封期</w:t>
            </w:r>
            <w:r>
              <w:rPr>
                <w:rFonts w:hint="eastAsia" w:ascii="宋体" w:hAnsi="宋体"/>
                <w:color w:val="000000" w:themeColor="text1"/>
                <w:sz w:val="18"/>
                <w:szCs w:val="18"/>
              </w:rPr>
              <w:t>□</w:t>
            </w:r>
          </w:p>
          <w:p>
            <w:pPr>
              <w:rPr>
                <w:color w:val="000000" w:themeColor="text1"/>
                <w:sz w:val="18"/>
                <w:szCs w:val="18"/>
              </w:rPr>
            </w:pPr>
            <w:r>
              <w:rPr>
                <w:rFonts w:hint="eastAsia"/>
                <w:color w:val="000000" w:themeColor="text1"/>
                <w:sz w:val="18"/>
                <w:szCs w:val="18"/>
              </w:rPr>
              <w:t>春季</w:t>
            </w:r>
            <w:r>
              <w:rPr>
                <w:rFonts w:hint="eastAsia" w:ascii="宋体" w:hAnsi="宋体"/>
                <w:color w:val="000000" w:themeColor="text1"/>
                <w:sz w:val="18"/>
                <w:szCs w:val="18"/>
              </w:rPr>
              <w:t>□</w:t>
            </w:r>
            <w:r>
              <w:rPr>
                <w:rFonts w:hint="eastAsia"/>
                <w:color w:val="000000" w:themeColor="text1"/>
                <w:sz w:val="18"/>
                <w:szCs w:val="18"/>
              </w:rPr>
              <w:t>；夏季</w:t>
            </w:r>
            <w:r>
              <w:rPr>
                <w:rFonts w:hint="eastAsia" w:ascii="宋体" w:hAnsi="宋体"/>
                <w:color w:val="000000" w:themeColor="text1"/>
                <w:sz w:val="18"/>
                <w:szCs w:val="18"/>
              </w:rPr>
              <w:t>□</w:t>
            </w:r>
            <w:r>
              <w:rPr>
                <w:rFonts w:hint="eastAsia"/>
                <w:color w:val="000000" w:themeColor="text1"/>
                <w:sz w:val="18"/>
                <w:szCs w:val="18"/>
              </w:rPr>
              <w:t>；秋季</w:t>
            </w:r>
            <w:r>
              <w:rPr>
                <w:rFonts w:hint="eastAsia" w:ascii="宋体" w:hAnsi="宋体"/>
                <w:color w:val="000000" w:themeColor="text1"/>
                <w:sz w:val="18"/>
                <w:szCs w:val="18"/>
              </w:rPr>
              <w:t>□</w:t>
            </w:r>
            <w:r>
              <w:rPr>
                <w:rFonts w:hint="eastAsia"/>
                <w:color w:val="000000" w:themeColor="text1"/>
                <w:sz w:val="18"/>
                <w:szCs w:val="18"/>
              </w:rPr>
              <w:t>；冬季</w:t>
            </w:r>
            <w:r>
              <w:rPr>
                <w:rFonts w:hint="eastAsia" w:ascii="宋体" w:hAnsi="宋体"/>
                <w:color w:val="000000" w:themeColor="text1"/>
                <w:sz w:val="18"/>
                <w:szCs w:val="18"/>
              </w:rPr>
              <w:t>□</w:t>
            </w:r>
          </w:p>
        </w:tc>
        <w:tc>
          <w:tcPr>
            <w:tcW w:w="1418" w:type="dxa"/>
            <w:gridSpan w:val="3"/>
            <w:shd w:val="clear" w:color="auto" w:fill="auto"/>
            <w:vAlign w:val="center"/>
          </w:tcPr>
          <w:p>
            <w:pPr>
              <w:jc w:val="center"/>
              <w:rPr>
                <w:color w:val="000000" w:themeColor="text1"/>
                <w:sz w:val="18"/>
                <w:szCs w:val="18"/>
              </w:rPr>
            </w:pPr>
            <w:r>
              <w:rPr>
                <w:rFonts w:hint="eastAsia"/>
                <w:color w:val="000000" w:themeColor="text1"/>
                <w:sz w:val="18"/>
                <w:szCs w:val="18"/>
              </w:rPr>
              <w:t>（）</w:t>
            </w:r>
          </w:p>
        </w:tc>
        <w:tc>
          <w:tcPr>
            <w:tcW w:w="1825" w:type="dxa"/>
            <w:gridSpan w:val="2"/>
            <w:shd w:val="clear" w:color="auto" w:fill="auto"/>
            <w:vAlign w:val="center"/>
          </w:tcPr>
          <w:p>
            <w:pPr>
              <w:jc w:val="center"/>
              <w:rPr>
                <w:color w:val="000000" w:themeColor="text1"/>
                <w:sz w:val="18"/>
                <w:szCs w:val="18"/>
              </w:rPr>
            </w:pPr>
            <w:r>
              <w:rPr>
                <w:rFonts w:hint="eastAsia"/>
                <w:color w:val="000000" w:themeColor="text1"/>
                <w:sz w:val="18"/>
                <w:szCs w:val="18"/>
              </w:rPr>
              <w:t>监测断面或点位个数（）个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restart"/>
            <w:shd w:val="clear" w:color="auto" w:fill="auto"/>
            <w:vAlign w:val="center"/>
          </w:tcPr>
          <w:p>
            <w:pPr>
              <w:jc w:val="center"/>
              <w:rPr>
                <w:color w:val="000000" w:themeColor="text1"/>
                <w:sz w:val="18"/>
                <w:szCs w:val="18"/>
              </w:rPr>
            </w:pPr>
            <w:r>
              <w:rPr>
                <w:rFonts w:hint="eastAsia"/>
                <w:color w:val="000000" w:themeColor="text1"/>
                <w:sz w:val="18"/>
                <w:szCs w:val="18"/>
              </w:rPr>
              <w:t>现状评价</w:t>
            </w:r>
          </w:p>
        </w:tc>
        <w:tc>
          <w:tcPr>
            <w:tcW w:w="1560" w:type="dxa"/>
            <w:shd w:val="clear" w:color="auto" w:fill="auto"/>
            <w:vAlign w:val="center"/>
          </w:tcPr>
          <w:p>
            <w:pPr>
              <w:jc w:val="center"/>
              <w:rPr>
                <w:color w:val="000000" w:themeColor="text1"/>
                <w:sz w:val="18"/>
                <w:szCs w:val="18"/>
              </w:rPr>
            </w:pPr>
            <w:r>
              <w:rPr>
                <w:rFonts w:hint="eastAsia"/>
                <w:color w:val="000000" w:themeColor="text1"/>
                <w:sz w:val="18"/>
                <w:szCs w:val="18"/>
              </w:rPr>
              <w:t>评价范围</w:t>
            </w:r>
          </w:p>
        </w:tc>
        <w:tc>
          <w:tcPr>
            <w:tcW w:w="6928" w:type="dxa"/>
            <w:gridSpan w:val="9"/>
            <w:shd w:val="clear" w:color="auto" w:fill="auto"/>
            <w:vAlign w:val="center"/>
          </w:tcPr>
          <w:p>
            <w:pPr>
              <w:rPr>
                <w:color w:val="000000" w:themeColor="text1"/>
                <w:sz w:val="18"/>
                <w:szCs w:val="18"/>
              </w:rPr>
            </w:pPr>
            <w:r>
              <w:rPr>
                <w:rFonts w:hint="eastAsia"/>
                <w:color w:val="000000" w:themeColor="text1"/>
                <w:sz w:val="18"/>
                <w:szCs w:val="18"/>
              </w:rPr>
              <w:t>河流：长度（）km；湖库、河口及近岸海域：面积（）km</w:t>
            </w:r>
            <w:r>
              <w:rPr>
                <w:rFonts w:hint="eastAsia"/>
                <w:color w:val="000000" w:themeColor="text1"/>
                <w:sz w:val="18"/>
                <w:szCs w:val="18"/>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shd w:val="clear" w:color="auto" w:fill="auto"/>
            <w:vAlign w:val="center"/>
          </w:tcPr>
          <w:p>
            <w:pPr>
              <w:jc w:val="center"/>
              <w:rPr>
                <w:color w:val="000000" w:themeColor="text1"/>
                <w:sz w:val="18"/>
                <w:szCs w:val="18"/>
              </w:rPr>
            </w:pPr>
            <w:r>
              <w:rPr>
                <w:rFonts w:hint="eastAsia"/>
                <w:color w:val="000000" w:themeColor="text1"/>
                <w:sz w:val="18"/>
                <w:szCs w:val="18"/>
              </w:rPr>
              <w:t>评价因子</w:t>
            </w:r>
          </w:p>
        </w:tc>
        <w:tc>
          <w:tcPr>
            <w:tcW w:w="6928" w:type="dxa"/>
            <w:gridSpan w:val="9"/>
            <w:shd w:val="clear" w:color="auto" w:fill="auto"/>
            <w:vAlign w:val="center"/>
          </w:tcPr>
          <w:p>
            <w:pPr>
              <w:rPr>
                <w:color w:val="000000" w:themeColor="text1"/>
                <w:sz w:val="18"/>
                <w:szCs w:val="18"/>
              </w:rPr>
            </w:pPr>
            <w:r>
              <w:rPr>
                <w:rFonts w:hint="eastAsia"/>
                <w:color w:val="000000" w:themeColor="text1"/>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shd w:val="clear" w:color="auto" w:fill="auto"/>
            <w:vAlign w:val="center"/>
          </w:tcPr>
          <w:p>
            <w:pPr>
              <w:jc w:val="center"/>
              <w:rPr>
                <w:color w:val="000000" w:themeColor="text1"/>
                <w:sz w:val="18"/>
                <w:szCs w:val="18"/>
              </w:rPr>
            </w:pPr>
            <w:r>
              <w:rPr>
                <w:rFonts w:hint="eastAsia"/>
                <w:color w:val="000000" w:themeColor="text1"/>
                <w:sz w:val="18"/>
                <w:szCs w:val="18"/>
              </w:rPr>
              <w:t>评价标准</w:t>
            </w:r>
          </w:p>
        </w:tc>
        <w:tc>
          <w:tcPr>
            <w:tcW w:w="6928" w:type="dxa"/>
            <w:gridSpan w:val="9"/>
            <w:shd w:val="clear" w:color="auto" w:fill="auto"/>
            <w:vAlign w:val="center"/>
          </w:tcPr>
          <w:p>
            <w:pPr>
              <w:rPr>
                <w:color w:val="000000" w:themeColor="text1"/>
                <w:sz w:val="18"/>
                <w:szCs w:val="18"/>
              </w:rPr>
            </w:pPr>
            <w:r>
              <w:rPr>
                <w:rFonts w:hint="eastAsia"/>
                <w:color w:val="000000" w:themeColor="text1"/>
                <w:sz w:val="18"/>
                <w:szCs w:val="18"/>
              </w:rPr>
              <w:t>河流、湖库、河口：Ⅰ类□；Ⅱ类□；Ⅲ类□；Ⅳ类□；Ⅴ类□</w:t>
            </w:r>
          </w:p>
          <w:p>
            <w:pPr>
              <w:rPr>
                <w:color w:val="000000" w:themeColor="text1"/>
                <w:sz w:val="18"/>
                <w:szCs w:val="18"/>
              </w:rPr>
            </w:pPr>
            <w:r>
              <w:rPr>
                <w:rFonts w:hint="eastAsia"/>
                <w:color w:val="000000" w:themeColor="text1"/>
                <w:sz w:val="18"/>
                <w:szCs w:val="18"/>
              </w:rPr>
              <w:t>近岸海域：第一类□；第二类□；第三类□；第四类□</w:t>
            </w:r>
          </w:p>
          <w:p>
            <w:pPr>
              <w:rPr>
                <w:color w:val="000000" w:themeColor="text1"/>
                <w:sz w:val="18"/>
                <w:szCs w:val="18"/>
              </w:rPr>
            </w:pPr>
            <w:r>
              <w:rPr>
                <w:rFonts w:hint="eastAsia"/>
                <w:color w:val="000000" w:themeColor="text1"/>
                <w:sz w:val="18"/>
                <w:szCs w:val="18"/>
              </w:rPr>
              <w:t>规划年评价标准（）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shd w:val="clear" w:color="auto" w:fill="auto"/>
            <w:vAlign w:val="center"/>
          </w:tcPr>
          <w:p>
            <w:pPr>
              <w:jc w:val="center"/>
              <w:rPr>
                <w:color w:val="000000" w:themeColor="text1"/>
                <w:sz w:val="18"/>
                <w:szCs w:val="18"/>
              </w:rPr>
            </w:pPr>
            <w:r>
              <w:rPr>
                <w:rFonts w:hint="eastAsia"/>
                <w:color w:val="000000" w:themeColor="text1"/>
                <w:sz w:val="18"/>
                <w:szCs w:val="18"/>
              </w:rPr>
              <w:t>评价时期</w:t>
            </w:r>
          </w:p>
        </w:tc>
        <w:tc>
          <w:tcPr>
            <w:tcW w:w="6928" w:type="dxa"/>
            <w:gridSpan w:val="9"/>
            <w:shd w:val="clear" w:color="auto" w:fill="auto"/>
            <w:vAlign w:val="center"/>
          </w:tcPr>
          <w:p>
            <w:pPr>
              <w:rPr>
                <w:color w:val="000000" w:themeColor="text1"/>
                <w:sz w:val="18"/>
                <w:szCs w:val="18"/>
              </w:rPr>
            </w:pPr>
            <w:r>
              <w:rPr>
                <w:rFonts w:hint="eastAsia"/>
                <w:color w:val="000000" w:themeColor="text1"/>
                <w:sz w:val="18"/>
                <w:szCs w:val="18"/>
              </w:rPr>
              <w:t>丰水期</w:t>
            </w:r>
            <w:r>
              <w:rPr>
                <w:rFonts w:hint="eastAsia" w:ascii="宋体" w:hAnsi="宋体"/>
                <w:color w:val="000000" w:themeColor="text1"/>
                <w:sz w:val="18"/>
                <w:szCs w:val="18"/>
              </w:rPr>
              <w:t>□</w:t>
            </w:r>
            <w:r>
              <w:rPr>
                <w:rFonts w:hint="eastAsia"/>
                <w:color w:val="000000" w:themeColor="text1"/>
                <w:sz w:val="18"/>
                <w:szCs w:val="18"/>
              </w:rPr>
              <w:t>；平水期</w:t>
            </w:r>
            <w:r>
              <w:rPr>
                <w:rFonts w:hint="eastAsia" w:ascii="宋体" w:hAnsi="宋体"/>
                <w:color w:val="000000" w:themeColor="text1"/>
                <w:sz w:val="18"/>
                <w:szCs w:val="18"/>
              </w:rPr>
              <w:t>□</w:t>
            </w:r>
            <w:r>
              <w:rPr>
                <w:rFonts w:hint="eastAsia"/>
                <w:color w:val="000000" w:themeColor="text1"/>
                <w:sz w:val="18"/>
                <w:szCs w:val="18"/>
              </w:rPr>
              <w:t>；枯水期</w:t>
            </w:r>
            <w:r>
              <w:rPr>
                <w:rFonts w:hint="eastAsia" w:ascii="宋体" w:hAnsi="宋体"/>
                <w:color w:val="000000" w:themeColor="text1"/>
                <w:sz w:val="18"/>
                <w:szCs w:val="18"/>
              </w:rPr>
              <w:t>□</w:t>
            </w:r>
            <w:r>
              <w:rPr>
                <w:rFonts w:hint="eastAsia"/>
                <w:color w:val="000000" w:themeColor="text1"/>
                <w:sz w:val="18"/>
                <w:szCs w:val="18"/>
              </w:rPr>
              <w:t>；冰封期</w:t>
            </w:r>
            <w:r>
              <w:rPr>
                <w:rFonts w:hint="eastAsia" w:ascii="宋体" w:hAnsi="宋体"/>
                <w:color w:val="000000" w:themeColor="text1"/>
                <w:sz w:val="18"/>
                <w:szCs w:val="18"/>
              </w:rPr>
              <w:t>□</w:t>
            </w:r>
          </w:p>
          <w:p>
            <w:pPr>
              <w:rPr>
                <w:color w:val="000000" w:themeColor="text1"/>
                <w:sz w:val="18"/>
                <w:szCs w:val="18"/>
              </w:rPr>
            </w:pPr>
            <w:r>
              <w:rPr>
                <w:rFonts w:hint="eastAsia"/>
                <w:color w:val="000000" w:themeColor="text1"/>
                <w:sz w:val="18"/>
                <w:szCs w:val="18"/>
              </w:rPr>
              <w:t>春季</w:t>
            </w:r>
            <w:r>
              <w:rPr>
                <w:rFonts w:hint="eastAsia" w:ascii="宋体" w:hAnsi="宋体"/>
                <w:color w:val="000000" w:themeColor="text1"/>
                <w:sz w:val="18"/>
                <w:szCs w:val="18"/>
              </w:rPr>
              <w:t>□</w:t>
            </w:r>
            <w:r>
              <w:rPr>
                <w:rFonts w:hint="eastAsia"/>
                <w:color w:val="000000" w:themeColor="text1"/>
                <w:sz w:val="18"/>
                <w:szCs w:val="18"/>
              </w:rPr>
              <w:t>；夏季</w:t>
            </w:r>
            <w:r>
              <w:rPr>
                <w:rFonts w:hint="eastAsia" w:ascii="宋体" w:hAnsi="宋体"/>
                <w:color w:val="000000" w:themeColor="text1"/>
                <w:sz w:val="18"/>
                <w:szCs w:val="18"/>
              </w:rPr>
              <w:t>□</w:t>
            </w:r>
            <w:r>
              <w:rPr>
                <w:rFonts w:hint="eastAsia"/>
                <w:color w:val="000000" w:themeColor="text1"/>
                <w:sz w:val="18"/>
                <w:szCs w:val="18"/>
              </w:rPr>
              <w:t>；秋季</w:t>
            </w:r>
            <w:r>
              <w:rPr>
                <w:rFonts w:hint="eastAsia" w:ascii="宋体" w:hAnsi="宋体"/>
                <w:color w:val="000000" w:themeColor="text1"/>
                <w:sz w:val="18"/>
                <w:szCs w:val="18"/>
              </w:rPr>
              <w:t>□</w:t>
            </w:r>
            <w:r>
              <w:rPr>
                <w:rFonts w:hint="eastAsia"/>
                <w:color w:val="000000" w:themeColor="text1"/>
                <w:sz w:val="18"/>
                <w:szCs w:val="18"/>
              </w:rPr>
              <w:t>；冬季</w:t>
            </w:r>
            <w:r>
              <w:rPr>
                <w:rFonts w:hint="eastAsia" w:ascii="宋体" w:hAnsi="宋体"/>
                <w:color w:val="000000" w:themeColor="text1"/>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shd w:val="clear" w:color="auto" w:fill="auto"/>
            <w:vAlign w:val="center"/>
          </w:tcPr>
          <w:p>
            <w:pPr>
              <w:jc w:val="center"/>
              <w:rPr>
                <w:color w:val="000000" w:themeColor="text1"/>
                <w:sz w:val="18"/>
                <w:szCs w:val="18"/>
              </w:rPr>
            </w:pPr>
            <w:r>
              <w:rPr>
                <w:rFonts w:hint="eastAsia"/>
                <w:color w:val="000000" w:themeColor="text1"/>
                <w:sz w:val="18"/>
                <w:szCs w:val="18"/>
              </w:rPr>
              <w:t>评价结论</w:t>
            </w:r>
          </w:p>
        </w:tc>
        <w:tc>
          <w:tcPr>
            <w:tcW w:w="5528" w:type="dxa"/>
            <w:gridSpan w:val="8"/>
            <w:shd w:val="clear" w:color="auto" w:fill="auto"/>
            <w:vAlign w:val="center"/>
          </w:tcPr>
          <w:p>
            <w:pPr>
              <w:rPr>
                <w:color w:val="000000" w:themeColor="text1"/>
                <w:sz w:val="18"/>
                <w:szCs w:val="18"/>
              </w:rPr>
            </w:pPr>
            <w:r>
              <w:rPr>
                <w:rFonts w:hint="eastAsia"/>
                <w:color w:val="000000" w:themeColor="text1"/>
                <w:sz w:val="18"/>
                <w:szCs w:val="18"/>
              </w:rPr>
              <w:t>水环境功能区或水功能区、近岸海域环境功能区水质达标情况：达标</w:t>
            </w:r>
            <w:r>
              <w:rPr>
                <w:rFonts w:hint="eastAsia"/>
                <w:color w:val="000000" w:themeColor="text1"/>
                <w:sz w:val="18"/>
                <w:szCs w:val="18"/>
              </w:rPr>
              <w:sym w:font="Wingdings 2" w:char="F052"/>
            </w:r>
            <w:r>
              <w:rPr>
                <w:rFonts w:hint="eastAsia"/>
                <w:color w:val="000000" w:themeColor="text1"/>
                <w:sz w:val="18"/>
                <w:szCs w:val="18"/>
              </w:rPr>
              <w:t>；不达标□</w:t>
            </w:r>
          </w:p>
          <w:p>
            <w:pPr>
              <w:rPr>
                <w:color w:val="000000" w:themeColor="text1"/>
                <w:sz w:val="18"/>
                <w:szCs w:val="18"/>
              </w:rPr>
            </w:pPr>
            <w:r>
              <w:rPr>
                <w:rFonts w:hint="eastAsia"/>
                <w:color w:val="000000" w:themeColor="text1"/>
                <w:sz w:val="18"/>
                <w:szCs w:val="18"/>
              </w:rPr>
              <w:t>水环境控制单元或断面水质达标情况：达标□；不达标□</w:t>
            </w:r>
          </w:p>
          <w:p>
            <w:pPr>
              <w:rPr>
                <w:color w:val="000000" w:themeColor="text1"/>
                <w:sz w:val="18"/>
                <w:szCs w:val="18"/>
              </w:rPr>
            </w:pPr>
            <w:r>
              <w:rPr>
                <w:rFonts w:hint="eastAsia"/>
                <w:color w:val="000000" w:themeColor="text1"/>
                <w:sz w:val="18"/>
                <w:szCs w:val="18"/>
              </w:rPr>
              <w:t>水环境保护目标质量状况：达标□；不达标□</w:t>
            </w:r>
          </w:p>
          <w:p>
            <w:pPr>
              <w:rPr>
                <w:color w:val="000000" w:themeColor="text1"/>
                <w:sz w:val="18"/>
                <w:szCs w:val="18"/>
              </w:rPr>
            </w:pPr>
            <w:r>
              <w:rPr>
                <w:rFonts w:hint="eastAsia"/>
                <w:color w:val="000000" w:themeColor="text1"/>
                <w:sz w:val="18"/>
                <w:szCs w:val="18"/>
              </w:rPr>
              <w:t>对照断面、控制断面等代表性断面的水质状况：达标□；不达标□</w:t>
            </w:r>
          </w:p>
          <w:p>
            <w:pPr>
              <w:rPr>
                <w:color w:val="000000" w:themeColor="text1"/>
                <w:sz w:val="18"/>
                <w:szCs w:val="18"/>
              </w:rPr>
            </w:pPr>
            <w:r>
              <w:rPr>
                <w:rFonts w:hint="eastAsia"/>
                <w:color w:val="000000" w:themeColor="text1"/>
                <w:sz w:val="18"/>
                <w:szCs w:val="18"/>
              </w:rPr>
              <w:t>底泥污染评价□</w:t>
            </w:r>
          </w:p>
          <w:p>
            <w:pPr>
              <w:rPr>
                <w:color w:val="000000" w:themeColor="text1"/>
                <w:sz w:val="18"/>
                <w:szCs w:val="18"/>
              </w:rPr>
            </w:pPr>
            <w:r>
              <w:rPr>
                <w:rFonts w:hint="eastAsia"/>
                <w:color w:val="000000" w:themeColor="text1"/>
                <w:sz w:val="18"/>
                <w:szCs w:val="18"/>
              </w:rPr>
              <w:t>水资源与开发利用程度及其水文情势评价□</w:t>
            </w:r>
          </w:p>
          <w:p>
            <w:pPr>
              <w:rPr>
                <w:color w:val="000000" w:themeColor="text1"/>
                <w:sz w:val="18"/>
                <w:szCs w:val="18"/>
              </w:rPr>
            </w:pPr>
            <w:r>
              <w:rPr>
                <w:rFonts w:hint="eastAsia"/>
                <w:color w:val="000000" w:themeColor="text1"/>
                <w:sz w:val="18"/>
                <w:szCs w:val="18"/>
              </w:rPr>
              <w:t>水环境质量回顾评价□</w:t>
            </w:r>
          </w:p>
          <w:p>
            <w:pPr>
              <w:rPr>
                <w:color w:val="000000" w:themeColor="text1"/>
                <w:sz w:val="18"/>
                <w:szCs w:val="18"/>
              </w:rPr>
            </w:pPr>
            <w:r>
              <w:rPr>
                <w:rFonts w:hint="eastAsia"/>
                <w:color w:val="000000" w:themeColor="text1"/>
                <w:sz w:val="18"/>
                <w:szCs w:val="18"/>
              </w:rPr>
              <w:t>流域（区域）水资源（包括水能资源）与开发利用总体情况、生态流量管理要求与现状满足程度、建设项目占用水域空间的水流状况与河湖演变状况□</w:t>
            </w:r>
          </w:p>
          <w:p>
            <w:pPr>
              <w:rPr>
                <w:color w:val="000000" w:themeColor="text1"/>
                <w:sz w:val="18"/>
                <w:szCs w:val="18"/>
              </w:rPr>
            </w:pPr>
            <w:r>
              <w:rPr>
                <w:rFonts w:hint="eastAsia"/>
                <w:color w:val="000000" w:themeColor="text1"/>
                <w:sz w:val="18"/>
                <w:szCs w:val="18"/>
              </w:rPr>
              <w:t>依托污水处理设施稳定达标排放评价□</w:t>
            </w:r>
          </w:p>
        </w:tc>
        <w:tc>
          <w:tcPr>
            <w:tcW w:w="1400" w:type="dxa"/>
            <w:shd w:val="clear" w:color="auto" w:fill="auto"/>
            <w:vAlign w:val="center"/>
          </w:tcPr>
          <w:p>
            <w:pPr>
              <w:rPr>
                <w:color w:val="000000" w:themeColor="text1"/>
                <w:sz w:val="18"/>
                <w:szCs w:val="18"/>
              </w:rPr>
            </w:pPr>
            <w:r>
              <w:rPr>
                <w:rFonts w:hint="eastAsia"/>
                <w:color w:val="000000" w:themeColor="text1"/>
                <w:sz w:val="18"/>
                <w:szCs w:val="18"/>
              </w:rPr>
              <w:t>达标区□</w:t>
            </w:r>
          </w:p>
          <w:p>
            <w:pPr>
              <w:rPr>
                <w:color w:val="000000" w:themeColor="text1"/>
                <w:sz w:val="18"/>
                <w:szCs w:val="18"/>
              </w:rPr>
            </w:pPr>
            <w:r>
              <w:rPr>
                <w:rFonts w:hint="eastAsia"/>
                <w:color w:val="000000" w:themeColor="text1"/>
                <w:sz w:val="18"/>
                <w:szCs w:val="18"/>
              </w:rPr>
              <w:t>不达标区□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restart"/>
            <w:shd w:val="clear" w:color="auto" w:fill="auto"/>
            <w:vAlign w:val="center"/>
          </w:tcPr>
          <w:p>
            <w:pPr>
              <w:jc w:val="center"/>
              <w:rPr>
                <w:color w:val="000000" w:themeColor="text1"/>
                <w:sz w:val="18"/>
                <w:szCs w:val="18"/>
              </w:rPr>
            </w:pPr>
            <w:r>
              <w:rPr>
                <w:rFonts w:hint="eastAsia"/>
                <w:color w:val="000000" w:themeColor="text1"/>
                <w:sz w:val="18"/>
                <w:szCs w:val="18"/>
              </w:rPr>
              <w:t>影响预测</w:t>
            </w:r>
          </w:p>
        </w:tc>
        <w:tc>
          <w:tcPr>
            <w:tcW w:w="1560" w:type="dxa"/>
            <w:shd w:val="clear" w:color="auto" w:fill="auto"/>
            <w:vAlign w:val="center"/>
          </w:tcPr>
          <w:p>
            <w:pPr>
              <w:jc w:val="center"/>
              <w:rPr>
                <w:color w:val="000000" w:themeColor="text1"/>
                <w:sz w:val="18"/>
                <w:szCs w:val="18"/>
              </w:rPr>
            </w:pPr>
            <w:r>
              <w:rPr>
                <w:rFonts w:hint="eastAsia"/>
                <w:color w:val="000000" w:themeColor="text1"/>
                <w:sz w:val="18"/>
                <w:szCs w:val="18"/>
              </w:rPr>
              <w:t>预测范围</w:t>
            </w:r>
          </w:p>
        </w:tc>
        <w:tc>
          <w:tcPr>
            <w:tcW w:w="6928" w:type="dxa"/>
            <w:gridSpan w:val="9"/>
            <w:shd w:val="clear" w:color="auto" w:fill="auto"/>
            <w:vAlign w:val="center"/>
          </w:tcPr>
          <w:p>
            <w:pPr>
              <w:rPr>
                <w:color w:val="000000" w:themeColor="text1"/>
                <w:sz w:val="18"/>
                <w:szCs w:val="18"/>
              </w:rPr>
            </w:pPr>
            <w:r>
              <w:rPr>
                <w:rFonts w:hint="eastAsia"/>
                <w:color w:val="000000" w:themeColor="text1"/>
                <w:sz w:val="18"/>
                <w:szCs w:val="18"/>
              </w:rPr>
              <w:t>河流：长度（）km；湖库、河口及近岸海域：面积（）km</w:t>
            </w:r>
            <w:r>
              <w:rPr>
                <w:rFonts w:hint="eastAsia"/>
                <w:color w:val="000000" w:themeColor="text1"/>
                <w:sz w:val="18"/>
                <w:szCs w:val="18"/>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shd w:val="clear" w:color="auto" w:fill="auto"/>
            <w:vAlign w:val="center"/>
          </w:tcPr>
          <w:p>
            <w:pPr>
              <w:jc w:val="center"/>
              <w:rPr>
                <w:color w:val="000000" w:themeColor="text1"/>
                <w:sz w:val="18"/>
                <w:szCs w:val="18"/>
              </w:rPr>
            </w:pPr>
            <w:r>
              <w:rPr>
                <w:rFonts w:hint="eastAsia"/>
                <w:color w:val="000000" w:themeColor="text1"/>
                <w:sz w:val="18"/>
                <w:szCs w:val="18"/>
              </w:rPr>
              <w:t>预测因子</w:t>
            </w:r>
          </w:p>
        </w:tc>
        <w:tc>
          <w:tcPr>
            <w:tcW w:w="6928" w:type="dxa"/>
            <w:gridSpan w:val="9"/>
            <w:shd w:val="clear" w:color="auto" w:fill="auto"/>
            <w:vAlign w:val="center"/>
          </w:tcPr>
          <w:p>
            <w:pPr>
              <w:rPr>
                <w:color w:val="000000" w:themeColor="text1"/>
                <w:sz w:val="18"/>
                <w:szCs w:val="18"/>
              </w:rPr>
            </w:pPr>
            <w:r>
              <w:rPr>
                <w:rFonts w:hint="eastAsia"/>
                <w:color w:val="000000" w:themeColor="text1"/>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shd w:val="clear" w:color="auto" w:fill="auto"/>
            <w:vAlign w:val="center"/>
          </w:tcPr>
          <w:p>
            <w:pPr>
              <w:jc w:val="center"/>
              <w:rPr>
                <w:color w:val="000000" w:themeColor="text1"/>
                <w:sz w:val="18"/>
                <w:szCs w:val="18"/>
              </w:rPr>
            </w:pPr>
            <w:r>
              <w:rPr>
                <w:rFonts w:hint="eastAsia"/>
                <w:color w:val="000000" w:themeColor="text1"/>
                <w:sz w:val="18"/>
                <w:szCs w:val="18"/>
              </w:rPr>
              <w:t>预测时期</w:t>
            </w:r>
          </w:p>
        </w:tc>
        <w:tc>
          <w:tcPr>
            <w:tcW w:w="6928" w:type="dxa"/>
            <w:gridSpan w:val="9"/>
            <w:shd w:val="clear" w:color="auto" w:fill="auto"/>
            <w:vAlign w:val="center"/>
          </w:tcPr>
          <w:p>
            <w:pPr>
              <w:rPr>
                <w:color w:val="000000" w:themeColor="text1"/>
                <w:sz w:val="18"/>
                <w:szCs w:val="18"/>
              </w:rPr>
            </w:pPr>
            <w:r>
              <w:rPr>
                <w:rFonts w:hint="eastAsia"/>
                <w:color w:val="000000" w:themeColor="text1"/>
                <w:sz w:val="18"/>
                <w:szCs w:val="18"/>
              </w:rPr>
              <w:t>丰水期</w:t>
            </w:r>
            <w:r>
              <w:rPr>
                <w:rFonts w:hint="eastAsia" w:ascii="宋体" w:hAnsi="宋体"/>
                <w:color w:val="000000" w:themeColor="text1"/>
                <w:sz w:val="18"/>
                <w:szCs w:val="18"/>
              </w:rPr>
              <w:t>□</w:t>
            </w:r>
            <w:r>
              <w:rPr>
                <w:rFonts w:hint="eastAsia"/>
                <w:color w:val="000000" w:themeColor="text1"/>
                <w:sz w:val="18"/>
                <w:szCs w:val="18"/>
              </w:rPr>
              <w:t>；平水期</w:t>
            </w:r>
            <w:r>
              <w:rPr>
                <w:rFonts w:hint="eastAsia" w:ascii="宋体" w:hAnsi="宋体"/>
                <w:color w:val="000000" w:themeColor="text1"/>
                <w:sz w:val="18"/>
                <w:szCs w:val="18"/>
              </w:rPr>
              <w:t>□</w:t>
            </w:r>
            <w:r>
              <w:rPr>
                <w:rFonts w:hint="eastAsia"/>
                <w:color w:val="000000" w:themeColor="text1"/>
                <w:sz w:val="18"/>
                <w:szCs w:val="18"/>
              </w:rPr>
              <w:t>；枯水期</w:t>
            </w:r>
            <w:r>
              <w:rPr>
                <w:rFonts w:hint="eastAsia" w:ascii="宋体" w:hAnsi="宋体"/>
                <w:color w:val="000000" w:themeColor="text1"/>
                <w:sz w:val="18"/>
                <w:szCs w:val="18"/>
              </w:rPr>
              <w:t>□</w:t>
            </w:r>
            <w:r>
              <w:rPr>
                <w:rFonts w:hint="eastAsia"/>
                <w:color w:val="000000" w:themeColor="text1"/>
                <w:sz w:val="18"/>
                <w:szCs w:val="18"/>
              </w:rPr>
              <w:t>；冰封期</w:t>
            </w:r>
            <w:r>
              <w:rPr>
                <w:rFonts w:hint="eastAsia" w:ascii="宋体" w:hAnsi="宋体"/>
                <w:color w:val="000000" w:themeColor="text1"/>
                <w:sz w:val="18"/>
                <w:szCs w:val="18"/>
              </w:rPr>
              <w:t>□</w:t>
            </w:r>
          </w:p>
          <w:p>
            <w:pPr>
              <w:rPr>
                <w:rFonts w:ascii="宋体" w:hAnsi="宋体"/>
                <w:color w:val="000000" w:themeColor="text1"/>
                <w:sz w:val="18"/>
                <w:szCs w:val="18"/>
              </w:rPr>
            </w:pPr>
            <w:r>
              <w:rPr>
                <w:rFonts w:hint="eastAsia"/>
                <w:color w:val="000000" w:themeColor="text1"/>
                <w:sz w:val="18"/>
                <w:szCs w:val="18"/>
              </w:rPr>
              <w:t>春季</w:t>
            </w:r>
            <w:r>
              <w:rPr>
                <w:rFonts w:hint="eastAsia" w:ascii="宋体" w:hAnsi="宋体"/>
                <w:color w:val="000000" w:themeColor="text1"/>
                <w:sz w:val="18"/>
                <w:szCs w:val="18"/>
              </w:rPr>
              <w:t>□</w:t>
            </w:r>
            <w:r>
              <w:rPr>
                <w:rFonts w:hint="eastAsia"/>
                <w:color w:val="000000" w:themeColor="text1"/>
                <w:sz w:val="18"/>
                <w:szCs w:val="18"/>
              </w:rPr>
              <w:t>；夏季</w:t>
            </w:r>
            <w:r>
              <w:rPr>
                <w:rFonts w:hint="eastAsia" w:ascii="宋体" w:hAnsi="宋体"/>
                <w:color w:val="000000" w:themeColor="text1"/>
                <w:sz w:val="18"/>
                <w:szCs w:val="18"/>
              </w:rPr>
              <w:t>□</w:t>
            </w:r>
            <w:r>
              <w:rPr>
                <w:rFonts w:hint="eastAsia"/>
                <w:color w:val="000000" w:themeColor="text1"/>
                <w:sz w:val="18"/>
                <w:szCs w:val="18"/>
              </w:rPr>
              <w:t>；秋季</w:t>
            </w:r>
            <w:r>
              <w:rPr>
                <w:rFonts w:hint="eastAsia" w:ascii="宋体" w:hAnsi="宋体"/>
                <w:color w:val="000000" w:themeColor="text1"/>
                <w:sz w:val="18"/>
                <w:szCs w:val="18"/>
              </w:rPr>
              <w:t>□</w:t>
            </w:r>
            <w:r>
              <w:rPr>
                <w:rFonts w:hint="eastAsia"/>
                <w:color w:val="000000" w:themeColor="text1"/>
                <w:sz w:val="18"/>
                <w:szCs w:val="18"/>
              </w:rPr>
              <w:t>；冬季</w:t>
            </w:r>
            <w:r>
              <w:rPr>
                <w:rFonts w:hint="eastAsia" w:ascii="宋体" w:hAnsi="宋体"/>
                <w:color w:val="000000" w:themeColor="text1"/>
                <w:sz w:val="18"/>
                <w:szCs w:val="18"/>
              </w:rPr>
              <w:t>□</w:t>
            </w:r>
          </w:p>
          <w:p>
            <w:pPr>
              <w:rPr>
                <w:rFonts w:ascii="宋体" w:hAnsi="宋体"/>
                <w:color w:val="000000" w:themeColor="text1"/>
                <w:sz w:val="18"/>
                <w:szCs w:val="18"/>
              </w:rPr>
            </w:pPr>
            <w:r>
              <w:rPr>
                <w:rFonts w:hint="eastAsia" w:ascii="宋体" w:hAnsi="宋体"/>
                <w:color w:val="000000" w:themeColor="text1"/>
                <w:sz w:val="18"/>
                <w:szCs w:val="18"/>
              </w:rPr>
              <w:t>设计水文条件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shd w:val="clear" w:color="auto" w:fill="auto"/>
            <w:vAlign w:val="center"/>
          </w:tcPr>
          <w:p>
            <w:pPr>
              <w:jc w:val="center"/>
              <w:rPr>
                <w:color w:val="000000" w:themeColor="text1"/>
                <w:sz w:val="18"/>
                <w:szCs w:val="18"/>
              </w:rPr>
            </w:pPr>
            <w:r>
              <w:rPr>
                <w:rFonts w:hint="eastAsia"/>
                <w:color w:val="000000" w:themeColor="text1"/>
                <w:sz w:val="18"/>
                <w:szCs w:val="18"/>
              </w:rPr>
              <w:t>预测情景</w:t>
            </w:r>
          </w:p>
        </w:tc>
        <w:tc>
          <w:tcPr>
            <w:tcW w:w="6928" w:type="dxa"/>
            <w:gridSpan w:val="9"/>
            <w:shd w:val="clear" w:color="auto" w:fill="auto"/>
            <w:vAlign w:val="center"/>
          </w:tcPr>
          <w:p>
            <w:pPr>
              <w:rPr>
                <w:color w:val="000000" w:themeColor="text1"/>
                <w:sz w:val="18"/>
                <w:szCs w:val="18"/>
              </w:rPr>
            </w:pPr>
            <w:r>
              <w:rPr>
                <w:rFonts w:hint="eastAsia"/>
                <w:color w:val="000000" w:themeColor="text1"/>
                <w:sz w:val="18"/>
                <w:szCs w:val="18"/>
              </w:rPr>
              <w:t>建设期；生产运行期</w:t>
            </w:r>
            <w:r>
              <w:rPr>
                <w:rFonts w:hint="eastAsia" w:ascii="宋体" w:hAnsi="宋体"/>
                <w:color w:val="000000" w:themeColor="text1"/>
                <w:sz w:val="18"/>
                <w:szCs w:val="18"/>
              </w:rPr>
              <w:t>□</w:t>
            </w:r>
            <w:r>
              <w:rPr>
                <w:rFonts w:hint="eastAsia"/>
                <w:color w:val="000000" w:themeColor="text1"/>
                <w:sz w:val="18"/>
                <w:szCs w:val="18"/>
              </w:rPr>
              <w:t>；服务期满后</w:t>
            </w:r>
            <w:r>
              <w:rPr>
                <w:rFonts w:hint="eastAsia" w:ascii="宋体" w:hAnsi="宋体"/>
                <w:color w:val="000000" w:themeColor="text1"/>
                <w:sz w:val="18"/>
                <w:szCs w:val="18"/>
              </w:rPr>
              <w:t>□</w:t>
            </w:r>
          </w:p>
          <w:p>
            <w:pPr>
              <w:rPr>
                <w:color w:val="000000" w:themeColor="text1"/>
                <w:sz w:val="18"/>
                <w:szCs w:val="18"/>
              </w:rPr>
            </w:pPr>
            <w:r>
              <w:rPr>
                <w:rFonts w:hint="eastAsia"/>
                <w:color w:val="000000" w:themeColor="text1"/>
                <w:sz w:val="18"/>
                <w:szCs w:val="18"/>
              </w:rPr>
              <w:t>正常工况</w:t>
            </w:r>
            <w:r>
              <w:rPr>
                <w:rFonts w:hint="eastAsia" w:ascii="宋体" w:hAnsi="宋体"/>
                <w:color w:val="000000" w:themeColor="text1"/>
                <w:sz w:val="18"/>
                <w:szCs w:val="18"/>
              </w:rPr>
              <w:t>□</w:t>
            </w:r>
            <w:r>
              <w:rPr>
                <w:rFonts w:hint="eastAsia"/>
                <w:color w:val="000000" w:themeColor="text1"/>
                <w:sz w:val="18"/>
                <w:szCs w:val="18"/>
              </w:rPr>
              <w:t>；非正常工况</w:t>
            </w:r>
            <w:r>
              <w:rPr>
                <w:rFonts w:hint="eastAsia" w:ascii="宋体" w:hAnsi="宋体"/>
                <w:color w:val="000000" w:themeColor="text1"/>
                <w:sz w:val="18"/>
                <w:szCs w:val="18"/>
              </w:rPr>
              <w:t>□</w:t>
            </w:r>
          </w:p>
          <w:p>
            <w:pPr>
              <w:rPr>
                <w:color w:val="000000" w:themeColor="text1"/>
                <w:sz w:val="18"/>
                <w:szCs w:val="18"/>
              </w:rPr>
            </w:pPr>
            <w:r>
              <w:rPr>
                <w:rFonts w:hint="eastAsia"/>
                <w:color w:val="000000" w:themeColor="text1"/>
                <w:sz w:val="18"/>
                <w:szCs w:val="18"/>
              </w:rPr>
              <w:t>污染控制和减缓措施方案</w:t>
            </w:r>
            <w:r>
              <w:rPr>
                <w:rFonts w:hint="eastAsia" w:ascii="宋体" w:hAnsi="宋体"/>
                <w:color w:val="000000" w:themeColor="text1"/>
                <w:sz w:val="18"/>
                <w:szCs w:val="18"/>
              </w:rPr>
              <w:t>□</w:t>
            </w:r>
          </w:p>
          <w:p>
            <w:pPr>
              <w:rPr>
                <w:color w:val="000000" w:themeColor="text1"/>
                <w:sz w:val="18"/>
                <w:szCs w:val="18"/>
              </w:rPr>
            </w:pPr>
            <w:r>
              <w:rPr>
                <w:rFonts w:hint="eastAsia"/>
                <w:color w:val="000000" w:themeColor="text1"/>
                <w:sz w:val="18"/>
                <w:szCs w:val="18"/>
              </w:rPr>
              <w:t>区（流）域环境质量改善目标要求情景</w:t>
            </w:r>
            <w:r>
              <w:rPr>
                <w:rFonts w:hint="eastAsia" w:ascii="宋体" w:hAnsi="宋体"/>
                <w:color w:val="000000" w:themeColor="text1"/>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shd w:val="clear" w:color="auto" w:fill="auto"/>
            <w:vAlign w:val="center"/>
          </w:tcPr>
          <w:p>
            <w:pPr>
              <w:jc w:val="center"/>
              <w:rPr>
                <w:color w:val="000000" w:themeColor="text1"/>
                <w:sz w:val="18"/>
                <w:szCs w:val="18"/>
              </w:rPr>
            </w:pPr>
            <w:r>
              <w:rPr>
                <w:rFonts w:hint="eastAsia"/>
                <w:color w:val="000000" w:themeColor="text1"/>
                <w:sz w:val="18"/>
                <w:szCs w:val="18"/>
              </w:rPr>
              <w:t>预测方法</w:t>
            </w:r>
          </w:p>
        </w:tc>
        <w:tc>
          <w:tcPr>
            <w:tcW w:w="6928" w:type="dxa"/>
            <w:gridSpan w:val="9"/>
            <w:shd w:val="clear" w:color="auto" w:fill="auto"/>
            <w:vAlign w:val="center"/>
          </w:tcPr>
          <w:p>
            <w:pPr>
              <w:rPr>
                <w:color w:val="000000" w:themeColor="text1"/>
                <w:sz w:val="18"/>
                <w:szCs w:val="18"/>
              </w:rPr>
            </w:pPr>
            <w:r>
              <w:rPr>
                <w:rFonts w:hint="eastAsia"/>
                <w:color w:val="000000" w:themeColor="text1"/>
                <w:sz w:val="18"/>
                <w:szCs w:val="18"/>
              </w:rPr>
              <w:t>数值解</w:t>
            </w:r>
            <w:r>
              <w:rPr>
                <w:rFonts w:hint="eastAsia" w:ascii="宋体" w:hAnsi="宋体"/>
                <w:color w:val="000000" w:themeColor="text1"/>
                <w:sz w:val="18"/>
                <w:szCs w:val="18"/>
              </w:rPr>
              <w:t>□</w:t>
            </w:r>
            <w:r>
              <w:rPr>
                <w:rFonts w:hint="eastAsia"/>
                <w:color w:val="000000" w:themeColor="text1"/>
                <w:sz w:val="18"/>
                <w:szCs w:val="18"/>
              </w:rPr>
              <w:t>；解析解</w:t>
            </w:r>
            <w:r>
              <w:rPr>
                <w:rFonts w:hint="eastAsia" w:ascii="宋体" w:hAnsi="宋体"/>
                <w:color w:val="000000" w:themeColor="text1"/>
                <w:sz w:val="18"/>
                <w:szCs w:val="18"/>
              </w:rPr>
              <w:t>□</w:t>
            </w:r>
            <w:r>
              <w:rPr>
                <w:rFonts w:hint="eastAsia"/>
                <w:color w:val="000000" w:themeColor="text1"/>
                <w:sz w:val="18"/>
                <w:szCs w:val="18"/>
              </w:rPr>
              <w:t>；其它</w:t>
            </w:r>
            <w:r>
              <w:rPr>
                <w:rFonts w:hint="eastAsia" w:ascii="宋体" w:hAnsi="宋体"/>
                <w:color w:val="000000" w:themeColor="text1"/>
                <w:sz w:val="18"/>
                <w:szCs w:val="18"/>
              </w:rPr>
              <w:t>□</w:t>
            </w:r>
          </w:p>
          <w:p>
            <w:pPr>
              <w:rPr>
                <w:color w:val="000000" w:themeColor="text1"/>
                <w:sz w:val="18"/>
                <w:szCs w:val="18"/>
              </w:rPr>
            </w:pPr>
            <w:r>
              <w:rPr>
                <w:rFonts w:hint="eastAsia"/>
                <w:color w:val="000000" w:themeColor="text1"/>
                <w:sz w:val="18"/>
                <w:szCs w:val="18"/>
              </w:rPr>
              <w:t>导则推荐模</w:t>
            </w:r>
            <w:r>
              <w:rPr>
                <w:rFonts w:hint="eastAsia" w:ascii="宋体" w:hAnsi="宋体"/>
                <w:color w:val="000000" w:themeColor="text1"/>
                <w:sz w:val="18"/>
                <w:szCs w:val="18"/>
              </w:rPr>
              <w:t>□</w:t>
            </w:r>
            <w:r>
              <w:rPr>
                <w:rFonts w:hint="eastAsia"/>
                <w:color w:val="000000" w:themeColor="text1"/>
                <w:sz w:val="18"/>
                <w:szCs w:val="18"/>
              </w:rPr>
              <w:t>式；其它</w:t>
            </w:r>
            <w:r>
              <w:rPr>
                <w:rFonts w:hint="eastAsia" w:ascii="宋体" w:hAnsi="宋体"/>
                <w:color w:val="000000" w:themeColor="text1"/>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restart"/>
            <w:shd w:val="clear" w:color="auto" w:fill="auto"/>
            <w:vAlign w:val="center"/>
          </w:tcPr>
          <w:p>
            <w:pPr>
              <w:jc w:val="center"/>
              <w:rPr>
                <w:color w:val="000000" w:themeColor="text1"/>
                <w:sz w:val="18"/>
                <w:szCs w:val="18"/>
              </w:rPr>
            </w:pPr>
            <w:r>
              <w:rPr>
                <w:rFonts w:hint="eastAsia"/>
                <w:color w:val="000000" w:themeColor="text1"/>
                <w:sz w:val="18"/>
                <w:szCs w:val="18"/>
              </w:rPr>
              <w:t>影响评价</w:t>
            </w:r>
          </w:p>
        </w:tc>
        <w:tc>
          <w:tcPr>
            <w:tcW w:w="1560" w:type="dxa"/>
            <w:shd w:val="clear" w:color="auto" w:fill="auto"/>
            <w:vAlign w:val="center"/>
          </w:tcPr>
          <w:p>
            <w:pPr>
              <w:jc w:val="center"/>
              <w:rPr>
                <w:color w:val="000000" w:themeColor="text1"/>
                <w:sz w:val="18"/>
                <w:szCs w:val="18"/>
              </w:rPr>
            </w:pPr>
            <w:r>
              <w:rPr>
                <w:rFonts w:hint="eastAsia"/>
                <w:color w:val="000000" w:themeColor="text1"/>
                <w:sz w:val="18"/>
                <w:szCs w:val="18"/>
              </w:rPr>
              <w:t>水污染控制和水环境影响减缓措施有效性评价</w:t>
            </w:r>
          </w:p>
        </w:tc>
        <w:tc>
          <w:tcPr>
            <w:tcW w:w="6928" w:type="dxa"/>
            <w:gridSpan w:val="9"/>
            <w:shd w:val="clear" w:color="auto" w:fill="auto"/>
            <w:vAlign w:val="center"/>
          </w:tcPr>
          <w:p>
            <w:pPr>
              <w:rPr>
                <w:color w:val="000000" w:themeColor="text1"/>
                <w:sz w:val="18"/>
                <w:szCs w:val="18"/>
              </w:rPr>
            </w:pPr>
            <w:r>
              <w:rPr>
                <w:rFonts w:hint="eastAsia"/>
                <w:color w:val="000000" w:themeColor="text1"/>
                <w:sz w:val="18"/>
                <w:szCs w:val="18"/>
              </w:rPr>
              <w:t>区（流）域环境质量改善目标□；替代削减源□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shd w:val="clear" w:color="auto" w:fill="auto"/>
            <w:vAlign w:val="center"/>
          </w:tcPr>
          <w:p>
            <w:pPr>
              <w:jc w:val="center"/>
              <w:rPr>
                <w:color w:val="000000" w:themeColor="text1"/>
                <w:sz w:val="18"/>
                <w:szCs w:val="18"/>
              </w:rPr>
            </w:pPr>
            <w:r>
              <w:rPr>
                <w:rFonts w:hint="eastAsia"/>
                <w:color w:val="000000" w:themeColor="text1"/>
                <w:sz w:val="18"/>
                <w:szCs w:val="18"/>
              </w:rPr>
              <w:t>水环境影响评价</w:t>
            </w:r>
          </w:p>
        </w:tc>
        <w:tc>
          <w:tcPr>
            <w:tcW w:w="6928" w:type="dxa"/>
            <w:gridSpan w:val="9"/>
            <w:shd w:val="clear" w:color="auto" w:fill="auto"/>
            <w:vAlign w:val="center"/>
          </w:tcPr>
          <w:p>
            <w:pPr>
              <w:rPr>
                <w:color w:val="000000" w:themeColor="text1"/>
                <w:sz w:val="18"/>
                <w:szCs w:val="18"/>
              </w:rPr>
            </w:pPr>
            <w:r>
              <w:rPr>
                <w:rFonts w:hint="eastAsia"/>
                <w:color w:val="000000" w:themeColor="text1"/>
                <w:sz w:val="18"/>
                <w:szCs w:val="18"/>
              </w:rPr>
              <w:t>排放口混合区外满足水环境管理要求</w:t>
            </w:r>
            <w:r>
              <w:rPr>
                <w:rFonts w:hint="eastAsia" w:ascii="宋体" w:hAnsi="宋体"/>
                <w:color w:val="000000" w:themeColor="text1"/>
                <w:sz w:val="18"/>
                <w:szCs w:val="18"/>
              </w:rPr>
              <w:t>□</w:t>
            </w:r>
          </w:p>
          <w:p>
            <w:pPr>
              <w:rPr>
                <w:color w:val="000000" w:themeColor="text1"/>
                <w:sz w:val="18"/>
                <w:szCs w:val="18"/>
              </w:rPr>
            </w:pPr>
            <w:r>
              <w:rPr>
                <w:rFonts w:hint="eastAsia"/>
                <w:color w:val="000000" w:themeColor="text1"/>
                <w:sz w:val="18"/>
                <w:szCs w:val="18"/>
              </w:rPr>
              <w:t>水环境功能区或水功能区、近岸海域环境功能区水质达标</w:t>
            </w:r>
            <w:r>
              <w:rPr>
                <w:rFonts w:hint="eastAsia" w:ascii="宋体" w:hAnsi="宋体"/>
                <w:color w:val="000000" w:themeColor="text1"/>
                <w:sz w:val="18"/>
                <w:szCs w:val="18"/>
              </w:rPr>
              <w:t>□</w:t>
            </w:r>
          </w:p>
          <w:p>
            <w:pPr>
              <w:rPr>
                <w:color w:val="000000" w:themeColor="text1"/>
                <w:sz w:val="18"/>
                <w:szCs w:val="18"/>
              </w:rPr>
            </w:pPr>
            <w:r>
              <w:rPr>
                <w:rFonts w:hint="eastAsia"/>
                <w:color w:val="000000" w:themeColor="text1"/>
                <w:sz w:val="18"/>
                <w:szCs w:val="18"/>
              </w:rPr>
              <w:t>满足水环境保护目标水域水环境质量要求</w:t>
            </w:r>
            <w:r>
              <w:rPr>
                <w:rFonts w:hint="eastAsia" w:ascii="宋体" w:hAnsi="宋体"/>
                <w:color w:val="000000" w:themeColor="text1"/>
                <w:sz w:val="18"/>
                <w:szCs w:val="18"/>
              </w:rPr>
              <w:t>□</w:t>
            </w:r>
          </w:p>
          <w:p>
            <w:pPr>
              <w:rPr>
                <w:color w:val="000000" w:themeColor="text1"/>
                <w:sz w:val="18"/>
                <w:szCs w:val="18"/>
              </w:rPr>
            </w:pPr>
            <w:r>
              <w:rPr>
                <w:rFonts w:hint="eastAsia"/>
                <w:color w:val="000000" w:themeColor="text1"/>
                <w:sz w:val="18"/>
                <w:szCs w:val="18"/>
              </w:rPr>
              <w:t>水环境控制单元或断面水质达标</w:t>
            </w:r>
            <w:r>
              <w:rPr>
                <w:rFonts w:hint="eastAsia" w:ascii="宋体" w:hAnsi="宋体"/>
                <w:color w:val="000000" w:themeColor="text1"/>
                <w:sz w:val="18"/>
                <w:szCs w:val="18"/>
              </w:rPr>
              <w:t>□</w:t>
            </w:r>
          </w:p>
          <w:p>
            <w:pPr>
              <w:rPr>
                <w:color w:val="000000" w:themeColor="text1"/>
                <w:sz w:val="18"/>
                <w:szCs w:val="18"/>
              </w:rPr>
            </w:pPr>
            <w:r>
              <w:rPr>
                <w:rFonts w:hint="eastAsia"/>
                <w:color w:val="000000" w:themeColor="text1"/>
                <w:sz w:val="18"/>
                <w:szCs w:val="18"/>
              </w:rPr>
              <w:t>满足重点水污染物排放总量控制指标要求，重点行业建设项目，主要污染物排放满足等量或减量替代要求</w:t>
            </w:r>
            <w:r>
              <w:rPr>
                <w:rFonts w:hint="eastAsia" w:ascii="宋体" w:hAnsi="宋体"/>
                <w:color w:val="000000" w:themeColor="text1"/>
                <w:sz w:val="18"/>
                <w:szCs w:val="18"/>
              </w:rPr>
              <w:t>□</w:t>
            </w:r>
          </w:p>
          <w:p>
            <w:pPr>
              <w:rPr>
                <w:color w:val="000000" w:themeColor="text1"/>
                <w:sz w:val="18"/>
                <w:szCs w:val="18"/>
              </w:rPr>
            </w:pPr>
            <w:r>
              <w:rPr>
                <w:rFonts w:hint="eastAsia"/>
                <w:color w:val="000000" w:themeColor="text1"/>
                <w:sz w:val="18"/>
                <w:szCs w:val="18"/>
              </w:rPr>
              <w:t>满足区（流）域水环境质量改善目标要求</w:t>
            </w:r>
            <w:r>
              <w:rPr>
                <w:rFonts w:hint="eastAsia" w:ascii="宋体" w:hAnsi="宋体"/>
                <w:color w:val="000000" w:themeColor="text1"/>
                <w:sz w:val="18"/>
                <w:szCs w:val="18"/>
              </w:rPr>
              <w:t>□</w:t>
            </w:r>
          </w:p>
          <w:p>
            <w:pPr>
              <w:rPr>
                <w:color w:val="000000" w:themeColor="text1"/>
                <w:sz w:val="18"/>
                <w:szCs w:val="18"/>
              </w:rPr>
            </w:pPr>
            <w:r>
              <w:rPr>
                <w:rFonts w:hint="eastAsia"/>
                <w:color w:val="000000" w:themeColor="text1"/>
                <w:sz w:val="18"/>
                <w:szCs w:val="18"/>
              </w:rPr>
              <w:t>水文要素影响型建设项目同时包括水文情势变化评价、主要水文特征值影响评价、生态流量符合性评价</w:t>
            </w:r>
            <w:r>
              <w:rPr>
                <w:rFonts w:hint="eastAsia" w:ascii="宋体" w:hAnsi="宋体"/>
                <w:color w:val="000000" w:themeColor="text1"/>
                <w:sz w:val="18"/>
                <w:szCs w:val="18"/>
              </w:rPr>
              <w:t>□</w:t>
            </w:r>
          </w:p>
          <w:p>
            <w:pPr>
              <w:rPr>
                <w:color w:val="000000" w:themeColor="text1"/>
                <w:sz w:val="18"/>
                <w:szCs w:val="18"/>
              </w:rPr>
            </w:pPr>
            <w:r>
              <w:rPr>
                <w:rFonts w:hint="eastAsia"/>
                <w:color w:val="000000" w:themeColor="text1"/>
                <w:sz w:val="18"/>
                <w:szCs w:val="18"/>
              </w:rPr>
              <w:t>对于新设或调整入河（湖库、近岸海域）排放口的建设项目，应包括排放口设置的环境合理性评价</w:t>
            </w:r>
            <w:r>
              <w:rPr>
                <w:rFonts w:hint="eastAsia" w:ascii="宋体" w:hAnsi="宋体"/>
                <w:color w:val="000000" w:themeColor="text1"/>
                <w:sz w:val="18"/>
                <w:szCs w:val="18"/>
              </w:rPr>
              <w:t>□</w:t>
            </w:r>
          </w:p>
          <w:p>
            <w:pPr>
              <w:rPr>
                <w:color w:val="000000" w:themeColor="text1"/>
                <w:sz w:val="18"/>
                <w:szCs w:val="18"/>
              </w:rPr>
            </w:pPr>
            <w:r>
              <w:rPr>
                <w:rFonts w:hint="eastAsia"/>
                <w:color w:val="000000" w:themeColor="text1"/>
                <w:sz w:val="18"/>
                <w:szCs w:val="18"/>
              </w:rPr>
              <w:t>满足生态保护红线、水环境质量底线、资源利用上线和环境准入清单管理要求</w:t>
            </w:r>
            <w:r>
              <w:rPr>
                <w:rFonts w:hint="eastAsia" w:ascii="宋体" w:hAnsi="宋体"/>
                <w:color w:val="000000" w:themeColor="text1"/>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vMerge w:val="restart"/>
            <w:shd w:val="clear" w:color="auto" w:fill="auto"/>
            <w:vAlign w:val="center"/>
          </w:tcPr>
          <w:p>
            <w:pPr>
              <w:jc w:val="center"/>
              <w:rPr>
                <w:color w:val="000000" w:themeColor="text1"/>
                <w:sz w:val="18"/>
                <w:szCs w:val="18"/>
              </w:rPr>
            </w:pPr>
            <w:r>
              <w:rPr>
                <w:rFonts w:hint="eastAsia"/>
                <w:color w:val="000000" w:themeColor="text1"/>
                <w:sz w:val="18"/>
                <w:szCs w:val="18"/>
              </w:rPr>
              <w:t>污染源排放量核算</w:t>
            </w:r>
          </w:p>
        </w:tc>
        <w:tc>
          <w:tcPr>
            <w:tcW w:w="2400" w:type="dxa"/>
            <w:gridSpan w:val="2"/>
            <w:shd w:val="clear" w:color="auto" w:fill="auto"/>
            <w:vAlign w:val="center"/>
          </w:tcPr>
          <w:p>
            <w:pPr>
              <w:jc w:val="center"/>
              <w:rPr>
                <w:color w:val="000000" w:themeColor="text1"/>
                <w:sz w:val="18"/>
                <w:szCs w:val="18"/>
              </w:rPr>
            </w:pPr>
            <w:r>
              <w:rPr>
                <w:rFonts w:hint="eastAsia"/>
                <w:color w:val="000000" w:themeColor="text1"/>
                <w:sz w:val="18"/>
                <w:szCs w:val="18"/>
              </w:rPr>
              <w:t>污染物名称</w:t>
            </w:r>
          </w:p>
        </w:tc>
        <w:tc>
          <w:tcPr>
            <w:tcW w:w="2136" w:type="dxa"/>
            <w:gridSpan w:val="4"/>
            <w:shd w:val="clear" w:color="auto" w:fill="auto"/>
            <w:vAlign w:val="center"/>
          </w:tcPr>
          <w:p>
            <w:pPr>
              <w:jc w:val="center"/>
              <w:rPr>
                <w:color w:val="000000" w:themeColor="text1"/>
                <w:sz w:val="18"/>
                <w:szCs w:val="18"/>
              </w:rPr>
            </w:pPr>
            <w:r>
              <w:rPr>
                <w:rFonts w:hint="eastAsia"/>
                <w:color w:val="000000" w:themeColor="text1"/>
                <w:sz w:val="18"/>
                <w:szCs w:val="18"/>
              </w:rPr>
              <w:t>排放量（t/a）</w:t>
            </w:r>
          </w:p>
        </w:tc>
        <w:tc>
          <w:tcPr>
            <w:tcW w:w="2392" w:type="dxa"/>
            <w:gridSpan w:val="3"/>
            <w:shd w:val="clear" w:color="auto" w:fill="auto"/>
            <w:vAlign w:val="center"/>
          </w:tcPr>
          <w:p>
            <w:pPr>
              <w:jc w:val="center"/>
              <w:rPr>
                <w:color w:val="000000" w:themeColor="text1"/>
                <w:sz w:val="18"/>
                <w:szCs w:val="18"/>
              </w:rPr>
            </w:pPr>
            <w:r>
              <w:rPr>
                <w:rFonts w:hint="eastAsia"/>
                <w:color w:val="000000" w:themeColor="text1"/>
                <w:sz w:val="18"/>
                <w:szCs w:val="18"/>
              </w:rPr>
              <w:t>排放浓度（mg/m</w:t>
            </w:r>
            <w:r>
              <w:rPr>
                <w:rFonts w:hint="eastAsia"/>
                <w:color w:val="000000" w:themeColor="text1"/>
                <w:sz w:val="18"/>
                <w:szCs w:val="18"/>
                <w:vertAlign w:val="superscript"/>
              </w:rPr>
              <w:t>3</w:t>
            </w:r>
            <w:r>
              <w:rPr>
                <w:rFonts w:hint="eastAsia"/>
                <w:color w:val="000000" w:themeColor="text1"/>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vMerge w:val="continue"/>
            <w:shd w:val="clear" w:color="auto" w:fill="auto"/>
            <w:vAlign w:val="center"/>
          </w:tcPr>
          <w:p>
            <w:pPr>
              <w:jc w:val="center"/>
              <w:rPr>
                <w:color w:val="000000" w:themeColor="text1"/>
                <w:sz w:val="18"/>
                <w:szCs w:val="18"/>
              </w:rPr>
            </w:pPr>
          </w:p>
        </w:tc>
        <w:tc>
          <w:tcPr>
            <w:tcW w:w="2400" w:type="dxa"/>
            <w:gridSpan w:val="2"/>
            <w:shd w:val="clear" w:color="auto" w:fill="auto"/>
            <w:vAlign w:val="center"/>
          </w:tcPr>
          <w:p>
            <w:pPr>
              <w:jc w:val="center"/>
              <w:rPr>
                <w:color w:val="000000" w:themeColor="text1"/>
                <w:sz w:val="18"/>
                <w:szCs w:val="18"/>
              </w:rPr>
            </w:pPr>
            <w:r>
              <w:rPr>
                <w:rFonts w:hint="eastAsia"/>
                <w:color w:val="000000" w:themeColor="text1"/>
                <w:sz w:val="18"/>
                <w:szCs w:val="18"/>
              </w:rPr>
              <w:t>COD</w:t>
            </w:r>
          </w:p>
        </w:tc>
        <w:tc>
          <w:tcPr>
            <w:tcW w:w="2136" w:type="dxa"/>
            <w:gridSpan w:val="4"/>
            <w:shd w:val="clear" w:color="auto" w:fill="auto"/>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28.885</w:t>
            </w:r>
          </w:p>
        </w:tc>
        <w:tc>
          <w:tcPr>
            <w:tcW w:w="2392" w:type="dxa"/>
            <w:gridSpan w:val="3"/>
            <w:shd w:val="clear" w:color="auto" w:fill="auto"/>
            <w:vAlign w:val="center"/>
          </w:tcPr>
          <w:p>
            <w:pPr>
              <w:jc w:val="center"/>
              <w:rPr>
                <w:color w:val="000000" w:themeColor="text1"/>
                <w:sz w:val="18"/>
                <w:szCs w:val="18"/>
              </w:rPr>
            </w:pPr>
            <w:r>
              <w:rPr>
                <w:rFonts w:hint="eastAsia"/>
                <w:color w:val="000000" w:themeColor="text1"/>
                <w:sz w:val="18"/>
                <w:szCs w:val="1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vMerge w:val="continue"/>
            <w:shd w:val="clear" w:color="auto" w:fill="auto"/>
            <w:vAlign w:val="center"/>
          </w:tcPr>
          <w:p>
            <w:pPr>
              <w:jc w:val="center"/>
              <w:rPr>
                <w:color w:val="000000" w:themeColor="text1"/>
                <w:sz w:val="18"/>
                <w:szCs w:val="18"/>
              </w:rPr>
            </w:pPr>
          </w:p>
        </w:tc>
        <w:tc>
          <w:tcPr>
            <w:tcW w:w="2400" w:type="dxa"/>
            <w:gridSpan w:val="2"/>
            <w:shd w:val="clear" w:color="auto" w:fill="auto"/>
            <w:vAlign w:val="center"/>
          </w:tcPr>
          <w:p>
            <w:pPr>
              <w:jc w:val="center"/>
              <w:rPr>
                <w:color w:val="000000" w:themeColor="text1"/>
                <w:sz w:val="18"/>
                <w:szCs w:val="18"/>
              </w:rPr>
            </w:pPr>
            <w:r>
              <w:rPr>
                <w:rFonts w:hint="eastAsia"/>
                <w:color w:val="000000" w:themeColor="text1"/>
                <w:sz w:val="18"/>
                <w:szCs w:val="18"/>
              </w:rPr>
              <w:t>NH</w:t>
            </w:r>
            <w:r>
              <w:rPr>
                <w:rFonts w:hint="eastAsia"/>
                <w:color w:val="000000" w:themeColor="text1"/>
                <w:sz w:val="18"/>
                <w:szCs w:val="18"/>
                <w:vertAlign w:val="subscript"/>
              </w:rPr>
              <w:t>3</w:t>
            </w:r>
            <w:r>
              <w:rPr>
                <w:rFonts w:hint="eastAsia"/>
                <w:color w:val="000000" w:themeColor="text1"/>
                <w:sz w:val="18"/>
                <w:szCs w:val="18"/>
              </w:rPr>
              <w:t>-N</w:t>
            </w:r>
          </w:p>
        </w:tc>
        <w:tc>
          <w:tcPr>
            <w:tcW w:w="2136" w:type="dxa"/>
            <w:gridSpan w:val="4"/>
            <w:shd w:val="clear" w:color="auto" w:fill="auto"/>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2.889</w:t>
            </w:r>
          </w:p>
        </w:tc>
        <w:tc>
          <w:tcPr>
            <w:tcW w:w="2392" w:type="dxa"/>
            <w:gridSpan w:val="3"/>
            <w:shd w:val="clear" w:color="auto" w:fill="auto"/>
            <w:vAlign w:val="center"/>
          </w:tcPr>
          <w:p>
            <w:pPr>
              <w:jc w:val="center"/>
              <w:rPr>
                <w:color w:val="000000" w:themeColor="text1"/>
                <w:sz w:val="18"/>
                <w:szCs w:val="18"/>
              </w:rPr>
            </w:pPr>
            <w:r>
              <w:rPr>
                <w:rFonts w:hint="eastAsia"/>
                <w:color w:val="000000" w:themeColor="text1"/>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vMerge w:val="continue"/>
            <w:shd w:val="clear" w:color="auto" w:fill="auto"/>
            <w:vAlign w:val="center"/>
          </w:tcPr>
          <w:p>
            <w:pPr>
              <w:jc w:val="center"/>
              <w:rPr>
                <w:color w:val="000000" w:themeColor="text1"/>
                <w:sz w:val="18"/>
                <w:szCs w:val="18"/>
              </w:rPr>
            </w:pPr>
          </w:p>
        </w:tc>
        <w:tc>
          <w:tcPr>
            <w:tcW w:w="2400" w:type="dxa"/>
            <w:gridSpan w:val="2"/>
            <w:shd w:val="clear" w:color="auto" w:fill="auto"/>
            <w:vAlign w:val="center"/>
          </w:tcPr>
          <w:p>
            <w:pPr>
              <w:jc w:val="center"/>
              <w:rPr>
                <w:color w:val="000000" w:themeColor="text1"/>
                <w:sz w:val="18"/>
                <w:szCs w:val="18"/>
              </w:rPr>
            </w:pPr>
            <w:r>
              <w:rPr>
                <w:rFonts w:hint="eastAsia"/>
                <w:color w:val="000000" w:themeColor="text1"/>
                <w:sz w:val="18"/>
                <w:szCs w:val="18"/>
              </w:rPr>
              <w:t>TN</w:t>
            </w:r>
          </w:p>
        </w:tc>
        <w:tc>
          <w:tcPr>
            <w:tcW w:w="2136" w:type="dxa"/>
            <w:gridSpan w:val="4"/>
            <w:shd w:val="clear" w:color="auto" w:fill="auto"/>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4.333</w:t>
            </w:r>
          </w:p>
        </w:tc>
        <w:tc>
          <w:tcPr>
            <w:tcW w:w="2392" w:type="dxa"/>
            <w:gridSpan w:val="3"/>
            <w:shd w:val="clear" w:color="auto" w:fill="auto"/>
            <w:vAlign w:val="center"/>
          </w:tcPr>
          <w:p>
            <w:pPr>
              <w:jc w:val="center"/>
              <w:rPr>
                <w:color w:val="000000" w:themeColor="text1"/>
                <w:sz w:val="18"/>
                <w:szCs w:val="18"/>
              </w:rPr>
            </w:pPr>
            <w:r>
              <w:rPr>
                <w:rFonts w:hint="eastAsia"/>
                <w:color w:val="000000" w:themeColor="text1"/>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vMerge w:val="continue"/>
            <w:shd w:val="clear" w:color="auto" w:fill="auto"/>
            <w:vAlign w:val="center"/>
          </w:tcPr>
          <w:p>
            <w:pPr>
              <w:jc w:val="center"/>
              <w:rPr>
                <w:color w:val="000000" w:themeColor="text1"/>
                <w:sz w:val="18"/>
                <w:szCs w:val="18"/>
              </w:rPr>
            </w:pPr>
          </w:p>
        </w:tc>
        <w:tc>
          <w:tcPr>
            <w:tcW w:w="2400" w:type="dxa"/>
            <w:gridSpan w:val="2"/>
            <w:shd w:val="clear" w:color="auto" w:fill="auto"/>
            <w:vAlign w:val="center"/>
          </w:tcPr>
          <w:p>
            <w:pPr>
              <w:jc w:val="center"/>
              <w:rPr>
                <w:color w:val="000000" w:themeColor="text1"/>
                <w:sz w:val="18"/>
                <w:szCs w:val="18"/>
              </w:rPr>
            </w:pPr>
            <w:r>
              <w:rPr>
                <w:rFonts w:hint="eastAsia"/>
                <w:color w:val="000000" w:themeColor="text1"/>
                <w:sz w:val="18"/>
                <w:szCs w:val="18"/>
              </w:rPr>
              <w:t>TP</w:t>
            </w:r>
          </w:p>
        </w:tc>
        <w:tc>
          <w:tcPr>
            <w:tcW w:w="2136" w:type="dxa"/>
            <w:gridSpan w:val="4"/>
            <w:shd w:val="clear" w:color="auto" w:fill="auto"/>
            <w:vAlign w:val="center"/>
          </w:tcPr>
          <w:p>
            <w:pPr>
              <w:spacing w:line="320" w:lineRule="exact"/>
              <w:jc w:val="center"/>
              <w:rPr>
                <w:rFonts w:ascii="Times New Roman" w:hAnsi="Times New Roman" w:cs="Times New Roman"/>
                <w:szCs w:val="21"/>
              </w:rPr>
            </w:pPr>
            <w:r>
              <w:rPr>
                <w:rFonts w:hint="eastAsia" w:ascii="Times New Roman" w:hAnsi="Times New Roman" w:cs="Times New Roman"/>
                <w:szCs w:val="21"/>
              </w:rPr>
              <w:t>0.361</w:t>
            </w:r>
          </w:p>
        </w:tc>
        <w:tc>
          <w:tcPr>
            <w:tcW w:w="2392" w:type="dxa"/>
            <w:gridSpan w:val="3"/>
            <w:shd w:val="clear" w:color="auto" w:fill="auto"/>
            <w:vAlign w:val="center"/>
          </w:tcPr>
          <w:p>
            <w:pPr>
              <w:jc w:val="center"/>
              <w:rPr>
                <w:color w:val="000000" w:themeColor="text1"/>
                <w:sz w:val="18"/>
                <w:szCs w:val="18"/>
              </w:rPr>
            </w:pPr>
            <w:r>
              <w:rPr>
                <w:rFonts w:hint="eastAsia"/>
                <w:color w:val="000000" w:themeColor="text1"/>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vMerge w:val="restart"/>
            <w:shd w:val="clear" w:color="auto" w:fill="auto"/>
            <w:vAlign w:val="center"/>
          </w:tcPr>
          <w:p>
            <w:pPr>
              <w:jc w:val="center"/>
              <w:rPr>
                <w:color w:val="000000" w:themeColor="text1"/>
                <w:sz w:val="18"/>
                <w:szCs w:val="18"/>
              </w:rPr>
            </w:pPr>
            <w:r>
              <w:rPr>
                <w:rFonts w:hint="eastAsia"/>
                <w:color w:val="000000" w:themeColor="text1"/>
                <w:sz w:val="18"/>
                <w:szCs w:val="18"/>
              </w:rPr>
              <w:t>替代源排放情况</w:t>
            </w:r>
          </w:p>
        </w:tc>
        <w:tc>
          <w:tcPr>
            <w:tcW w:w="1417" w:type="dxa"/>
            <w:shd w:val="clear" w:color="auto" w:fill="auto"/>
            <w:vAlign w:val="center"/>
          </w:tcPr>
          <w:p>
            <w:pPr>
              <w:jc w:val="center"/>
              <w:rPr>
                <w:color w:val="000000" w:themeColor="text1"/>
                <w:sz w:val="18"/>
                <w:szCs w:val="18"/>
              </w:rPr>
            </w:pPr>
            <w:r>
              <w:rPr>
                <w:rFonts w:hint="eastAsia"/>
                <w:color w:val="000000" w:themeColor="text1"/>
                <w:sz w:val="18"/>
                <w:szCs w:val="18"/>
              </w:rPr>
              <w:t>污染源名称</w:t>
            </w:r>
          </w:p>
        </w:tc>
        <w:tc>
          <w:tcPr>
            <w:tcW w:w="1418" w:type="dxa"/>
            <w:gridSpan w:val="2"/>
            <w:shd w:val="clear" w:color="auto" w:fill="auto"/>
            <w:vAlign w:val="center"/>
          </w:tcPr>
          <w:p>
            <w:pPr>
              <w:jc w:val="center"/>
              <w:rPr>
                <w:color w:val="000000" w:themeColor="text1"/>
                <w:sz w:val="18"/>
                <w:szCs w:val="18"/>
              </w:rPr>
            </w:pPr>
            <w:r>
              <w:rPr>
                <w:rFonts w:hint="eastAsia"/>
                <w:color w:val="000000" w:themeColor="text1"/>
                <w:sz w:val="18"/>
                <w:szCs w:val="18"/>
              </w:rPr>
              <w:t>排污许可证编号</w:t>
            </w:r>
          </w:p>
        </w:tc>
        <w:tc>
          <w:tcPr>
            <w:tcW w:w="1275" w:type="dxa"/>
            <w:gridSpan w:val="2"/>
            <w:shd w:val="clear" w:color="auto" w:fill="auto"/>
            <w:vAlign w:val="center"/>
          </w:tcPr>
          <w:p>
            <w:pPr>
              <w:jc w:val="center"/>
              <w:rPr>
                <w:color w:val="000000" w:themeColor="text1"/>
                <w:sz w:val="18"/>
                <w:szCs w:val="18"/>
              </w:rPr>
            </w:pPr>
            <w:r>
              <w:rPr>
                <w:rFonts w:hint="eastAsia"/>
                <w:color w:val="000000" w:themeColor="text1"/>
                <w:sz w:val="18"/>
                <w:szCs w:val="18"/>
              </w:rPr>
              <w:t>污染物名称</w:t>
            </w:r>
          </w:p>
        </w:tc>
        <w:tc>
          <w:tcPr>
            <w:tcW w:w="1418" w:type="dxa"/>
            <w:gridSpan w:val="3"/>
            <w:shd w:val="clear" w:color="auto" w:fill="auto"/>
            <w:vAlign w:val="center"/>
          </w:tcPr>
          <w:p>
            <w:pPr>
              <w:jc w:val="center"/>
              <w:rPr>
                <w:color w:val="000000" w:themeColor="text1"/>
                <w:sz w:val="18"/>
                <w:szCs w:val="18"/>
              </w:rPr>
            </w:pPr>
            <w:r>
              <w:rPr>
                <w:rFonts w:hint="eastAsia"/>
                <w:color w:val="000000" w:themeColor="text1"/>
                <w:sz w:val="18"/>
                <w:szCs w:val="18"/>
              </w:rPr>
              <w:t>排放量</w:t>
            </w:r>
          </w:p>
        </w:tc>
        <w:tc>
          <w:tcPr>
            <w:tcW w:w="1400" w:type="dxa"/>
            <w:shd w:val="clear" w:color="auto" w:fill="auto"/>
            <w:vAlign w:val="center"/>
          </w:tcPr>
          <w:p>
            <w:pPr>
              <w:jc w:val="center"/>
              <w:rPr>
                <w:color w:val="000000" w:themeColor="text1"/>
                <w:sz w:val="18"/>
                <w:szCs w:val="18"/>
              </w:rPr>
            </w:pPr>
            <w:r>
              <w:rPr>
                <w:rFonts w:hint="eastAsia"/>
                <w:color w:val="000000" w:themeColor="text1"/>
                <w:sz w:val="18"/>
                <w:szCs w:val="18"/>
              </w:rPr>
              <w:t>排放浓度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vMerge w:val="continue"/>
            <w:shd w:val="clear" w:color="auto" w:fill="auto"/>
            <w:vAlign w:val="center"/>
          </w:tcPr>
          <w:p>
            <w:pPr>
              <w:jc w:val="center"/>
              <w:rPr>
                <w:color w:val="000000" w:themeColor="text1"/>
                <w:sz w:val="18"/>
                <w:szCs w:val="18"/>
              </w:rPr>
            </w:pPr>
          </w:p>
        </w:tc>
        <w:tc>
          <w:tcPr>
            <w:tcW w:w="1417" w:type="dxa"/>
            <w:shd w:val="clear" w:color="auto" w:fill="auto"/>
            <w:vAlign w:val="center"/>
          </w:tcPr>
          <w:p>
            <w:pPr>
              <w:jc w:val="center"/>
              <w:rPr>
                <w:color w:val="000000" w:themeColor="text1"/>
                <w:sz w:val="18"/>
                <w:szCs w:val="18"/>
              </w:rPr>
            </w:pPr>
          </w:p>
        </w:tc>
        <w:tc>
          <w:tcPr>
            <w:tcW w:w="1418" w:type="dxa"/>
            <w:gridSpan w:val="2"/>
            <w:shd w:val="clear" w:color="auto" w:fill="auto"/>
            <w:vAlign w:val="center"/>
          </w:tcPr>
          <w:p>
            <w:pPr>
              <w:jc w:val="center"/>
              <w:rPr>
                <w:color w:val="000000" w:themeColor="text1"/>
                <w:sz w:val="18"/>
                <w:szCs w:val="18"/>
              </w:rPr>
            </w:pPr>
          </w:p>
        </w:tc>
        <w:tc>
          <w:tcPr>
            <w:tcW w:w="1275" w:type="dxa"/>
            <w:gridSpan w:val="2"/>
            <w:shd w:val="clear" w:color="auto" w:fill="auto"/>
            <w:vAlign w:val="center"/>
          </w:tcPr>
          <w:p>
            <w:pPr>
              <w:jc w:val="center"/>
              <w:rPr>
                <w:color w:val="000000" w:themeColor="text1"/>
                <w:sz w:val="18"/>
                <w:szCs w:val="18"/>
              </w:rPr>
            </w:pPr>
          </w:p>
        </w:tc>
        <w:tc>
          <w:tcPr>
            <w:tcW w:w="1418" w:type="dxa"/>
            <w:gridSpan w:val="3"/>
            <w:shd w:val="clear" w:color="auto" w:fill="auto"/>
            <w:vAlign w:val="center"/>
          </w:tcPr>
          <w:p>
            <w:pPr>
              <w:jc w:val="center"/>
              <w:rPr>
                <w:color w:val="000000" w:themeColor="text1"/>
                <w:sz w:val="18"/>
                <w:szCs w:val="18"/>
              </w:rPr>
            </w:pPr>
          </w:p>
        </w:tc>
        <w:tc>
          <w:tcPr>
            <w:tcW w:w="1400" w:type="dxa"/>
            <w:shd w:val="clear" w:color="auto" w:fill="auto"/>
            <w:vAlign w:val="center"/>
          </w:tcPr>
          <w:p>
            <w:pPr>
              <w:jc w:val="center"/>
              <w:rPr>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shd w:val="clear" w:color="auto" w:fill="auto"/>
            <w:vAlign w:val="center"/>
          </w:tcPr>
          <w:p>
            <w:pPr>
              <w:jc w:val="center"/>
              <w:rPr>
                <w:color w:val="000000" w:themeColor="text1"/>
                <w:sz w:val="18"/>
                <w:szCs w:val="18"/>
              </w:rPr>
            </w:pPr>
            <w:r>
              <w:rPr>
                <w:rFonts w:hint="eastAsia"/>
                <w:color w:val="000000" w:themeColor="text1"/>
                <w:sz w:val="18"/>
                <w:szCs w:val="18"/>
              </w:rPr>
              <w:t>生态流量确定</w:t>
            </w:r>
          </w:p>
        </w:tc>
        <w:tc>
          <w:tcPr>
            <w:tcW w:w="6928" w:type="dxa"/>
            <w:gridSpan w:val="9"/>
            <w:shd w:val="clear" w:color="auto" w:fill="auto"/>
            <w:vAlign w:val="center"/>
          </w:tcPr>
          <w:p>
            <w:pPr>
              <w:rPr>
                <w:color w:val="000000" w:themeColor="text1"/>
                <w:sz w:val="18"/>
                <w:szCs w:val="18"/>
              </w:rPr>
            </w:pPr>
            <w:r>
              <w:rPr>
                <w:rFonts w:hint="eastAsia"/>
                <w:color w:val="000000" w:themeColor="text1"/>
                <w:sz w:val="18"/>
                <w:szCs w:val="18"/>
              </w:rPr>
              <w:t>生态流量：一般水期（）m</w:t>
            </w:r>
            <w:r>
              <w:rPr>
                <w:rFonts w:hint="eastAsia"/>
                <w:color w:val="000000" w:themeColor="text1"/>
                <w:sz w:val="18"/>
                <w:szCs w:val="18"/>
                <w:vertAlign w:val="superscript"/>
              </w:rPr>
              <w:t>3</w:t>
            </w:r>
            <w:r>
              <w:rPr>
                <w:rFonts w:hint="eastAsia"/>
                <w:color w:val="000000" w:themeColor="text1"/>
                <w:sz w:val="18"/>
                <w:szCs w:val="18"/>
              </w:rPr>
              <w:t>/s；鱼类繁殖期（）m</w:t>
            </w:r>
            <w:r>
              <w:rPr>
                <w:rFonts w:hint="eastAsia"/>
                <w:color w:val="000000" w:themeColor="text1"/>
                <w:sz w:val="18"/>
                <w:szCs w:val="18"/>
                <w:vertAlign w:val="superscript"/>
              </w:rPr>
              <w:t>3</w:t>
            </w:r>
            <w:r>
              <w:rPr>
                <w:rFonts w:hint="eastAsia"/>
                <w:color w:val="000000" w:themeColor="text1"/>
                <w:sz w:val="18"/>
                <w:szCs w:val="18"/>
              </w:rPr>
              <w:t>/s；其它（）m</w:t>
            </w:r>
            <w:r>
              <w:rPr>
                <w:rFonts w:hint="eastAsia"/>
                <w:color w:val="000000" w:themeColor="text1"/>
                <w:sz w:val="18"/>
                <w:szCs w:val="18"/>
                <w:vertAlign w:val="superscript"/>
              </w:rPr>
              <w:t>3</w:t>
            </w:r>
            <w:r>
              <w:rPr>
                <w:rFonts w:hint="eastAsia"/>
                <w:color w:val="000000" w:themeColor="text1"/>
                <w:sz w:val="18"/>
                <w:szCs w:val="18"/>
              </w:rPr>
              <w:t>/s</w:t>
            </w:r>
          </w:p>
          <w:p>
            <w:pPr>
              <w:rPr>
                <w:color w:val="000000" w:themeColor="text1"/>
                <w:sz w:val="18"/>
                <w:szCs w:val="18"/>
              </w:rPr>
            </w:pPr>
            <w:r>
              <w:rPr>
                <w:rFonts w:hint="eastAsia"/>
                <w:color w:val="000000" w:themeColor="text1"/>
                <w:sz w:val="18"/>
                <w:szCs w:val="18"/>
              </w:rPr>
              <w:t>生态水位：一般水期（）m；鱼类繁殖期（）m；其它（）m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restart"/>
            <w:shd w:val="clear" w:color="auto" w:fill="auto"/>
            <w:vAlign w:val="center"/>
          </w:tcPr>
          <w:p>
            <w:pPr>
              <w:jc w:val="center"/>
              <w:rPr>
                <w:color w:val="000000" w:themeColor="text1"/>
                <w:sz w:val="18"/>
                <w:szCs w:val="18"/>
              </w:rPr>
            </w:pPr>
            <w:r>
              <w:rPr>
                <w:rFonts w:hint="eastAsia"/>
                <w:color w:val="000000" w:themeColor="text1"/>
                <w:sz w:val="18"/>
                <w:szCs w:val="18"/>
              </w:rPr>
              <w:t>防治措施</w:t>
            </w:r>
          </w:p>
        </w:tc>
        <w:tc>
          <w:tcPr>
            <w:tcW w:w="1560" w:type="dxa"/>
            <w:shd w:val="clear" w:color="auto" w:fill="auto"/>
            <w:vAlign w:val="center"/>
          </w:tcPr>
          <w:p>
            <w:pPr>
              <w:jc w:val="center"/>
              <w:rPr>
                <w:color w:val="000000" w:themeColor="text1"/>
                <w:sz w:val="18"/>
                <w:szCs w:val="18"/>
              </w:rPr>
            </w:pPr>
            <w:r>
              <w:rPr>
                <w:rFonts w:hint="eastAsia"/>
                <w:color w:val="000000" w:themeColor="text1"/>
                <w:sz w:val="18"/>
                <w:szCs w:val="18"/>
              </w:rPr>
              <w:t>环保措施</w:t>
            </w:r>
          </w:p>
        </w:tc>
        <w:tc>
          <w:tcPr>
            <w:tcW w:w="6928" w:type="dxa"/>
            <w:gridSpan w:val="9"/>
            <w:shd w:val="clear" w:color="auto" w:fill="auto"/>
            <w:vAlign w:val="center"/>
          </w:tcPr>
          <w:p>
            <w:pPr>
              <w:rPr>
                <w:color w:val="000000" w:themeColor="text1"/>
                <w:sz w:val="18"/>
                <w:szCs w:val="18"/>
              </w:rPr>
            </w:pPr>
            <w:r>
              <w:rPr>
                <w:rFonts w:hint="eastAsia"/>
                <w:color w:val="000000" w:themeColor="text1"/>
                <w:sz w:val="18"/>
                <w:szCs w:val="18"/>
              </w:rPr>
              <w:t>污水处理设施</w:t>
            </w:r>
            <w:r>
              <w:rPr>
                <w:rFonts w:hint="eastAsia" w:ascii="宋体" w:hAnsi="宋体"/>
                <w:color w:val="000000" w:themeColor="text1"/>
                <w:sz w:val="18"/>
                <w:szCs w:val="18"/>
              </w:rPr>
              <w:sym w:font="CommercialPi BT" w:char="F029"/>
            </w:r>
            <w:r>
              <w:rPr>
                <w:rFonts w:hint="eastAsia"/>
                <w:color w:val="000000" w:themeColor="text1"/>
                <w:sz w:val="18"/>
                <w:szCs w:val="18"/>
              </w:rPr>
              <w:t>；水文减缓设施</w:t>
            </w:r>
            <w:r>
              <w:rPr>
                <w:rFonts w:hint="eastAsia" w:ascii="宋体" w:hAnsi="宋体"/>
                <w:color w:val="000000" w:themeColor="text1"/>
                <w:sz w:val="18"/>
                <w:szCs w:val="18"/>
              </w:rPr>
              <w:t>□</w:t>
            </w:r>
            <w:r>
              <w:rPr>
                <w:rFonts w:hint="eastAsia"/>
                <w:color w:val="000000" w:themeColor="text1"/>
                <w:sz w:val="18"/>
                <w:szCs w:val="18"/>
              </w:rPr>
              <w:t>；生态流量保障设施</w:t>
            </w:r>
            <w:r>
              <w:rPr>
                <w:rFonts w:hint="eastAsia" w:ascii="宋体" w:hAnsi="宋体"/>
                <w:color w:val="000000" w:themeColor="text1"/>
                <w:sz w:val="18"/>
                <w:szCs w:val="18"/>
              </w:rPr>
              <w:t>□</w:t>
            </w:r>
            <w:r>
              <w:rPr>
                <w:rFonts w:hint="eastAsia"/>
                <w:color w:val="000000" w:themeColor="text1"/>
                <w:sz w:val="18"/>
                <w:szCs w:val="18"/>
              </w:rPr>
              <w:t>；区域削减</w:t>
            </w:r>
            <w:r>
              <w:rPr>
                <w:rFonts w:hint="eastAsia" w:ascii="宋体" w:hAnsi="宋体"/>
                <w:color w:val="000000" w:themeColor="text1"/>
                <w:sz w:val="18"/>
                <w:szCs w:val="18"/>
              </w:rPr>
              <w:t>□</w:t>
            </w:r>
            <w:r>
              <w:rPr>
                <w:rFonts w:hint="eastAsia"/>
                <w:color w:val="000000" w:themeColor="text1"/>
                <w:sz w:val="18"/>
                <w:szCs w:val="18"/>
              </w:rPr>
              <w:t>；依托其它工程措施</w:t>
            </w:r>
            <w:r>
              <w:rPr>
                <w:rFonts w:hint="eastAsia" w:ascii="宋体" w:hAnsi="宋体"/>
                <w:color w:val="000000" w:themeColor="text1"/>
                <w:sz w:val="18"/>
                <w:szCs w:val="18"/>
              </w:rPr>
              <w:t>□</w:t>
            </w:r>
            <w:r>
              <w:rPr>
                <w:rFonts w:hint="eastAsia"/>
                <w:color w:val="000000" w:themeColor="text1"/>
                <w:sz w:val="18"/>
                <w:szCs w:val="18"/>
              </w:rPr>
              <w:t>；其它</w:t>
            </w:r>
            <w:r>
              <w:rPr>
                <w:rFonts w:hint="eastAsia" w:ascii="宋体" w:hAnsi="宋体"/>
                <w:color w:val="000000" w:themeColor="text1"/>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vMerge w:val="restart"/>
            <w:shd w:val="clear" w:color="auto" w:fill="auto"/>
            <w:vAlign w:val="center"/>
          </w:tcPr>
          <w:p>
            <w:pPr>
              <w:jc w:val="center"/>
              <w:rPr>
                <w:color w:val="000000" w:themeColor="text1"/>
                <w:sz w:val="18"/>
                <w:szCs w:val="18"/>
              </w:rPr>
            </w:pPr>
            <w:r>
              <w:rPr>
                <w:rFonts w:hint="eastAsia"/>
                <w:color w:val="000000" w:themeColor="text1"/>
                <w:sz w:val="18"/>
                <w:szCs w:val="18"/>
              </w:rPr>
              <w:t>监测计划</w:t>
            </w:r>
          </w:p>
        </w:tc>
        <w:tc>
          <w:tcPr>
            <w:tcW w:w="1417" w:type="dxa"/>
            <w:shd w:val="clear" w:color="auto" w:fill="auto"/>
            <w:vAlign w:val="center"/>
          </w:tcPr>
          <w:p>
            <w:pPr>
              <w:jc w:val="center"/>
              <w:rPr>
                <w:color w:val="000000" w:themeColor="text1"/>
                <w:sz w:val="18"/>
                <w:szCs w:val="18"/>
              </w:rPr>
            </w:pPr>
          </w:p>
        </w:tc>
        <w:tc>
          <w:tcPr>
            <w:tcW w:w="2693" w:type="dxa"/>
            <w:gridSpan w:val="4"/>
            <w:shd w:val="clear" w:color="auto" w:fill="auto"/>
            <w:vAlign w:val="center"/>
          </w:tcPr>
          <w:p>
            <w:pPr>
              <w:jc w:val="center"/>
              <w:rPr>
                <w:color w:val="000000" w:themeColor="text1"/>
                <w:sz w:val="18"/>
                <w:szCs w:val="18"/>
              </w:rPr>
            </w:pPr>
            <w:r>
              <w:rPr>
                <w:rFonts w:hint="eastAsia"/>
                <w:color w:val="000000" w:themeColor="text1"/>
                <w:sz w:val="18"/>
                <w:szCs w:val="18"/>
              </w:rPr>
              <w:t>环境质量</w:t>
            </w:r>
          </w:p>
        </w:tc>
        <w:tc>
          <w:tcPr>
            <w:tcW w:w="2818" w:type="dxa"/>
            <w:gridSpan w:val="4"/>
            <w:shd w:val="clear" w:color="auto" w:fill="auto"/>
            <w:vAlign w:val="center"/>
          </w:tcPr>
          <w:p>
            <w:pPr>
              <w:jc w:val="center"/>
              <w:rPr>
                <w:color w:val="000000" w:themeColor="text1"/>
                <w:sz w:val="18"/>
                <w:szCs w:val="18"/>
              </w:rPr>
            </w:pPr>
            <w:r>
              <w:rPr>
                <w:rFonts w:hint="eastAsia"/>
                <w:color w:val="000000" w:themeColor="text1"/>
                <w:sz w:val="18"/>
                <w:szCs w:val="18"/>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vMerge w:val="continue"/>
            <w:shd w:val="clear" w:color="auto" w:fill="auto"/>
            <w:vAlign w:val="center"/>
          </w:tcPr>
          <w:p>
            <w:pPr>
              <w:jc w:val="center"/>
              <w:rPr>
                <w:color w:val="000000" w:themeColor="text1"/>
                <w:sz w:val="18"/>
                <w:szCs w:val="18"/>
              </w:rPr>
            </w:pPr>
          </w:p>
        </w:tc>
        <w:tc>
          <w:tcPr>
            <w:tcW w:w="1417" w:type="dxa"/>
            <w:shd w:val="clear" w:color="auto" w:fill="auto"/>
            <w:vAlign w:val="center"/>
          </w:tcPr>
          <w:p>
            <w:pPr>
              <w:jc w:val="center"/>
              <w:rPr>
                <w:color w:val="000000" w:themeColor="text1"/>
                <w:sz w:val="18"/>
                <w:szCs w:val="18"/>
              </w:rPr>
            </w:pPr>
            <w:r>
              <w:rPr>
                <w:rFonts w:hint="eastAsia"/>
                <w:color w:val="000000" w:themeColor="text1"/>
                <w:sz w:val="18"/>
                <w:szCs w:val="18"/>
              </w:rPr>
              <w:t>监测方式</w:t>
            </w:r>
          </w:p>
        </w:tc>
        <w:tc>
          <w:tcPr>
            <w:tcW w:w="2693" w:type="dxa"/>
            <w:gridSpan w:val="4"/>
            <w:shd w:val="clear" w:color="auto" w:fill="auto"/>
            <w:vAlign w:val="center"/>
          </w:tcPr>
          <w:p>
            <w:pPr>
              <w:jc w:val="center"/>
              <w:rPr>
                <w:color w:val="000000" w:themeColor="text1"/>
                <w:sz w:val="18"/>
                <w:szCs w:val="18"/>
              </w:rPr>
            </w:pPr>
            <w:r>
              <w:rPr>
                <w:rFonts w:hint="eastAsia"/>
                <w:color w:val="000000" w:themeColor="text1"/>
                <w:sz w:val="18"/>
                <w:szCs w:val="18"/>
              </w:rPr>
              <w:t>手动</w:t>
            </w:r>
            <w:r>
              <w:rPr>
                <w:rFonts w:hint="eastAsia" w:ascii="宋体" w:hAnsi="宋体"/>
                <w:color w:val="000000" w:themeColor="text1"/>
                <w:sz w:val="18"/>
                <w:szCs w:val="18"/>
              </w:rPr>
              <w:t>□</w:t>
            </w:r>
            <w:r>
              <w:rPr>
                <w:rFonts w:hint="eastAsia"/>
                <w:color w:val="000000" w:themeColor="text1"/>
                <w:sz w:val="18"/>
                <w:szCs w:val="18"/>
              </w:rPr>
              <w:t>；自动</w:t>
            </w:r>
            <w:r>
              <w:rPr>
                <w:rFonts w:hint="eastAsia" w:ascii="宋体" w:hAnsi="宋体"/>
                <w:color w:val="000000" w:themeColor="text1"/>
                <w:sz w:val="18"/>
                <w:szCs w:val="18"/>
              </w:rPr>
              <w:t>□</w:t>
            </w:r>
            <w:r>
              <w:rPr>
                <w:rFonts w:hint="eastAsia"/>
                <w:color w:val="000000" w:themeColor="text1"/>
                <w:sz w:val="18"/>
                <w:szCs w:val="18"/>
              </w:rPr>
              <w:t>；无监测</w:t>
            </w:r>
            <w:r>
              <w:rPr>
                <w:rFonts w:hint="eastAsia" w:ascii="宋体" w:hAnsi="宋体"/>
                <w:color w:val="000000" w:themeColor="text1"/>
                <w:sz w:val="18"/>
                <w:szCs w:val="18"/>
              </w:rPr>
              <w:sym w:font="CommercialPi BT" w:char="F029"/>
            </w:r>
          </w:p>
        </w:tc>
        <w:tc>
          <w:tcPr>
            <w:tcW w:w="2818" w:type="dxa"/>
            <w:gridSpan w:val="4"/>
            <w:shd w:val="clear" w:color="auto" w:fill="auto"/>
            <w:vAlign w:val="center"/>
          </w:tcPr>
          <w:p>
            <w:pPr>
              <w:jc w:val="center"/>
              <w:rPr>
                <w:color w:val="000000" w:themeColor="text1"/>
                <w:sz w:val="18"/>
                <w:szCs w:val="18"/>
              </w:rPr>
            </w:pPr>
            <w:r>
              <w:rPr>
                <w:rFonts w:hint="eastAsia"/>
                <w:color w:val="000000" w:themeColor="text1"/>
                <w:sz w:val="18"/>
                <w:szCs w:val="18"/>
              </w:rPr>
              <w:t>手动</w:t>
            </w:r>
            <w:r>
              <w:rPr>
                <w:rFonts w:hint="eastAsia" w:ascii="宋体" w:hAnsi="宋体"/>
                <w:color w:val="000000" w:themeColor="text1"/>
                <w:sz w:val="18"/>
                <w:szCs w:val="18"/>
              </w:rPr>
              <w:sym w:font="CommercialPi BT" w:char="F029"/>
            </w:r>
            <w:r>
              <w:rPr>
                <w:rFonts w:hint="eastAsia"/>
                <w:color w:val="000000" w:themeColor="text1"/>
                <w:sz w:val="18"/>
                <w:szCs w:val="18"/>
              </w:rPr>
              <w:t>；自动</w:t>
            </w:r>
            <w:r>
              <w:rPr>
                <w:rFonts w:hint="eastAsia" w:ascii="宋体" w:hAnsi="宋体"/>
                <w:color w:val="000000" w:themeColor="text1"/>
                <w:sz w:val="18"/>
                <w:szCs w:val="18"/>
              </w:rPr>
              <w:t>□</w:t>
            </w:r>
            <w:r>
              <w:rPr>
                <w:rFonts w:hint="eastAsia"/>
                <w:color w:val="000000" w:themeColor="text1"/>
                <w:sz w:val="18"/>
                <w:szCs w:val="18"/>
              </w:rPr>
              <w:t>；无监测</w:t>
            </w:r>
            <w:r>
              <w:rPr>
                <w:rFonts w:hint="eastAsia" w:ascii="宋体" w:hAnsi="宋体"/>
                <w:color w:val="000000" w:themeColor="text1"/>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vMerge w:val="continue"/>
            <w:shd w:val="clear" w:color="auto" w:fill="auto"/>
            <w:vAlign w:val="center"/>
          </w:tcPr>
          <w:p>
            <w:pPr>
              <w:jc w:val="center"/>
              <w:rPr>
                <w:color w:val="000000" w:themeColor="text1"/>
                <w:sz w:val="18"/>
                <w:szCs w:val="18"/>
              </w:rPr>
            </w:pPr>
          </w:p>
        </w:tc>
        <w:tc>
          <w:tcPr>
            <w:tcW w:w="1417" w:type="dxa"/>
            <w:shd w:val="clear" w:color="auto" w:fill="auto"/>
            <w:vAlign w:val="center"/>
          </w:tcPr>
          <w:p>
            <w:pPr>
              <w:jc w:val="center"/>
              <w:rPr>
                <w:color w:val="000000" w:themeColor="text1"/>
                <w:sz w:val="18"/>
                <w:szCs w:val="18"/>
              </w:rPr>
            </w:pPr>
            <w:r>
              <w:rPr>
                <w:rFonts w:hint="eastAsia"/>
                <w:color w:val="000000" w:themeColor="text1"/>
                <w:sz w:val="18"/>
                <w:szCs w:val="18"/>
              </w:rPr>
              <w:t>监测点位</w:t>
            </w:r>
          </w:p>
        </w:tc>
        <w:tc>
          <w:tcPr>
            <w:tcW w:w="2693" w:type="dxa"/>
            <w:gridSpan w:val="4"/>
            <w:shd w:val="clear" w:color="auto" w:fill="auto"/>
            <w:vAlign w:val="center"/>
          </w:tcPr>
          <w:p>
            <w:pPr>
              <w:jc w:val="center"/>
              <w:rPr>
                <w:color w:val="000000" w:themeColor="text1"/>
                <w:sz w:val="18"/>
                <w:szCs w:val="18"/>
              </w:rPr>
            </w:pPr>
            <w:r>
              <w:rPr>
                <w:rFonts w:hint="eastAsia"/>
                <w:color w:val="000000" w:themeColor="text1"/>
                <w:sz w:val="18"/>
                <w:szCs w:val="18"/>
              </w:rPr>
              <w:t>（）</w:t>
            </w:r>
          </w:p>
        </w:tc>
        <w:tc>
          <w:tcPr>
            <w:tcW w:w="2818" w:type="dxa"/>
            <w:gridSpan w:val="4"/>
            <w:shd w:val="clear" w:color="auto" w:fill="auto"/>
            <w:vAlign w:val="center"/>
          </w:tcPr>
          <w:p>
            <w:pPr>
              <w:jc w:val="center"/>
              <w:rPr>
                <w:color w:val="000000" w:themeColor="text1"/>
                <w:sz w:val="18"/>
                <w:szCs w:val="18"/>
              </w:rPr>
            </w:pPr>
            <w:r>
              <w:rPr>
                <w:rFonts w:hint="eastAsia"/>
                <w:color w:val="000000" w:themeColor="text1"/>
                <w:sz w:val="18"/>
                <w:szCs w:val="18"/>
              </w:rPr>
              <w:t>（污水处理站出水口）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vMerge w:val="continue"/>
            <w:shd w:val="clear" w:color="auto" w:fill="auto"/>
            <w:vAlign w:val="center"/>
          </w:tcPr>
          <w:p>
            <w:pPr>
              <w:jc w:val="center"/>
              <w:rPr>
                <w:color w:val="000000" w:themeColor="text1"/>
                <w:sz w:val="18"/>
                <w:szCs w:val="18"/>
              </w:rPr>
            </w:pPr>
          </w:p>
        </w:tc>
        <w:tc>
          <w:tcPr>
            <w:tcW w:w="1417" w:type="dxa"/>
            <w:shd w:val="clear" w:color="auto" w:fill="auto"/>
            <w:vAlign w:val="center"/>
          </w:tcPr>
          <w:p>
            <w:pPr>
              <w:jc w:val="center"/>
              <w:rPr>
                <w:color w:val="000000" w:themeColor="text1"/>
                <w:sz w:val="18"/>
                <w:szCs w:val="18"/>
              </w:rPr>
            </w:pPr>
            <w:r>
              <w:rPr>
                <w:rFonts w:hint="eastAsia"/>
                <w:color w:val="000000" w:themeColor="text1"/>
                <w:sz w:val="18"/>
                <w:szCs w:val="18"/>
              </w:rPr>
              <w:t>监测因子</w:t>
            </w:r>
          </w:p>
        </w:tc>
        <w:tc>
          <w:tcPr>
            <w:tcW w:w="2693" w:type="dxa"/>
            <w:gridSpan w:val="4"/>
            <w:shd w:val="clear" w:color="auto" w:fill="auto"/>
            <w:vAlign w:val="center"/>
          </w:tcPr>
          <w:p>
            <w:pPr>
              <w:jc w:val="center"/>
              <w:rPr>
                <w:color w:val="000000" w:themeColor="text1"/>
                <w:sz w:val="18"/>
                <w:szCs w:val="18"/>
              </w:rPr>
            </w:pPr>
            <w:r>
              <w:rPr>
                <w:rFonts w:hint="eastAsia"/>
                <w:color w:val="000000" w:themeColor="text1"/>
                <w:sz w:val="18"/>
                <w:szCs w:val="18"/>
              </w:rPr>
              <w:t>（）</w:t>
            </w:r>
          </w:p>
        </w:tc>
        <w:tc>
          <w:tcPr>
            <w:tcW w:w="2818" w:type="dxa"/>
            <w:gridSpan w:val="4"/>
            <w:shd w:val="clear" w:color="auto" w:fill="auto"/>
            <w:vAlign w:val="center"/>
          </w:tcPr>
          <w:p>
            <w:pPr>
              <w:jc w:val="center"/>
              <w:rPr>
                <w:color w:val="000000" w:themeColor="text1"/>
                <w:sz w:val="18"/>
                <w:szCs w:val="18"/>
              </w:rPr>
            </w:pPr>
            <w:r>
              <w:rPr>
                <w:rFonts w:hint="eastAsia"/>
                <w:color w:val="000000" w:themeColor="text1"/>
                <w:sz w:val="18"/>
                <w:szCs w:val="18"/>
              </w:rPr>
              <w:t>（</w:t>
            </w:r>
            <w:r>
              <w:rPr>
                <w:color w:val="000000" w:themeColor="text1"/>
                <w:sz w:val="18"/>
                <w:szCs w:val="18"/>
              </w:rPr>
              <w:t>COD</w:t>
            </w:r>
            <w:r>
              <w:rPr>
                <w:rFonts w:hint="eastAsia"/>
                <w:color w:val="000000" w:themeColor="text1"/>
                <w:sz w:val="18"/>
                <w:szCs w:val="18"/>
              </w:rPr>
              <w:t>、</w:t>
            </w:r>
            <w:r>
              <w:rPr>
                <w:color w:val="000000" w:themeColor="text1"/>
                <w:sz w:val="18"/>
                <w:szCs w:val="18"/>
              </w:rPr>
              <w:t>NH</w:t>
            </w:r>
            <w:r>
              <w:rPr>
                <w:color w:val="000000" w:themeColor="text1"/>
                <w:sz w:val="18"/>
                <w:szCs w:val="18"/>
                <w:vertAlign w:val="subscript"/>
              </w:rPr>
              <w:t>3</w:t>
            </w:r>
            <w:r>
              <w:rPr>
                <w:color w:val="000000" w:themeColor="text1"/>
                <w:sz w:val="18"/>
                <w:szCs w:val="18"/>
              </w:rPr>
              <w:t>-N</w:t>
            </w:r>
            <w:r>
              <w:rPr>
                <w:rFonts w:hint="eastAsia"/>
                <w:color w:val="000000" w:themeColor="text1"/>
                <w:sz w:val="18"/>
                <w:szCs w:val="18"/>
              </w:rPr>
              <w:t>、</w:t>
            </w:r>
            <w:r>
              <w:rPr>
                <w:color w:val="000000" w:themeColor="text1"/>
                <w:sz w:val="18"/>
                <w:szCs w:val="18"/>
              </w:rPr>
              <w:t>TN</w:t>
            </w:r>
            <w:r>
              <w:rPr>
                <w:rFonts w:hint="eastAsia"/>
                <w:color w:val="000000" w:themeColor="text1"/>
                <w:sz w:val="18"/>
                <w:szCs w:val="18"/>
              </w:rPr>
              <w:t>、</w:t>
            </w:r>
            <w:r>
              <w:rPr>
                <w:color w:val="000000" w:themeColor="text1"/>
                <w:sz w:val="18"/>
                <w:szCs w:val="18"/>
              </w:rPr>
              <w:t>TP</w:t>
            </w:r>
            <w:r>
              <w:rPr>
                <w:rFonts w:hint="eastAsia"/>
                <w:color w:val="000000" w:themeColor="text1"/>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shd w:val="clear" w:color="auto" w:fill="auto"/>
            <w:vAlign w:val="center"/>
          </w:tcPr>
          <w:p>
            <w:pPr>
              <w:jc w:val="center"/>
              <w:rPr>
                <w:color w:val="000000" w:themeColor="text1"/>
                <w:sz w:val="18"/>
                <w:szCs w:val="18"/>
              </w:rPr>
            </w:pPr>
          </w:p>
        </w:tc>
        <w:tc>
          <w:tcPr>
            <w:tcW w:w="1560" w:type="dxa"/>
            <w:shd w:val="clear" w:color="auto" w:fill="auto"/>
            <w:vAlign w:val="center"/>
          </w:tcPr>
          <w:p>
            <w:pPr>
              <w:jc w:val="center"/>
              <w:rPr>
                <w:color w:val="000000" w:themeColor="text1"/>
                <w:sz w:val="18"/>
                <w:szCs w:val="18"/>
              </w:rPr>
            </w:pPr>
            <w:r>
              <w:rPr>
                <w:rFonts w:hint="eastAsia"/>
                <w:color w:val="000000" w:themeColor="text1"/>
                <w:sz w:val="18"/>
                <w:szCs w:val="18"/>
              </w:rPr>
              <w:t>污染物排放清单</w:t>
            </w:r>
          </w:p>
        </w:tc>
        <w:tc>
          <w:tcPr>
            <w:tcW w:w="6928" w:type="dxa"/>
            <w:gridSpan w:val="9"/>
            <w:shd w:val="clear" w:color="auto" w:fill="auto"/>
            <w:vAlign w:val="center"/>
          </w:tcPr>
          <w:p>
            <w:pPr>
              <w:rPr>
                <w:color w:val="000000" w:themeColor="text1"/>
                <w:sz w:val="18"/>
                <w:szCs w:val="18"/>
              </w:rPr>
            </w:pPr>
            <w:r>
              <w:rPr>
                <w:rFonts w:hint="eastAsia" w:ascii="宋体" w:hAnsi="宋体"/>
                <w:color w:val="000000" w:themeColor="text1"/>
                <w:sz w:val="18"/>
                <w:szCs w:val="18"/>
              </w:rPr>
              <w:t>见表8-1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7" w:type="dxa"/>
            <w:gridSpan w:val="2"/>
            <w:shd w:val="clear" w:color="auto" w:fill="auto"/>
            <w:vAlign w:val="center"/>
          </w:tcPr>
          <w:p>
            <w:pPr>
              <w:jc w:val="center"/>
              <w:rPr>
                <w:color w:val="000000" w:themeColor="text1"/>
                <w:sz w:val="18"/>
                <w:szCs w:val="18"/>
              </w:rPr>
            </w:pPr>
            <w:r>
              <w:rPr>
                <w:rFonts w:hint="eastAsia"/>
                <w:color w:val="000000" w:themeColor="text1"/>
                <w:sz w:val="18"/>
                <w:szCs w:val="18"/>
              </w:rPr>
              <w:t>评价结论</w:t>
            </w:r>
          </w:p>
        </w:tc>
        <w:tc>
          <w:tcPr>
            <w:tcW w:w="6928" w:type="dxa"/>
            <w:gridSpan w:val="9"/>
            <w:shd w:val="clear" w:color="auto" w:fill="auto"/>
            <w:vAlign w:val="center"/>
          </w:tcPr>
          <w:p>
            <w:pPr>
              <w:rPr>
                <w:color w:val="000000" w:themeColor="text1"/>
                <w:sz w:val="18"/>
                <w:szCs w:val="18"/>
              </w:rPr>
            </w:pPr>
            <w:r>
              <w:rPr>
                <w:rFonts w:hint="eastAsia"/>
                <w:color w:val="000000" w:themeColor="text1"/>
                <w:sz w:val="18"/>
                <w:szCs w:val="18"/>
              </w:rPr>
              <w:t>可以接受</w:t>
            </w:r>
            <w:r>
              <w:rPr>
                <w:rFonts w:hint="eastAsia" w:ascii="宋体" w:hAnsi="宋体"/>
                <w:color w:val="000000" w:themeColor="text1"/>
                <w:sz w:val="18"/>
                <w:szCs w:val="18"/>
              </w:rPr>
              <w:sym w:font="CommercialPi BT" w:char="F029"/>
            </w:r>
            <w:r>
              <w:rPr>
                <w:rFonts w:hint="eastAsia"/>
                <w:color w:val="000000" w:themeColor="text1"/>
                <w:sz w:val="18"/>
                <w:szCs w:val="18"/>
              </w:rPr>
              <w:t>；不可以接受</w:t>
            </w:r>
            <w:r>
              <w:rPr>
                <w:rFonts w:hint="eastAsia" w:ascii="宋体" w:hAnsi="宋体"/>
                <w:color w:val="000000" w:themeColor="text1"/>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55" w:type="dxa"/>
            <w:gridSpan w:val="11"/>
            <w:shd w:val="clear" w:color="auto" w:fill="auto"/>
            <w:vAlign w:val="center"/>
          </w:tcPr>
          <w:p>
            <w:pPr>
              <w:rPr>
                <w:color w:val="000000" w:themeColor="text1"/>
                <w:sz w:val="18"/>
                <w:szCs w:val="18"/>
              </w:rPr>
            </w:pPr>
            <w:r>
              <w:rPr>
                <w:rFonts w:hint="eastAsia"/>
                <w:color w:val="000000" w:themeColor="text1"/>
                <w:sz w:val="18"/>
                <w:szCs w:val="18"/>
              </w:rPr>
              <w:t>注：“”为勾选项，可打√；“（）”为内容填写项；“备注”为其它补充内容</w:t>
            </w:r>
          </w:p>
        </w:tc>
      </w:tr>
    </w:tbl>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在正常工况下，项目废水不会与地表水发生直接联系，因此项目废水不会对当地地表水环境产生明显影响。</w:t>
      </w:r>
    </w:p>
    <w:p>
      <w:pPr>
        <w:pStyle w:val="4"/>
        <w:spacing w:before="0" w:after="0" w:line="36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5.2.3地下水环境影响分析</w:t>
      </w:r>
    </w:p>
    <w:p>
      <w:pPr>
        <w:pStyle w:val="5"/>
        <w:spacing w:before="0" w:after="0" w:line="360" w:lineRule="auto"/>
        <w:rPr>
          <w:rFonts w:ascii="Times New Roman" w:hAnsi="Times New Roman" w:cs="Times New Roman"/>
          <w:sz w:val="24"/>
          <w:szCs w:val="24"/>
        </w:rPr>
      </w:pPr>
      <w:r>
        <w:rPr>
          <w:rFonts w:ascii="Times New Roman" w:hAnsi="Times New Roman" w:cs="Times New Roman"/>
          <w:sz w:val="24"/>
          <w:szCs w:val="24"/>
        </w:rPr>
        <w:t>5.2.</w:t>
      </w:r>
      <w:r>
        <w:rPr>
          <w:rFonts w:hint="eastAsia" w:ascii="Times New Roman" w:hAnsi="Times New Roman" w:cs="Times New Roman"/>
          <w:sz w:val="24"/>
          <w:szCs w:val="24"/>
        </w:rPr>
        <w:t>3</w:t>
      </w:r>
      <w:r>
        <w:rPr>
          <w:rFonts w:ascii="Times New Roman" w:hAnsi="Times New Roman" w:cs="Times New Roman"/>
          <w:sz w:val="24"/>
          <w:szCs w:val="24"/>
        </w:rPr>
        <w:t>.1</w:t>
      </w:r>
      <w:r>
        <w:rPr>
          <w:rFonts w:hint="eastAsia" w:ascii="Times New Roman" w:hAnsi="Times New Roman" w:cs="Times New Roman"/>
          <w:sz w:val="24"/>
          <w:szCs w:val="24"/>
        </w:rPr>
        <w:t>区域概况</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保定市位于太行山东麓的山前倾斜平原，地形是由西北向东南倾斜，西北部为太行山麓的低山丘陵区，海拔100-300m。丘陵与平原的过度带为黄土台地，冲沟发育，海拔40-80m。黄土台地以东为漕、界河冲洪积扇，坡降1-2‰，海拔20-50m。项目位于漕、界河冲洪积扇的中、下部，海拔30m左右。再向东为冲洪积平原，海拔16-20m，坡降小于1‰。</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本区属温带大陆性季风气候。多年平均降水量544.4</w:t>
      </w:r>
      <w:r>
        <w:rPr>
          <w:rFonts w:hint="eastAsia" w:ascii="Times New Roman" w:hAnsi="Times New Roman" w:cs="Times New Roman"/>
          <w:sz w:val="24"/>
          <w:szCs w:val="24"/>
        </w:rPr>
        <w:t>mm</w:t>
      </w:r>
      <w:r>
        <w:rPr>
          <w:rFonts w:ascii="Times New Roman" w:hAnsi="Times New Roman" w:cs="Times New Roman"/>
          <w:sz w:val="24"/>
          <w:szCs w:val="24"/>
        </w:rPr>
        <w:t>（保定市）</w:t>
      </w:r>
      <w:r>
        <w:rPr>
          <w:rFonts w:hint="eastAsia" w:ascii="Times New Roman" w:hAnsi="Times New Roman" w:cs="Times New Roman"/>
          <w:sz w:val="24"/>
          <w:szCs w:val="24"/>
        </w:rPr>
        <w:t>至</w:t>
      </w:r>
      <w:r>
        <w:rPr>
          <w:rFonts w:ascii="Times New Roman" w:hAnsi="Times New Roman" w:cs="Times New Roman"/>
          <w:sz w:val="24"/>
          <w:szCs w:val="24"/>
        </w:rPr>
        <w:t>571.1mm（满城县）。集中于6、7、8三个月，占全年降水量的70-80%，多年平均水面蒸发量1758.3mm，5、6月份占全年蒸发量的三分之一。</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项目所处区域内主要河流有漕河、界河、一亩泉河。</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漕河发源于易县山区，全长120km，山区流域面积669.8km</w:t>
      </w:r>
      <w:r>
        <w:rPr>
          <w:rFonts w:ascii="Times New Roman" w:hAnsi="Times New Roman" w:cs="Times New Roman"/>
          <w:sz w:val="24"/>
          <w:szCs w:val="24"/>
          <w:vertAlign w:val="superscript"/>
        </w:rPr>
        <w:t>2</w:t>
      </w:r>
      <w:r>
        <w:rPr>
          <w:rFonts w:ascii="Times New Roman" w:hAnsi="Times New Roman" w:cs="Times New Roman"/>
          <w:sz w:val="24"/>
          <w:szCs w:val="24"/>
        </w:rPr>
        <w:t>，在龙门镇有水库。漕河在神星村下游已多年断流，仅在个别年份雨季有少许地面水流，已成为方上纸厂群工业废水排污河。</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界河发源于满城县山区，全长110km，山区流域面积323.7km</w:t>
      </w:r>
      <w:r>
        <w:rPr>
          <w:rFonts w:ascii="Times New Roman" w:hAnsi="Times New Roman" w:cs="Times New Roman"/>
          <w:sz w:val="24"/>
          <w:szCs w:val="24"/>
          <w:vertAlign w:val="superscript"/>
        </w:rPr>
        <w:t>2</w:t>
      </w:r>
      <w:r>
        <w:rPr>
          <w:rFonts w:ascii="Times New Roman" w:hAnsi="Times New Roman" w:cs="Times New Roman"/>
          <w:sz w:val="24"/>
          <w:szCs w:val="24"/>
        </w:rPr>
        <w:t>。河水流经土门断层时潜入地下。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一亩泉发源于保定市一亩泉村，汇集诸泉成河。1965年后，泉水先后干涸，河水断流。</w:t>
      </w:r>
    </w:p>
    <w:p>
      <w:pPr>
        <w:pStyle w:val="5"/>
        <w:spacing w:before="0" w:after="0" w:line="360" w:lineRule="auto"/>
        <w:rPr>
          <w:rFonts w:ascii="Times New Roman" w:hAnsi="Times New Roman" w:cs="Times New Roman"/>
          <w:sz w:val="24"/>
          <w:szCs w:val="24"/>
        </w:rPr>
      </w:pPr>
      <w:r>
        <w:rPr>
          <w:rFonts w:ascii="Times New Roman" w:hAnsi="Times New Roman" w:cs="Times New Roman"/>
          <w:sz w:val="24"/>
          <w:szCs w:val="24"/>
        </w:rPr>
        <w:t>5.2.</w:t>
      </w:r>
      <w:r>
        <w:rPr>
          <w:rFonts w:hint="eastAsia" w:ascii="Times New Roman" w:hAnsi="Times New Roman" w:cs="Times New Roman"/>
          <w:sz w:val="24"/>
          <w:szCs w:val="24"/>
        </w:rPr>
        <w:t>3</w:t>
      </w:r>
      <w:r>
        <w:rPr>
          <w:rFonts w:ascii="Times New Roman" w:hAnsi="Times New Roman" w:cs="Times New Roman"/>
          <w:sz w:val="24"/>
          <w:szCs w:val="24"/>
        </w:rPr>
        <w:t>.</w:t>
      </w:r>
      <w:r>
        <w:rPr>
          <w:rFonts w:hint="eastAsia" w:ascii="Times New Roman" w:hAnsi="Times New Roman" w:cs="Times New Roman"/>
          <w:sz w:val="24"/>
          <w:szCs w:val="24"/>
        </w:rPr>
        <w:t>2水文地质条件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（1）地质条件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区在大地构造上属于太行山一级隆起带的灵山——易县复向斜东南冀和华北平原一级沉降带的保定——徐水凹陷的结合部位。该区域第四系沉积厚度由西向东从60m逐渐增加到400m，岩性以亚粘土和亚砂土为主，夹砂及卵砾石。</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该区第四系含水层自上而下可划分四个含水层组（表5-1）。第</w:t>
      </w:r>
      <w:r>
        <w:rPr>
          <w:rFonts w:hint="eastAsia" w:ascii="宋体" w:hAnsi="宋体" w:eastAsia="宋体" w:cs="宋体"/>
          <w:sz w:val="24"/>
          <w:szCs w:val="24"/>
        </w:rPr>
        <w:t>Ⅰ</w:t>
      </w:r>
      <w:r>
        <w:rPr>
          <w:rFonts w:ascii="Times New Roman" w:hAnsi="Times New Roman" w:cs="Times New Roman"/>
          <w:sz w:val="24"/>
          <w:szCs w:val="24"/>
        </w:rPr>
        <w:t>含水组部分疏干，该区生产井主要开采</w:t>
      </w:r>
      <w:r>
        <w:rPr>
          <w:rFonts w:hint="eastAsia" w:ascii="宋体" w:hAnsi="宋体" w:eastAsia="宋体" w:cs="宋体"/>
          <w:sz w:val="24"/>
          <w:szCs w:val="24"/>
        </w:rPr>
        <w:t>Ⅱ</w:t>
      </w:r>
      <w:r>
        <w:rPr>
          <w:rFonts w:ascii="Times New Roman" w:hAnsi="Times New Roman" w:cs="Times New Roman"/>
          <w:sz w:val="24"/>
          <w:szCs w:val="24"/>
        </w:rPr>
        <w:t>含水组，第</w:t>
      </w:r>
      <w:r>
        <w:rPr>
          <w:rFonts w:hint="eastAsia" w:ascii="宋体" w:hAnsi="宋体" w:eastAsia="宋体" w:cs="宋体"/>
          <w:sz w:val="24"/>
          <w:szCs w:val="24"/>
        </w:rPr>
        <w:t>Ⅲ</w:t>
      </w:r>
      <w:r>
        <w:rPr>
          <w:rFonts w:ascii="Times New Roman" w:hAnsi="Times New Roman" w:cs="Times New Roman"/>
          <w:sz w:val="24"/>
          <w:szCs w:val="24"/>
        </w:rPr>
        <w:t>、</w:t>
      </w:r>
      <w:r>
        <w:rPr>
          <w:rFonts w:hint="eastAsia" w:ascii="宋体" w:hAnsi="宋体" w:eastAsia="宋体" w:cs="宋体"/>
          <w:sz w:val="24"/>
          <w:szCs w:val="24"/>
        </w:rPr>
        <w:t>Ⅳ</w:t>
      </w:r>
      <w:r>
        <w:rPr>
          <w:rFonts w:ascii="Times New Roman" w:hAnsi="Times New Roman" w:cs="Times New Roman"/>
          <w:sz w:val="24"/>
          <w:szCs w:val="24"/>
        </w:rPr>
        <w:t>含水组由于地下水补给条件较差，尚未大量开采。</w:t>
      </w:r>
    </w:p>
    <w:p>
      <w:pPr>
        <w:spacing w:line="360" w:lineRule="auto"/>
        <w:ind w:firstLine="482" w:firstLineChars="200"/>
        <w:jc w:val="center"/>
        <w:rPr>
          <w:rFonts w:ascii="Times New Roman" w:hAnsi="Times New Roman" w:cs="Times New Roman"/>
          <w:sz w:val="24"/>
          <w:szCs w:val="24"/>
        </w:rPr>
      </w:pPr>
      <w:r>
        <w:rPr>
          <w:rFonts w:ascii="Times New Roman" w:hAnsi="Times New Roman" w:cs="Times New Roman"/>
          <w:b/>
          <w:sz w:val="24"/>
          <w:szCs w:val="24"/>
        </w:rPr>
        <w:t>表5-</w:t>
      </w:r>
      <w:r>
        <w:rPr>
          <w:rFonts w:hint="eastAsia" w:ascii="Times New Roman" w:hAnsi="Times New Roman" w:cs="Times New Roman"/>
          <w:b/>
          <w:sz w:val="24"/>
          <w:szCs w:val="24"/>
        </w:rPr>
        <w:t>22</w:t>
      </w:r>
      <w:r>
        <w:rPr>
          <w:rFonts w:ascii="Times New Roman" w:hAnsi="Times New Roman" w:cs="Times New Roman"/>
          <w:b/>
          <w:sz w:val="24"/>
          <w:szCs w:val="24"/>
        </w:rPr>
        <w:t xml:space="preserve">  第四系孔隙水各含水层组水文地质特征表</w:t>
      </w:r>
    </w:p>
    <w:tbl>
      <w:tblPr>
        <w:tblStyle w:val="27"/>
        <w:tblW w:w="8522" w:type="dxa"/>
        <w:tblInd w:w="0" w:type="dxa"/>
        <w:tblBorders>
          <w:top w:val="single" w:color="000000" w:sz="12" w:space="0"/>
          <w:left w:val="single" w:color="auto" w:sz="4" w:space="0"/>
          <w:bottom w:val="single" w:color="000000"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754"/>
        <w:gridCol w:w="1278"/>
        <w:gridCol w:w="1360"/>
        <w:gridCol w:w="1062"/>
        <w:gridCol w:w="907"/>
        <w:gridCol w:w="1220"/>
        <w:gridCol w:w="695"/>
        <w:gridCol w:w="758"/>
      </w:tblGrid>
      <w:tr>
        <w:tblPrEx>
          <w:tblBorders>
            <w:top w:val="single" w:color="000000" w:sz="12" w:space="0"/>
            <w:left w:val="single" w:color="auto" w:sz="4" w:space="0"/>
            <w:bottom w:val="single" w:color="000000"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8" w:type="dxa"/>
            <w:tcBorders>
              <w:top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含水组别</w:t>
            </w:r>
          </w:p>
        </w:tc>
        <w:tc>
          <w:tcPr>
            <w:tcW w:w="754" w:type="dxa"/>
            <w:tcBorders>
              <w:top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地质相对时代</w:t>
            </w:r>
          </w:p>
        </w:tc>
        <w:tc>
          <w:tcPr>
            <w:tcW w:w="1278" w:type="dxa"/>
            <w:tcBorders>
              <w:top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地下水类别</w:t>
            </w:r>
          </w:p>
        </w:tc>
        <w:tc>
          <w:tcPr>
            <w:tcW w:w="1360" w:type="dxa"/>
            <w:tcBorders>
              <w:top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含水层岩性</w:t>
            </w:r>
          </w:p>
        </w:tc>
        <w:tc>
          <w:tcPr>
            <w:tcW w:w="1062" w:type="dxa"/>
            <w:tcBorders>
              <w:top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含水层底板埋深（m）</w:t>
            </w:r>
          </w:p>
        </w:tc>
        <w:tc>
          <w:tcPr>
            <w:tcW w:w="907" w:type="dxa"/>
            <w:tcBorders>
              <w:top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含水层厚度（m）</w:t>
            </w:r>
          </w:p>
        </w:tc>
        <w:tc>
          <w:tcPr>
            <w:tcW w:w="1220" w:type="dxa"/>
            <w:tcBorders>
              <w:top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单位涌水量（L/h·m）</w:t>
            </w:r>
          </w:p>
        </w:tc>
        <w:tc>
          <w:tcPr>
            <w:tcW w:w="695" w:type="dxa"/>
            <w:tcBorders>
              <w:top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地下水化学类型</w:t>
            </w:r>
          </w:p>
        </w:tc>
        <w:tc>
          <w:tcPr>
            <w:tcW w:w="758" w:type="dxa"/>
            <w:tcBorders>
              <w:top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矿化度</w:t>
            </w:r>
          </w:p>
          <w:p>
            <w:pPr>
              <w:jc w:val="center"/>
              <w:rPr>
                <w:rFonts w:ascii="Times New Roman" w:hAnsi="Times New Roman" w:eastAsia="宋体" w:cs="Times New Roman"/>
                <w:szCs w:val="21"/>
              </w:rPr>
            </w:pPr>
            <w:r>
              <w:rPr>
                <w:rFonts w:ascii="Times New Roman" w:hAnsi="Times New Roman" w:eastAsia="宋体" w:cs="Times New Roman"/>
                <w:szCs w:val="21"/>
              </w:rPr>
              <w:t>（g/l）</w:t>
            </w:r>
          </w:p>
        </w:tc>
      </w:tr>
      <w:tr>
        <w:tblPrEx>
          <w:tblBorders>
            <w:top w:val="single" w:color="000000" w:sz="12" w:space="0"/>
            <w:left w:val="single" w:color="auto" w:sz="4" w:space="0"/>
            <w:bottom w:val="single" w:color="000000"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8" w:type="dxa"/>
            <w:vAlign w:val="center"/>
          </w:tcPr>
          <w:p>
            <w:pPr>
              <w:jc w:val="center"/>
              <w:rPr>
                <w:rFonts w:ascii="Times New Roman" w:hAnsi="Times New Roman" w:eastAsia="宋体" w:cs="Times New Roman"/>
                <w:szCs w:val="21"/>
              </w:rPr>
            </w:pPr>
            <w:r>
              <w:rPr>
                <w:rFonts w:hint="eastAsia" w:ascii="宋体" w:hAnsi="宋体" w:eastAsia="宋体" w:cs="宋体"/>
                <w:szCs w:val="21"/>
              </w:rPr>
              <w:t>Ⅰ</w:t>
            </w:r>
          </w:p>
        </w:tc>
        <w:tc>
          <w:tcPr>
            <w:tcW w:w="75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Q4</w:t>
            </w:r>
          </w:p>
        </w:tc>
        <w:tc>
          <w:tcPr>
            <w:tcW w:w="127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山前为潜水区，东部地区为浅层微承压水区</w:t>
            </w:r>
          </w:p>
        </w:tc>
        <w:tc>
          <w:tcPr>
            <w:tcW w:w="1360"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漕界河两岸及山谷附近地区以卵砾石为主向东过渡为中粗砂，中细砂</w:t>
            </w:r>
          </w:p>
        </w:tc>
        <w:tc>
          <w:tcPr>
            <w:tcW w:w="106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w:t>
            </w:r>
            <w:r>
              <w:rPr>
                <w:rFonts w:hint="eastAsia" w:ascii="Times New Roman" w:hAnsi="Times New Roman" w:eastAsia="宋体" w:cs="Times New Roman"/>
                <w:szCs w:val="21"/>
              </w:rPr>
              <w:t>-</w:t>
            </w:r>
            <w:r>
              <w:rPr>
                <w:rFonts w:ascii="Times New Roman" w:hAnsi="Times New Roman" w:eastAsia="宋体" w:cs="Times New Roman"/>
                <w:szCs w:val="21"/>
              </w:rPr>
              <w:t>40</w:t>
            </w:r>
          </w:p>
        </w:tc>
        <w:tc>
          <w:tcPr>
            <w:tcW w:w="90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r>
              <w:rPr>
                <w:rFonts w:hint="eastAsia" w:ascii="Times New Roman" w:hAnsi="Times New Roman" w:eastAsia="宋体" w:cs="Times New Roman"/>
                <w:szCs w:val="21"/>
              </w:rPr>
              <w:t>-</w:t>
            </w:r>
            <w:r>
              <w:rPr>
                <w:rFonts w:ascii="Times New Roman" w:hAnsi="Times New Roman" w:eastAsia="宋体" w:cs="Times New Roman"/>
                <w:szCs w:val="21"/>
              </w:rPr>
              <w:t>20</w:t>
            </w:r>
          </w:p>
        </w:tc>
        <w:tc>
          <w:tcPr>
            <w:tcW w:w="122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w:t>
            </w:r>
            <w:r>
              <w:rPr>
                <w:rFonts w:hint="eastAsia" w:ascii="Times New Roman" w:hAnsi="Times New Roman" w:eastAsia="宋体" w:cs="Times New Roman"/>
                <w:szCs w:val="21"/>
              </w:rPr>
              <w:t>-</w:t>
            </w:r>
            <w:r>
              <w:rPr>
                <w:rFonts w:ascii="Times New Roman" w:hAnsi="Times New Roman" w:eastAsia="宋体" w:cs="Times New Roman"/>
                <w:szCs w:val="21"/>
              </w:rPr>
              <w:t>60</w:t>
            </w:r>
          </w:p>
        </w:tc>
        <w:tc>
          <w:tcPr>
            <w:tcW w:w="69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重碳酸钙镁水</w:t>
            </w:r>
          </w:p>
        </w:tc>
        <w:tc>
          <w:tcPr>
            <w:tcW w:w="758"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0.5</w:t>
            </w:r>
          </w:p>
        </w:tc>
      </w:tr>
      <w:tr>
        <w:tblPrEx>
          <w:tblBorders>
            <w:top w:val="single" w:color="000000" w:sz="12" w:space="0"/>
            <w:left w:val="single" w:color="auto" w:sz="4" w:space="0"/>
            <w:bottom w:val="single" w:color="000000"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8" w:type="dxa"/>
            <w:vAlign w:val="center"/>
          </w:tcPr>
          <w:p>
            <w:pPr>
              <w:jc w:val="center"/>
              <w:rPr>
                <w:rFonts w:ascii="Times New Roman" w:hAnsi="Times New Roman" w:eastAsia="宋体" w:cs="Times New Roman"/>
                <w:szCs w:val="21"/>
              </w:rPr>
            </w:pPr>
            <w:r>
              <w:rPr>
                <w:rFonts w:hint="eastAsia" w:ascii="宋体" w:hAnsi="宋体" w:eastAsia="宋体" w:cs="宋体"/>
                <w:szCs w:val="21"/>
              </w:rPr>
              <w:t>Ⅱ</w:t>
            </w:r>
          </w:p>
        </w:tc>
        <w:tc>
          <w:tcPr>
            <w:tcW w:w="75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Q3</w:t>
            </w:r>
          </w:p>
        </w:tc>
        <w:tc>
          <w:tcPr>
            <w:tcW w:w="127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浅层承压水</w:t>
            </w:r>
          </w:p>
        </w:tc>
        <w:tc>
          <w:tcPr>
            <w:tcW w:w="1360"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从西向东由卵砾石渐变为中细砂</w:t>
            </w:r>
          </w:p>
        </w:tc>
        <w:tc>
          <w:tcPr>
            <w:tcW w:w="106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w:t>
            </w:r>
            <w:r>
              <w:rPr>
                <w:rFonts w:hint="eastAsia" w:ascii="Times New Roman" w:hAnsi="Times New Roman" w:eastAsia="宋体" w:cs="Times New Roman"/>
                <w:szCs w:val="21"/>
              </w:rPr>
              <w:t>-</w:t>
            </w:r>
            <w:r>
              <w:rPr>
                <w:rFonts w:ascii="Times New Roman" w:hAnsi="Times New Roman" w:eastAsia="宋体" w:cs="Times New Roman"/>
                <w:szCs w:val="21"/>
              </w:rPr>
              <w:t>100</w:t>
            </w:r>
          </w:p>
        </w:tc>
        <w:tc>
          <w:tcPr>
            <w:tcW w:w="90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w:t>
            </w:r>
            <w:r>
              <w:rPr>
                <w:rFonts w:hint="eastAsia" w:ascii="Times New Roman" w:hAnsi="Times New Roman" w:eastAsia="宋体" w:cs="Times New Roman"/>
                <w:szCs w:val="21"/>
              </w:rPr>
              <w:t>-</w:t>
            </w:r>
            <w:r>
              <w:rPr>
                <w:rFonts w:ascii="Times New Roman" w:hAnsi="Times New Roman" w:eastAsia="宋体" w:cs="Times New Roman"/>
                <w:szCs w:val="21"/>
              </w:rPr>
              <w:t>40</w:t>
            </w:r>
          </w:p>
        </w:tc>
        <w:tc>
          <w:tcPr>
            <w:tcW w:w="122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w:t>
            </w:r>
            <w:r>
              <w:rPr>
                <w:rFonts w:hint="eastAsia" w:ascii="Times New Roman" w:hAnsi="Times New Roman" w:eastAsia="宋体" w:cs="Times New Roman"/>
                <w:szCs w:val="21"/>
              </w:rPr>
              <w:t>-</w:t>
            </w:r>
            <w:r>
              <w:rPr>
                <w:rFonts w:ascii="Times New Roman" w:hAnsi="Times New Roman" w:eastAsia="宋体" w:cs="Times New Roman"/>
                <w:szCs w:val="21"/>
              </w:rPr>
              <w:t>80</w:t>
            </w:r>
          </w:p>
        </w:tc>
        <w:tc>
          <w:tcPr>
            <w:tcW w:w="69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重碳酸钙镁水</w:t>
            </w:r>
          </w:p>
        </w:tc>
        <w:tc>
          <w:tcPr>
            <w:tcW w:w="758"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0.5</w:t>
            </w:r>
          </w:p>
        </w:tc>
      </w:tr>
      <w:tr>
        <w:tblPrEx>
          <w:tblBorders>
            <w:top w:val="single" w:color="000000" w:sz="12" w:space="0"/>
            <w:left w:val="single" w:color="auto" w:sz="4" w:space="0"/>
            <w:bottom w:val="single" w:color="000000"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8" w:type="dxa"/>
            <w:vAlign w:val="center"/>
          </w:tcPr>
          <w:p>
            <w:pPr>
              <w:jc w:val="center"/>
              <w:rPr>
                <w:rFonts w:ascii="Times New Roman" w:hAnsi="Times New Roman" w:eastAsia="宋体" w:cs="Times New Roman"/>
                <w:szCs w:val="21"/>
              </w:rPr>
            </w:pPr>
            <w:r>
              <w:rPr>
                <w:rFonts w:hint="eastAsia" w:ascii="宋体" w:hAnsi="宋体" w:eastAsia="宋体" w:cs="宋体"/>
                <w:szCs w:val="21"/>
              </w:rPr>
              <w:t>Ⅲ</w:t>
            </w:r>
          </w:p>
        </w:tc>
        <w:tc>
          <w:tcPr>
            <w:tcW w:w="75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Q2</w:t>
            </w:r>
          </w:p>
        </w:tc>
        <w:tc>
          <w:tcPr>
            <w:tcW w:w="127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中深层承压水</w:t>
            </w:r>
          </w:p>
        </w:tc>
        <w:tc>
          <w:tcPr>
            <w:tcW w:w="1360"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从西向东由砾石渐变为中细砂以砂为主</w:t>
            </w:r>
          </w:p>
        </w:tc>
        <w:tc>
          <w:tcPr>
            <w:tcW w:w="106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r>
              <w:rPr>
                <w:rFonts w:hint="eastAsia" w:ascii="Times New Roman" w:hAnsi="Times New Roman" w:eastAsia="宋体" w:cs="Times New Roman"/>
                <w:szCs w:val="21"/>
              </w:rPr>
              <w:t>-</w:t>
            </w:r>
            <w:r>
              <w:rPr>
                <w:rFonts w:ascii="Times New Roman" w:hAnsi="Times New Roman" w:eastAsia="宋体" w:cs="Times New Roman"/>
                <w:szCs w:val="21"/>
              </w:rPr>
              <w:t>200</w:t>
            </w:r>
          </w:p>
        </w:tc>
        <w:tc>
          <w:tcPr>
            <w:tcW w:w="90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r>
              <w:rPr>
                <w:rFonts w:hint="eastAsia" w:ascii="Times New Roman" w:hAnsi="Times New Roman" w:eastAsia="宋体" w:cs="Times New Roman"/>
                <w:szCs w:val="21"/>
              </w:rPr>
              <w:t>-</w:t>
            </w:r>
            <w:r>
              <w:rPr>
                <w:rFonts w:ascii="Times New Roman" w:hAnsi="Times New Roman" w:eastAsia="宋体" w:cs="Times New Roman"/>
                <w:szCs w:val="21"/>
              </w:rPr>
              <w:t>20</w:t>
            </w:r>
          </w:p>
        </w:tc>
        <w:tc>
          <w:tcPr>
            <w:tcW w:w="122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r>
              <w:rPr>
                <w:rFonts w:hint="eastAsia" w:ascii="Times New Roman" w:hAnsi="Times New Roman" w:eastAsia="宋体" w:cs="Times New Roman"/>
                <w:szCs w:val="21"/>
              </w:rPr>
              <w:t>-</w:t>
            </w:r>
            <w:r>
              <w:rPr>
                <w:rFonts w:ascii="Times New Roman" w:hAnsi="Times New Roman" w:eastAsia="宋体" w:cs="Times New Roman"/>
                <w:szCs w:val="21"/>
              </w:rPr>
              <w:t>50</w:t>
            </w:r>
          </w:p>
        </w:tc>
        <w:tc>
          <w:tcPr>
            <w:tcW w:w="69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重碳酸钠镁水</w:t>
            </w:r>
          </w:p>
        </w:tc>
        <w:tc>
          <w:tcPr>
            <w:tcW w:w="758"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0.5</w:t>
            </w:r>
          </w:p>
        </w:tc>
      </w:tr>
      <w:tr>
        <w:tblPrEx>
          <w:tblBorders>
            <w:top w:val="single" w:color="000000" w:sz="12" w:space="0"/>
            <w:left w:val="single" w:color="auto" w:sz="4" w:space="0"/>
            <w:bottom w:val="single" w:color="000000"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8" w:type="dxa"/>
            <w:tcBorders>
              <w:bottom w:val="single" w:color="auto" w:sz="4" w:space="0"/>
            </w:tcBorders>
            <w:vAlign w:val="center"/>
          </w:tcPr>
          <w:p>
            <w:pPr>
              <w:jc w:val="center"/>
              <w:rPr>
                <w:rFonts w:ascii="Times New Roman" w:hAnsi="Times New Roman" w:eastAsia="宋体" w:cs="Times New Roman"/>
                <w:szCs w:val="21"/>
              </w:rPr>
            </w:pPr>
            <w:r>
              <w:rPr>
                <w:rFonts w:hint="eastAsia" w:ascii="宋体" w:hAnsi="宋体" w:eastAsia="宋体" w:cs="宋体"/>
                <w:szCs w:val="21"/>
              </w:rPr>
              <w:t>Ⅳ</w:t>
            </w:r>
          </w:p>
        </w:tc>
        <w:tc>
          <w:tcPr>
            <w:tcW w:w="754" w:type="dxa"/>
            <w:tcBorders>
              <w:bottom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Q1</w:t>
            </w:r>
          </w:p>
        </w:tc>
        <w:tc>
          <w:tcPr>
            <w:tcW w:w="1278" w:type="dxa"/>
            <w:tcBorders>
              <w:bottom w:val="single" w:color="auto" w:sz="4" w:space="0"/>
            </w:tcBorders>
            <w:vAlign w:val="center"/>
          </w:tcPr>
          <w:p>
            <w:pPr>
              <w:jc w:val="left"/>
              <w:rPr>
                <w:rFonts w:ascii="Times New Roman" w:hAnsi="Times New Roman" w:eastAsia="宋体" w:cs="Times New Roman"/>
                <w:szCs w:val="21"/>
              </w:rPr>
            </w:pPr>
            <w:r>
              <w:rPr>
                <w:rFonts w:ascii="Times New Roman" w:hAnsi="Times New Roman" w:eastAsia="宋体" w:cs="Times New Roman"/>
                <w:szCs w:val="21"/>
              </w:rPr>
              <w:t>深层承压水</w:t>
            </w:r>
          </w:p>
        </w:tc>
        <w:tc>
          <w:tcPr>
            <w:tcW w:w="1360" w:type="dxa"/>
            <w:tcBorders>
              <w:bottom w:val="single" w:color="auto" w:sz="4" w:space="0"/>
            </w:tcBorders>
            <w:vAlign w:val="center"/>
          </w:tcPr>
          <w:p>
            <w:pPr>
              <w:jc w:val="left"/>
              <w:rPr>
                <w:rFonts w:ascii="Times New Roman" w:hAnsi="Times New Roman" w:eastAsia="宋体" w:cs="Times New Roman"/>
                <w:szCs w:val="21"/>
              </w:rPr>
            </w:pPr>
            <w:r>
              <w:rPr>
                <w:rFonts w:ascii="Times New Roman" w:hAnsi="Times New Roman" w:eastAsia="宋体" w:cs="Times New Roman"/>
                <w:szCs w:val="21"/>
              </w:rPr>
              <w:t>中细砂，并有风化现象</w:t>
            </w:r>
          </w:p>
        </w:tc>
        <w:tc>
          <w:tcPr>
            <w:tcW w:w="1062" w:type="dxa"/>
            <w:tcBorders>
              <w:bottom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200</w:t>
            </w:r>
            <w:r>
              <w:rPr>
                <w:rFonts w:hint="eastAsia" w:ascii="Times New Roman" w:hAnsi="Times New Roman" w:eastAsia="宋体" w:cs="Times New Roman"/>
                <w:szCs w:val="21"/>
              </w:rPr>
              <w:t>-</w:t>
            </w:r>
            <w:r>
              <w:rPr>
                <w:rFonts w:ascii="Times New Roman" w:hAnsi="Times New Roman" w:eastAsia="宋体" w:cs="Times New Roman"/>
                <w:szCs w:val="21"/>
              </w:rPr>
              <w:t>400</w:t>
            </w:r>
          </w:p>
        </w:tc>
        <w:tc>
          <w:tcPr>
            <w:tcW w:w="907" w:type="dxa"/>
            <w:tcBorders>
              <w:bottom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25</w:t>
            </w:r>
            <w:r>
              <w:rPr>
                <w:rFonts w:hint="eastAsia" w:ascii="Times New Roman" w:hAnsi="Times New Roman" w:eastAsia="宋体" w:cs="Times New Roman"/>
                <w:szCs w:val="21"/>
              </w:rPr>
              <w:t>-</w:t>
            </w:r>
            <w:r>
              <w:rPr>
                <w:rFonts w:ascii="Times New Roman" w:hAnsi="Times New Roman" w:eastAsia="宋体" w:cs="Times New Roman"/>
                <w:szCs w:val="21"/>
              </w:rPr>
              <w:t>70</w:t>
            </w:r>
          </w:p>
        </w:tc>
        <w:tc>
          <w:tcPr>
            <w:tcW w:w="1220" w:type="dxa"/>
            <w:tcBorders>
              <w:bottom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5</w:t>
            </w:r>
          </w:p>
        </w:tc>
        <w:tc>
          <w:tcPr>
            <w:tcW w:w="695" w:type="dxa"/>
            <w:tcBorders>
              <w:bottom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重碳酸钠镁水</w:t>
            </w:r>
          </w:p>
        </w:tc>
        <w:tc>
          <w:tcPr>
            <w:tcW w:w="758" w:type="dxa"/>
            <w:tcBorders>
              <w:bottom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0.5</w:t>
            </w:r>
          </w:p>
        </w:tc>
      </w:tr>
    </w:tbl>
    <w:p>
      <w:pPr>
        <w:spacing w:line="360" w:lineRule="auto"/>
        <w:ind w:firstLine="420" w:firstLineChars="200"/>
        <w:rPr>
          <w:rFonts w:ascii="Times New Roman" w:hAnsi="Times New Roman" w:cs="Times New Roman"/>
          <w:szCs w:val="21"/>
        </w:rPr>
      </w:pPr>
      <w:r>
        <w:rPr>
          <w:rFonts w:ascii="Times New Roman" w:hAnsi="Times New Roman" w:cs="Times New Roman"/>
          <w:szCs w:val="21"/>
        </w:rPr>
        <w:t>注：来自于河北省地质环境监测总站。</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（2）水文地质分区</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根据地貌成因类型及水文地质条件，本区分为三个水文地质区：</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①</w:t>
      </w:r>
      <w:r>
        <w:rPr>
          <w:rFonts w:ascii="Times New Roman" w:hAnsi="Times New Roman" w:cs="Times New Roman"/>
          <w:sz w:val="24"/>
          <w:szCs w:val="24"/>
        </w:rPr>
        <w:t>低山丘陵岩溶裂隙</w:t>
      </w:r>
      <w:r>
        <w:rPr>
          <w:rFonts w:hint="eastAsia" w:ascii="Times New Roman" w:hAnsi="Times New Roman" w:cs="Times New Roman"/>
          <w:sz w:val="24"/>
          <w:szCs w:val="24"/>
        </w:rPr>
        <w:t>——</w:t>
      </w:r>
      <w:r>
        <w:rPr>
          <w:rFonts w:ascii="Times New Roman" w:hAnsi="Times New Roman" w:cs="Times New Roman"/>
          <w:sz w:val="24"/>
          <w:szCs w:val="24"/>
        </w:rPr>
        <w:t>孔隙水区：界河出山口河谷地带，含水层岩层性为地四系全新统，上更新统冲洪积沙砾卵石层，累积厚度40-70m，河谷地带富水性好，渗透性能强（K=800-1000</w:t>
      </w:r>
      <w:r>
        <w:rPr>
          <w:rFonts w:hint="eastAsia" w:ascii="Times New Roman" w:hAnsi="Times New Roman" w:cs="Times New Roman"/>
          <w:sz w:val="24"/>
          <w:szCs w:val="24"/>
        </w:rPr>
        <w:t>m</w:t>
      </w:r>
      <w:r>
        <w:rPr>
          <w:rFonts w:ascii="Times New Roman" w:hAnsi="Times New Roman" w:cs="Times New Roman"/>
          <w:sz w:val="24"/>
          <w:szCs w:val="24"/>
        </w:rPr>
        <w:t>/d）。地下水为潜水类型。</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②</w:t>
      </w:r>
      <w:r>
        <w:rPr>
          <w:rFonts w:ascii="Times New Roman" w:hAnsi="Times New Roman" w:cs="Times New Roman"/>
          <w:sz w:val="24"/>
          <w:szCs w:val="24"/>
        </w:rPr>
        <w:t>冲洪积扇孔隙水区：漕、界河冲洪积扇分布于山前地带，除扇顶部抱阳山一带及满城镇附近为潜水区外，大部分地区兼有承压水性质（潜水</w:t>
      </w:r>
      <w:r>
        <w:rPr>
          <w:rFonts w:hint="eastAsia" w:ascii="Times New Roman" w:hAnsi="Times New Roman" w:cs="Times New Roman"/>
          <w:sz w:val="24"/>
          <w:szCs w:val="24"/>
        </w:rPr>
        <w:t>——</w:t>
      </w:r>
      <w:r>
        <w:rPr>
          <w:rFonts w:ascii="Times New Roman" w:hAnsi="Times New Roman" w:cs="Times New Roman"/>
          <w:sz w:val="24"/>
          <w:szCs w:val="24"/>
        </w:rPr>
        <w:t>承压水区），含水层岩性以卵砾石为主。界河冲积扇轴部为强富水，单位涌水量大于100m</w:t>
      </w:r>
      <w:r>
        <w:rPr>
          <w:rFonts w:ascii="Times New Roman" w:hAnsi="Times New Roman" w:cs="Times New Roman"/>
          <w:sz w:val="24"/>
          <w:szCs w:val="24"/>
          <w:vertAlign w:val="superscript"/>
        </w:rPr>
        <w:t>3</w:t>
      </w:r>
      <w:r>
        <w:rPr>
          <w:rFonts w:ascii="Times New Roman" w:hAnsi="Times New Roman" w:cs="Times New Roman"/>
          <w:sz w:val="24"/>
          <w:szCs w:val="24"/>
        </w:rPr>
        <w:t>/（h•m），前缘区及扇间地带富水性较差，单位涌水量20-50m</w:t>
      </w:r>
      <w:r>
        <w:rPr>
          <w:rFonts w:ascii="Times New Roman" w:hAnsi="Times New Roman" w:cs="Times New Roman"/>
          <w:sz w:val="24"/>
          <w:szCs w:val="24"/>
          <w:vertAlign w:val="superscript"/>
        </w:rPr>
        <w:t>3</w:t>
      </w:r>
      <w:r>
        <w:rPr>
          <w:rFonts w:ascii="Times New Roman" w:hAnsi="Times New Roman" w:cs="Times New Roman"/>
          <w:sz w:val="24"/>
          <w:szCs w:val="24"/>
        </w:rPr>
        <w:t>/（h•m）。</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③</w:t>
      </w:r>
      <w:r>
        <w:rPr>
          <w:rFonts w:ascii="Times New Roman" w:hAnsi="Times New Roman" w:cs="Times New Roman"/>
          <w:sz w:val="24"/>
          <w:szCs w:val="24"/>
        </w:rPr>
        <w:t>冲积平原孔隙水区：分布于漕、界河冲洪积扇东部，均为承压水区。该区含水层层次多，以中细砂为主，单位涌水量3-15m</w:t>
      </w:r>
      <w:r>
        <w:rPr>
          <w:rFonts w:ascii="Times New Roman" w:hAnsi="Times New Roman" w:cs="Times New Roman"/>
          <w:sz w:val="24"/>
          <w:szCs w:val="24"/>
          <w:vertAlign w:val="superscript"/>
        </w:rPr>
        <w:t>3</w:t>
      </w:r>
      <w:r>
        <w:rPr>
          <w:rFonts w:ascii="Times New Roman" w:hAnsi="Times New Roman" w:cs="Times New Roman"/>
          <w:sz w:val="24"/>
          <w:szCs w:val="24"/>
        </w:rPr>
        <w:t>/（h•m）。南部地区富水性相对较好。</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地下水补给、径流、排泄条件：该区以地下水侧向补给为主，大气降水入渗补给为辅，两者分别约占地下水总补给量的68%和25%，灌溉回归补给量仅占7%，而侧向补给量主要来源于界河潜流补给。据估算，界河侧向补给量约0.6×10</w:t>
      </w:r>
      <w:r>
        <w:rPr>
          <w:rFonts w:ascii="Times New Roman" w:hAnsi="Times New Roman" w:cs="Times New Roman"/>
          <w:sz w:val="24"/>
          <w:szCs w:val="24"/>
          <w:vertAlign w:val="superscript"/>
        </w:rPr>
        <w:t>8</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/a，占侧向补给总量的64%。</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地下水在天然条件下（1965年以前）一般从西北流向东南，或者由西向东。随着地下水的大量开采，分别于1967年和1974年出现了两个开采型地下水降落漏斗（一亩泉漏斗和保定漏斗），基本控制了本区地下水流场，形成了地下水向两漏斗中心回击的流场特征。另外，由于电厂排灰水和污水的灌溉的影响，平原水库地下水水位上升形成了地下水反漏斗，使该区地下水流场复杂化。</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保定市一亩泉漏斗区，地下水消耗主要以人工开采为主，其中一亩泉水源地生产井开采量为6000×10</w:t>
      </w:r>
      <w:r>
        <w:rPr>
          <w:rFonts w:ascii="Times New Roman" w:hAnsi="Times New Roman" w:cs="Times New Roman"/>
          <w:sz w:val="24"/>
          <w:szCs w:val="24"/>
          <w:vertAlign w:val="superscript"/>
        </w:rPr>
        <w:t>4</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/a左右，约占总开采量的40%以上。农业开采量6500×10</w:t>
      </w:r>
      <w:r>
        <w:rPr>
          <w:rFonts w:ascii="Times New Roman" w:hAnsi="Times New Roman" w:cs="Times New Roman"/>
          <w:sz w:val="24"/>
          <w:szCs w:val="24"/>
          <w:vertAlign w:val="superscript"/>
        </w:rPr>
        <w:t>4</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/a，占44%。乡镇企业及人畜用水占16%左右。</w:t>
      </w:r>
    </w:p>
    <w:p>
      <w:pPr>
        <w:pStyle w:val="5"/>
        <w:spacing w:before="0" w:after="0" w:line="360" w:lineRule="auto"/>
        <w:rPr>
          <w:rFonts w:ascii="Times New Roman" w:hAnsi="Times New Roman" w:cs="Times New Roman"/>
          <w:sz w:val="24"/>
          <w:szCs w:val="24"/>
        </w:rPr>
      </w:pPr>
      <w:r>
        <w:rPr>
          <w:rFonts w:ascii="Times New Roman" w:hAnsi="Times New Roman" w:cs="Times New Roman"/>
          <w:sz w:val="24"/>
          <w:szCs w:val="24"/>
        </w:rPr>
        <w:t>5.2.</w:t>
      </w:r>
      <w:r>
        <w:rPr>
          <w:rFonts w:hint="eastAsia" w:ascii="Times New Roman" w:hAnsi="Times New Roman" w:cs="Times New Roman"/>
          <w:sz w:val="24"/>
          <w:szCs w:val="24"/>
        </w:rPr>
        <w:t>3</w:t>
      </w:r>
      <w:r>
        <w:rPr>
          <w:rFonts w:ascii="Times New Roman" w:hAnsi="Times New Roman" w:cs="Times New Roman"/>
          <w:sz w:val="24"/>
          <w:szCs w:val="24"/>
        </w:rPr>
        <w:t>.</w:t>
      </w:r>
      <w:r>
        <w:rPr>
          <w:rFonts w:hint="eastAsia" w:ascii="Times New Roman" w:hAnsi="Times New Roman" w:cs="Times New Roman"/>
          <w:sz w:val="24"/>
          <w:szCs w:val="24"/>
        </w:rPr>
        <w:t>3</w:t>
      </w:r>
      <w:r>
        <w:rPr>
          <w:rFonts w:ascii="Times New Roman" w:hAnsi="Times New Roman" w:cs="Times New Roman"/>
          <w:sz w:val="24"/>
          <w:szCs w:val="24"/>
        </w:rPr>
        <w:t>环境水文地质问题调查</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地下水开发利用的历史与现状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一亩泉水源地建于1958年，当时有生产井21眼，六十年代初地下水开采量只有2000×10</w:t>
      </w:r>
      <w:r>
        <w:rPr>
          <w:rFonts w:ascii="Times New Roman" w:hAnsi="Times New Roman" w:cs="Times New Roman"/>
          <w:sz w:val="24"/>
          <w:szCs w:val="24"/>
          <w:vertAlign w:val="superscript"/>
        </w:rPr>
        <w:t>4</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/a，此后开采量逐年增加，至今地下水开采量基本维持在6000×10</w:t>
      </w:r>
      <w:r>
        <w:rPr>
          <w:rFonts w:ascii="Times New Roman" w:hAnsi="Times New Roman" w:cs="Times New Roman"/>
          <w:sz w:val="24"/>
          <w:szCs w:val="24"/>
          <w:vertAlign w:val="superscript"/>
        </w:rPr>
        <w:t>4</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/a。</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地下水位降落漏斗</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一亩泉漏斗形成于1967年低水位期，1980年后地下水位降落漏斗发展速度较快。漏斗影响范围北至漕河，西北到基岩山区，南达保定至韩村公路附近，东部与保定市漏斗及平原水库反漏斗相接，面积150km</w:t>
      </w:r>
      <w:r>
        <w:rPr>
          <w:rFonts w:ascii="Times New Roman" w:hAnsi="Times New Roman" w:cs="Times New Roman"/>
          <w:sz w:val="24"/>
          <w:szCs w:val="24"/>
          <w:vertAlign w:val="superscript"/>
        </w:rPr>
        <w:t>2</w:t>
      </w:r>
      <w:r>
        <w:rPr>
          <w:rFonts w:ascii="Times New Roman" w:hAnsi="Times New Roman" w:cs="Times New Roman"/>
          <w:sz w:val="24"/>
          <w:szCs w:val="24"/>
        </w:rPr>
        <w:t>。漏斗中心区（水源地生产井）水位埋深一般20～25m，最大水位埋深36.70m（西排4#生产井动水位），上游山前地区水位埋深一般25～40m，最大水位埋深54.32m（柳佐乡吴庄）。</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一亩泉漏斗属工业开采型降落漏斗，目前一亩泉水源地生产井开采量基本控制在6000×10</w:t>
      </w:r>
      <w:r>
        <w:rPr>
          <w:rFonts w:ascii="Times New Roman" w:hAnsi="Times New Roman" w:cs="Times New Roman"/>
          <w:sz w:val="24"/>
          <w:szCs w:val="24"/>
          <w:vertAlign w:val="superscript"/>
        </w:rPr>
        <w:t>4</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/a左右，按现有开采水平，若降水量保持多年平均值544.4mm</w:t>
      </w:r>
      <w:r>
        <w:rPr>
          <w:rFonts w:hint="eastAsia" w:ascii="Times New Roman" w:hAnsi="Times New Roman" w:cs="Times New Roman"/>
          <w:sz w:val="24"/>
          <w:szCs w:val="24"/>
        </w:rPr>
        <w:t>，</w:t>
      </w:r>
      <w:r>
        <w:rPr>
          <w:rFonts w:ascii="Times New Roman" w:hAnsi="Times New Roman" w:cs="Times New Roman"/>
          <w:sz w:val="24"/>
          <w:szCs w:val="24"/>
        </w:rPr>
        <w:t>处于相对稳定阶段。</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保定市漏斗虽然形成较晚，但发展速度快。由于补给条件较差，即使保持多年平均降水量，按现有开采水平，西北部两漏斗分水岭将继续缓慢向一亩泉漏斗中心部位移动。</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平原水库反漏斗中心水位埋深5.32m，标高16.07m，比漏斗边缘高出3m，较一亩泉漏斗中心区高出8～10m。</w:t>
      </w:r>
    </w:p>
    <w:p>
      <w:pPr>
        <w:pStyle w:val="5"/>
        <w:spacing w:before="0" w:after="0" w:line="360" w:lineRule="auto"/>
        <w:rPr>
          <w:rFonts w:ascii="Times New Roman" w:hAnsi="Times New Roman" w:cs="Times New Roman"/>
          <w:sz w:val="24"/>
          <w:szCs w:val="24"/>
        </w:rPr>
      </w:pPr>
      <w:r>
        <w:rPr>
          <w:rFonts w:ascii="Times New Roman" w:hAnsi="Times New Roman" w:cs="Times New Roman"/>
          <w:sz w:val="24"/>
          <w:szCs w:val="24"/>
        </w:rPr>
        <w:t>5.2.</w:t>
      </w:r>
      <w:r>
        <w:rPr>
          <w:rFonts w:hint="eastAsia" w:ascii="Times New Roman" w:hAnsi="Times New Roman" w:cs="Times New Roman"/>
          <w:sz w:val="24"/>
          <w:szCs w:val="24"/>
        </w:rPr>
        <w:t>3</w:t>
      </w:r>
      <w:r>
        <w:rPr>
          <w:rFonts w:ascii="Times New Roman" w:hAnsi="Times New Roman" w:cs="Times New Roman"/>
          <w:sz w:val="24"/>
          <w:szCs w:val="24"/>
        </w:rPr>
        <w:t>.</w:t>
      </w:r>
      <w:r>
        <w:rPr>
          <w:rFonts w:hint="eastAsia" w:ascii="Times New Roman" w:hAnsi="Times New Roman" w:cs="Times New Roman"/>
          <w:sz w:val="24"/>
          <w:szCs w:val="24"/>
        </w:rPr>
        <w:t>4</w:t>
      </w:r>
      <w:r>
        <w:rPr>
          <w:rFonts w:ascii="Times New Roman" w:hAnsi="Times New Roman" w:cs="Times New Roman"/>
          <w:sz w:val="24"/>
          <w:szCs w:val="24"/>
        </w:rPr>
        <w:t>工程地质及包气带防护性能</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拟建工程勘察场地为第四系松散地层所覆盖，据已开挖的地层剖面以及钻孔揭露的地层特征，其地层的地质年代分别为第四系上更新世</w:t>
      </w:r>
      <w:r>
        <w:rPr>
          <w:rFonts w:hint="eastAsia" w:ascii="Times New Roman" w:hAnsi="Times New Roman" w:cs="Times New Roman"/>
          <w:sz w:val="24"/>
          <w:szCs w:val="24"/>
        </w:rPr>
        <w:t>（</w:t>
      </w:r>
      <w:r>
        <w:rPr>
          <w:rFonts w:ascii="Times New Roman" w:hAnsi="Times New Roman" w:cs="Times New Roman"/>
          <w:sz w:val="24"/>
          <w:szCs w:val="24"/>
        </w:rPr>
        <w:t>Qs</w:t>
      </w:r>
      <w:r>
        <w:rPr>
          <w:rFonts w:hint="eastAsia" w:ascii="Times New Roman" w:hAnsi="Times New Roman" w:cs="Times New Roman"/>
          <w:sz w:val="24"/>
          <w:szCs w:val="24"/>
        </w:rPr>
        <w:t>）</w:t>
      </w:r>
      <w:r>
        <w:rPr>
          <w:rFonts w:ascii="Times New Roman" w:hAnsi="Times New Roman" w:cs="Times New Roman"/>
          <w:sz w:val="24"/>
          <w:szCs w:val="24"/>
        </w:rPr>
        <w:t>及中更新世</w:t>
      </w:r>
      <w:r>
        <w:rPr>
          <w:rFonts w:hint="eastAsia" w:ascii="Times New Roman" w:hAnsi="Times New Roman" w:cs="Times New Roman"/>
          <w:sz w:val="24"/>
          <w:szCs w:val="24"/>
        </w:rPr>
        <w:t>（</w:t>
      </w:r>
      <w:r>
        <w:rPr>
          <w:rFonts w:ascii="Times New Roman" w:hAnsi="Times New Roman" w:cs="Times New Roman"/>
          <w:sz w:val="24"/>
          <w:szCs w:val="24"/>
        </w:rPr>
        <w:t>Qz</w:t>
      </w:r>
      <w:r>
        <w:rPr>
          <w:rFonts w:hint="eastAsia" w:ascii="Times New Roman" w:hAnsi="Times New Roman" w:cs="Times New Roman"/>
          <w:sz w:val="24"/>
          <w:szCs w:val="24"/>
        </w:rPr>
        <w:t>）</w:t>
      </w:r>
      <w:r>
        <w:rPr>
          <w:rFonts w:ascii="Times New Roman" w:hAnsi="Times New Roman" w:cs="Times New Roman"/>
          <w:sz w:val="24"/>
          <w:szCs w:val="24"/>
        </w:rPr>
        <w:t>。拟建场地地基土土质均匀，为中硬土，根据区域地质图资料，上部第四系覆盖层30～50m，为抗震有利地段，建筑场地类别划分为</w:t>
      </w:r>
      <w:r>
        <w:rPr>
          <w:rFonts w:hint="eastAsia" w:ascii="宋体" w:hAnsi="宋体" w:eastAsia="宋体" w:cs="宋体"/>
          <w:sz w:val="24"/>
          <w:szCs w:val="24"/>
        </w:rPr>
        <w:t>Ⅱ</w:t>
      </w:r>
      <w:r>
        <w:rPr>
          <w:rFonts w:ascii="Times New Roman" w:hAnsi="Times New Roman" w:cs="Times New Roman"/>
          <w:sz w:val="24"/>
          <w:szCs w:val="24"/>
        </w:rPr>
        <w:t>类。根据成因、岩性和物理力学性质，将场地土自上而下分为</w:t>
      </w:r>
      <w:r>
        <w:rPr>
          <w:rFonts w:hint="eastAsia" w:ascii="Times New Roman" w:hAnsi="Times New Roman" w:cs="Times New Roman"/>
          <w:sz w:val="24"/>
          <w:szCs w:val="24"/>
        </w:rPr>
        <w:t>四</w:t>
      </w:r>
      <w:r>
        <w:rPr>
          <w:rFonts w:ascii="Times New Roman" w:hAnsi="Times New Roman" w:cs="Times New Roman"/>
          <w:sz w:val="24"/>
          <w:szCs w:val="24"/>
        </w:rPr>
        <w:t>层，分述如下：</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粉质粘土：黄褐色，稍密</w:t>
      </w:r>
      <w:r>
        <w:rPr>
          <w:rFonts w:hint="eastAsia" w:ascii="Times New Roman" w:hAnsi="Times New Roman" w:cs="Times New Roman"/>
          <w:sz w:val="24"/>
          <w:szCs w:val="24"/>
        </w:rPr>
        <w:t>——</w:t>
      </w:r>
      <w:r>
        <w:rPr>
          <w:rFonts w:ascii="Times New Roman" w:hAnsi="Times New Roman" w:cs="Times New Roman"/>
          <w:sz w:val="24"/>
          <w:szCs w:val="24"/>
        </w:rPr>
        <w:t>中密，稍有光泽</w:t>
      </w:r>
      <w:r>
        <w:rPr>
          <w:rFonts w:hint="eastAsia" w:ascii="Times New Roman" w:hAnsi="Times New Roman" w:cs="Times New Roman"/>
          <w:sz w:val="24"/>
          <w:szCs w:val="24"/>
        </w:rPr>
        <w:t>，</w:t>
      </w:r>
      <w:r>
        <w:rPr>
          <w:rFonts w:ascii="Times New Roman" w:hAnsi="Times New Roman" w:cs="Times New Roman"/>
          <w:sz w:val="24"/>
          <w:szCs w:val="24"/>
        </w:rPr>
        <w:t>中等韧性</w:t>
      </w:r>
      <w:r>
        <w:rPr>
          <w:rFonts w:hint="eastAsia" w:ascii="Times New Roman" w:hAnsi="Times New Roman" w:cs="Times New Roman"/>
          <w:sz w:val="24"/>
          <w:szCs w:val="24"/>
        </w:rPr>
        <w:t>，</w:t>
      </w:r>
      <w:r>
        <w:rPr>
          <w:rFonts w:ascii="Times New Roman" w:hAnsi="Times New Roman" w:cs="Times New Roman"/>
          <w:sz w:val="24"/>
          <w:szCs w:val="24"/>
        </w:rPr>
        <w:t>中等干强度，无摇震反应，局部含少量砾石</w:t>
      </w:r>
      <w:r>
        <w:rPr>
          <w:rFonts w:hint="eastAsia" w:ascii="Times New Roman" w:hAnsi="Times New Roman" w:cs="Times New Roman"/>
          <w:sz w:val="24"/>
          <w:szCs w:val="24"/>
        </w:rPr>
        <w:t>，</w:t>
      </w:r>
      <w:r>
        <w:rPr>
          <w:rFonts w:ascii="Times New Roman" w:hAnsi="Times New Roman" w:cs="Times New Roman"/>
          <w:sz w:val="24"/>
          <w:szCs w:val="24"/>
        </w:rPr>
        <w:t>稍湿</w:t>
      </w:r>
      <w:r>
        <w:rPr>
          <w:rFonts w:hint="eastAsia" w:ascii="Times New Roman" w:hAnsi="Times New Roman" w:cs="Times New Roman"/>
          <w:sz w:val="24"/>
          <w:szCs w:val="24"/>
        </w:rPr>
        <w:t>，</w:t>
      </w:r>
      <w:r>
        <w:rPr>
          <w:rFonts w:ascii="Times New Roman" w:hAnsi="Times New Roman" w:cs="Times New Roman"/>
          <w:sz w:val="24"/>
          <w:szCs w:val="24"/>
        </w:rPr>
        <w:t>可塑。该层厚度及层底理深9.0～9.5m。</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中砂、粗砂：褐黄色，中密，稍湿，分选良，成分以石英、长石为主。</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（3）</w:t>
      </w:r>
      <w:r>
        <w:rPr>
          <w:rFonts w:ascii="Times New Roman" w:hAnsi="Times New Roman" w:cs="Times New Roman"/>
          <w:sz w:val="24"/>
          <w:szCs w:val="24"/>
        </w:rPr>
        <w:t>粉土：揭黄色，稍密</w:t>
      </w:r>
      <w:r>
        <w:rPr>
          <w:rFonts w:hint="eastAsia" w:ascii="Times New Roman" w:hAnsi="Times New Roman" w:cs="Times New Roman"/>
          <w:sz w:val="24"/>
          <w:szCs w:val="24"/>
        </w:rPr>
        <w:t>——</w:t>
      </w:r>
      <w:r>
        <w:rPr>
          <w:rFonts w:ascii="Times New Roman" w:hAnsi="Times New Roman" w:cs="Times New Roman"/>
          <w:sz w:val="24"/>
          <w:szCs w:val="24"/>
        </w:rPr>
        <w:t>中密，稍湿，强度低，韧性低，见白色钙质网纹，含砾石，局部含强风化变质岩岩块，偶夹10～20cm的薄层中砂、细砂。</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粗砂</w:t>
      </w:r>
      <w:r>
        <w:rPr>
          <w:rFonts w:hint="eastAsia" w:ascii="Times New Roman" w:hAnsi="Times New Roman" w:cs="Times New Roman"/>
          <w:sz w:val="24"/>
          <w:szCs w:val="24"/>
        </w:rPr>
        <w:t>：</w:t>
      </w:r>
      <w:r>
        <w:rPr>
          <w:rFonts w:ascii="Times New Roman" w:hAnsi="Times New Roman" w:cs="Times New Roman"/>
          <w:sz w:val="24"/>
          <w:szCs w:val="24"/>
        </w:rPr>
        <w:t>褐黄色，灰黄色，中密，稍湿，分选良，成分以石英、长石为主，含少量砾石。</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本区浅层地下水位埋深大于16m，且有逐渐下降的趋势，参考相关资料，地下水对混凝土无腐蚀性。由此可知，该项目所处区域为防污性能中等区。</w:t>
      </w:r>
    </w:p>
    <w:p>
      <w:pPr>
        <w:adjustRightInd w:val="0"/>
        <w:snapToGrid w:val="0"/>
        <w:spacing w:line="360" w:lineRule="auto"/>
        <w:ind w:firstLine="539"/>
        <w:rPr>
          <w:rFonts w:ascii="Times New Roman" w:hAnsi="Times New Roman" w:cs="Times New Roman"/>
          <w:sz w:val="24"/>
        </w:rPr>
      </w:pPr>
      <w:r>
        <w:rPr>
          <w:rFonts w:ascii="Times New Roman" w:cs="Times New Roman"/>
          <w:sz w:val="24"/>
          <w:szCs w:val="24"/>
        </w:rPr>
        <w:t>项目区域地层剖面图见附图</w:t>
      </w:r>
      <w:r>
        <w:rPr>
          <w:rFonts w:hint="eastAsia" w:ascii="Times New Roman" w:hAnsi="Times New Roman" w:cs="Times New Roman"/>
          <w:sz w:val="24"/>
          <w:szCs w:val="24"/>
        </w:rPr>
        <w:t>5</w:t>
      </w:r>
      <w:r>
        <w:rPr>
          <w:rFonts w:ascii="Times New Roman" w:hAnsi="Times New Roman" w:cs="Times New Roman"/>
          <w:sz w:val="24"/>
          <w:szCs w:val="24"/>
        </w:rPr>
        <w:t>-</w:t>
      </w:r>
      <w:r>
        <w:rPr>
          <w:rFonts w:hint="eastAsia" w:ascii="Times New Roman" w:hAnsi="Times New Roman" w:cs="Times New Roman"/>
          <w:sz w:val="24"/>
          <w:szCs w:val="24"/>
        </w:rPr>
        <w:t>1</w:t>
      </w:r>
      <w:r>
        <w:rPr>
          <w:rFonts w:ascii="Times New Roman" w:cs="Times New Roman"/>
          <w:sz w:val="24"/>
          <w:szCs w:val="24"/>
        </w:rPr>
        <w:t>，项目所在区域地层岩性特征见表</w:t>
      </w:r>
      <w:r>
        <w:rPr>
          <w:rFonts w:hint="eastAsia" w:ascii="Times New Roman" w:hAnsi="Times New Roman" w:cs="Times New Roman"/>
          <w:sz w:val="24"/>
          <w:szCs w:val="24"/>
        </w:rPr>
        <w:t>5</w:t>
      </w:r>
      <w:r>
        <w:rPr>
          <w:rFonts w:ascii="Times New Roman" w:hAnsi="Times New Roman" w:cs="Times New Roman"/>
          <w:sz w:val="24"/>
          <w:szCs w:val="24"/>
        </w:rPr>
        <w:t>-</w:t>
      </w:r>
      <w:r>
        <w:rPr>
          <w:rFonts w:hint="eastAsia" w:ascii="Times New Roman" w:hAnsi="Times New Roman" w:cs="Times New Roman"/>
          <w:sz w:val="24"/>
          <w:szCs w:val="24"/>
        </w:rPr>
        <w:t>23</w:t>
      </w:r>
      <w:r>
        <w:rPr>
          <w:rFonts w:ascii="Times New Roman" w:cs="Times New Roman"/>
          <w:sz w:val="24"/>
          <w:szCs w:val="24"/>
        </w:rPr>
        <w:t>。</w:t>
      </w: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r>
        <w:rPr>
          <w:rFonts w:ascii="宋体" w:hAnsi="宋体"/>
          <w:sz w:val="24"/>
        </w:rPr>
        <w:pict>
          <v:shape id="_x0000_s1752" o:spid="_x0000_s1752" o:spt="202" type="#_x0000_t202" style="position:absolute;left:0pt;margin-left:68.45pt;margin-top:592.5pt;height:27pt;width:286pt;z-index:252389376;mso-width-relative:page;mso-height-relative:page;" stroked="f" coordsize="21600,21600">
            <v:path/>
            <v:fill focussize="0,0"/>
            <v:stroke on="f" joinstyle="miter"/>
            <v:imagedata o:title=""/>
            <o:lock v:ext="edit"/>
            <v:textbox>
              <w:txbxContent>
                <w:p>
                  <w:pPr>
                    <w:jc w:val="center"/>
                    <w:rPr>
                      <w:rFonts w:ascii="Times New Roman" w:hAnsi="Times New Roman" w:cs="Times New Roman"/>
                      <w:b/>
                      <w:color w:val="000000" w:themeColor="text1"/>
                    </w:rPr>
                  </w:pPr>
                  <w:r>
                    <w:rPr>
                      <w:rFonts w:ascii="Times New Roman" w:cs="Times New Roman"/>
                      <w:b/>
                      <w:color w:val="000000" w:themeColor="text1"/>
                    </w:rPr>
                    <w:t>附图</w:t>
                  </w:r>
                  <w:r>
                    <w:rPr>
                      <w:rFonts w:ascii="Times New Roman" w:hAnsi="Times New Roman" w:cs="Times New Roman"/>
                      <w:b/>
                      <w:color w:val="000000" w:themeColor="text1"/>
                    </w:rPr>
                    <w:t xml:space="preserve">5-1 </w:t>
                  </w:r>
                  <w:r>
                    <w:rPr>
                      <w:rFonts w:ascii="Times New Roman" w:hAnsi="Times New Roman" w:cs="Times New Roman"/>
                      <w:b/>
                      <w:color w:val="000000" w:themeColor="text1"/>
                      <w:sz w:val="24"/>
                      <w:szCs w:val="24"/>
                    </w:rPr>
                    <w:t xml:space="preserve"> </w:t>
                  </w:r>
                  <w:r>
                    <w:rPr>
                      <w:rFonts w:ascii="Times New Roman" w:cs="Times New Roman"/>
                      <w:b/>
                      <w:color w:val="000000" w:themeColor="text1"/>
                      <w:sz w:val="24"/>
                      <w:szCs w:val="24"/>
                    </w:rPr>
                    <w:t>项目区域地层剖面图</w:t>
                  </w:r>
                </w:p>
              </w:txbxContent>
            </v:textbox>
          </v:shape>
        </w:pict>
      </w:r>
      <w:r>
        <w:rPr>
          <w:rFonts w:ascii="宋体" w:hAnsi="宋体"/>
          <w:sz w:val="24"/>
        </w:rPr>
        <w:drawing>
          <wp:inline distT="0" distB="0" distL="0" distR="0">
            <wp:extent cx="4667250" cy="7305675"/>
            <wp:effectExtent l="19050" t="0" r="0" b="0"/>
            <wp:docPr id="21" name="图片 21" descr="工程地质剖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工程地质剖面图"/>
                    <pic:cNvPicPr>
                      <a:picLocks noChangeAspect="1" noChangeArrowheads="1"/>
                    </pic:cNvPicPr>
                  </pic:nvPicPr>
                  <pic:blipFill>
                    <a:blip r:embed="rId49" cstate="print"/>
                    <a:srcRect/>
                    <a:stretch>
                      <a:fillRect/>
                    </a:stretch>
                  </pic:blipFill>
                  <pic:spPr>
                    <a:xfrm>
                      <a:off x="0" y="0"/>
                      <a:ext cx="4667250" cy="7305675"/>
                    </a:xfrm>
                    <a:prstGeom prst="rect">
                      <a:avLst/>
                    </a:prstGeom>
                    <a:noFill/>
                    <a:ln w="9525">
                      <a:noFill/>
                      <a:miter lim="800000"/>
                      <a:headEnd/>
                      <a:tailEnd/>
                    </a:ln>
                  </pic:spPr>
                </pic:pic>
              </a:graphicData>
            </a:graphic>
          </wp:inline>
        </w:drawing>
      </w: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adjustRightInd w:val="0"/>
        <w:snapToGrid w:val="0"/>
        <w:spacing w:line="360" w:lineRule="auto"/>
        <w:ind w:firstLine="539"/>
        <w:jc w:val="center"/>
        <w:rPr>
          <w:rFonts w:ascii="Times New Roman" w:hAnsi="Times New Roman" w:cs="Times New Roman"/>
          <w:b/>
          <w:sz w:val="24"/>
        </w:rPr>
      </w:pPr>
      <w:r>
        <w:rPr>
          <w:rFonts w:ascii="Times New Roman" w:hAnsi="宋体" w:cs="Times New Roman"/>
          <w:b/>
          <w:sz w:val="24"/>
        </w:rPr>
        <w:t>表</w:t>
      </w:r>
      <w:r>
        <w:rPr>
          <w:rFonts w:ascii="Times New Roman" w:hAnsi="Times New Roman" w:cs="Times New Roman"/>
          <w:b/>
          <w:sz w:val="24"/>
        </w:rPr>
        <w:t xml:space="preserve">5-23     </w:t>
      </w:r>
      <w:r>
        <w:rPr>
          <w:rFonts w:ascii="Times New Roman" w:hAnsi="宋体" w:cs="Times New Roman"/>
          <w:b/>
          <w:sz w:val="24"/>
        </w:rPr>
        <w:t>项目所在区域地层岩性特征一览表</w:t>
      </w:r>
    </w:p>
    <w:tbl>
      <w:tblPr>
        <w:tblStyle w:val="27"/>
        <w:tblW w:w="9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00"/>
        <w:gridCol w:w="3939"/>
        <w:gridCol w:w="858"/>
        <w:gridCol w:w="946"/>
        <w:gridCol w:w="1127"/>
        <w:gridCol w:w="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地层编号</w:t>
            </w:r>
          </w:p>
        </w:tc>
        <w:tc>
          <w:tcPr>
            <w:tcW w:w="80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岩性名称</w:t>
            </w:r>
          </w:p>
        </w:tc>
        <w:tc>
          <w:tcPr>
            <w:tcW w:w="3939"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岩性特征描述</w:t>
            </w:r>
          </w:p>
        </w:tc>
        <w:tc>
          <w:tcPr>
            <w:tcW w:w="858"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层厚</w:t>
            </w:r>
            <w:r>
              <w:rPr>
                <w:rFonts w:ascii="Times New Roman" w:hAnsi="Times New Roman" w:cs="Times New Roman"/>
                <w:sz w:val="18"/>
                <w:szCs w:val="18"/>
              </w:rPr>
              <w:t>M</w:t>
            </w:r>
          </w:p>
        </w:tc>
        <w:tc>
          <w:tcPr>
            <w:tcW w:w="946"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层底埋深</w:t>
            </w:r>
            <w:r>
              <w:rPr>
                <w:rFonts w:ascii="Times New Roman" w:hAnsi="Times New Roman" w:cs="Times New Roman"/>
                <w:sz w:val="18"/>
                <w:szCs w:val="18"/>
              </w:rPr>
              <w:t>M</w:t>
            </w:r>
          </w:p>
        </w:tc>
        <w:tc>
          <w:tcPr>
            <w:tcW w:w="1127"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层底高程</w:t>
            </w:r>
            <w:r>
              <w:rPr>
                <w:rFonts w:ascii="Times New Roman" w:hAnsi="Times New Roman" w:cs="Times New Roman"/>
                <w:sz w:val="18"/>
                <w:szCs w:val="18"/>
              </w:rPr>
              <w:t>m</w:t>
            </w:r>
          </w:p>
        </w:tc>
        <w:tc>
          <w:tcPr>
            <w:tcW w:w="97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分布情况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①</w:t>
            </w:r>
          </w:p>
        </w:tc>
        <w:tc>
          <w:tcPr>
            <w:tcW w:w="80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素填土</w:t>
            </w:r>
          </w:p>
        </w:tc>
        <w:tc>
          <w:tcPr>
            <w:tcW w:w="3939"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暗黄褐色，粉土质，稍湿状，含砖屑，松散，局部以杂填土为主，成分混杂。</w:t>
            </w:r>
          </w:p>
        </w:tc>
        <w:tc>
          <w:tcPr>
            <w:tcW w:w="858"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0.6</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~3.8</w:t>
            </w:r>
          </w:p>
        </w:tc>
        <w:tc>
          <w:tcPr>
            <w:tcW w:w="946"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0.6</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~3.8</w:t>
            </w:r>
          </w:p>
        </w:tc>
        <w:tc>
          <w:tcPr>
            <w:tcW w:w="1127"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12.41</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~15.52</w:t>
            </w:r>
          </w:p>
        </w:tc>
        <w:tc>
          <w:tcPr>
            <w:tcW w:w="97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全场地分布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②</w:t>
            </w:r>
          </w:p>
        </w:tc>
        <w:tc>
          <w:tcPr>
            <w:tcW w:w="80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粉土</w:t>
            </w:r>
          </w:p>
        </w:tc>
        <w:tc>
          <w:tcPr>
            <w:tcW w:w="3939"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黄褐色，湿，中密，含姜石，具灰斑。无光泽，摇振反应中等，干强度及韧性低，夹粉质粘土薄层。</w:t>
            </w:r>
          </w:p>
        </w:tc>
        <w:tc>
          <w:tcPr>
            <w:tcW w:w="858"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0.8</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4.1</w:t>
            </w:r>
          </w:p>
        </w:tc>
        <w:tc>
          <w:tcPr>
            <w:tcW w:w="946"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3.9</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5.1</w:t>
            </w:r>
          </w:p>
        </w:tc>
        <w:tc>
          <w:tcPr>
            <w:tcW w:w="1127"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11.17</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12.23</w:t>
            </w:r>
          </w:p>
        </w:tc>
        <w:tc>
          <w:tcPr>
            <w:tcW w:w="97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全场地分布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③</w:t>
            </w:r>
            <w:r>
              <w:rPr>
                <w:rFonts w:ascii="Times New Roman" w:hAnsi="Times New Roman" w:cs="Times New Roman"/>
                <w:sz w:val="18"/>
                <w:szCs w:val="18"/>
              </w:rPr>
              <w:t>1</w:t>
            </w:r>
          </w:p>
        </w:tc>
        <w:tc>
          <w:tcPr>
            <w:tcW w:w="80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粉质粘土</w:t>
            </w:r>
          </w:p>
        </w:tc>
        <w:tc>
          <w:tcPr>
            <w:tcW w:w="3939"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黄褐色，可塑，土质较湿软，切面稍光滑，无摇振反应，干强度及韧性中等。</w:t>
            </w:r>
          </w:p>
        </w:tc>
        <w:tc>
          <w:tcPr>
            <w:tcW w:w="858"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0.9</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~1.6</w:t>
            </w:r>
          </w:p>
        </w:tc>
        <w:tc>
          <w:tcPr>
            <w:tcW w:w="946"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5.4</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~6.0</w:t>
            </w:r>
          </w:p>
        </w:tc>
        <w:tc>
          <w:tcPr>
            <w:tcW w:w="1127"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10.27</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~10.78</w:t>
            </w:r>
          </w:p>
        </w:tc>
        <w:tc>
          <w:tcPr>
            <w:tcW w:w="97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全场地分布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③</w:t>
            </w:r>
            <w:r>
              <w:rPr>
                <w:rFonts w:ascii="Times New Roman" w:hAnsi="Times New Roman" w:cs="Times New Roman"/>
                <w:sz w:val="18"/>
                <w:szCs w:val="18"/>
              </w:rPr>
              <w:t>2</w:t>
            </w:r>
          </w:p>
        </w:tc>
        <w:tc>
          <w:tcPr>
            <w:tcW w:w="80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粉土</w:t>
            </w:r>
          </w:p>
        </w:tc>
        <w:tc>
          <w:tcPr>
            <w:tcW w:w="3939"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黄褐色，稍湿，含姜石，中密</w:t>
            </w:r>
            <w:r>
              <w:rPr>
                <w:rFonts w:ascii="Times New Roman" w:hAnsi="Times New Roman" w:cs="Times New Roman"/>
                <w:sz w:val="18"/>
                <w:szCs w:val="18"/>
              </w:rPr>
              <w:t>-</w:t>
            </w:r>
            <w:r>
              <w:rPr>
                <w:rFonts w:ascii="Times New Roman" w:hAnsi="宋体" w:cs="Times New Roman"/>
                <w:sz w:val="18"/>
                <w:szCs w:val="18"/>
              </w:rPr>
              <w:t>密实，无光泽，摇振反应中等，干强度及韧性低。顶部及底部粘质重。</w:t>
            </w:r>
          </w:p>
        </w:tc>
        <w:tc>
          <w:tcPr>
            <w:tcW w:w="858"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2.2</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5.5</w:t>
            </w:r>
          </w:p>
        </w:tc>
        <w:tc>
          <w:tcPr>
            <w:tcW w:w="946"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7.8</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11.3</w:t>
            </w:r>
          </w:p>
        </w:tc>
        <w:tc>
          <w:tcPr>
            <w:tcW w:w="1127"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4.97</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8.48</w:t>
            </w:r>
          </w:p>
        </w:tc>
        <w:tc>
          <w:tcPr>
            <w:tcW w:w="97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全场地分布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④</w:t>
            </w:r>
          </w:p>
        </w:tc>
        <w:tc>
          <w:tcPr>
            <w:tcW w:w="80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细砂</w:t>
            </w:r>
          </w:p>
        </w:tc>
        <w:tc>
          <w:tcPr>
            <w:tcW w:w="3939"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灰黄色，饱和，中密。矿物成分主要由石英，长石组成，含少量云母及暗色矿物。偶夹粉土或粉质粘土薄层。</w:t>
            </w:r>
          </w:p>
        </w:tc>
        <w:tc>
          <w:tcPr>
            <w:tcW w:w="858"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2.4</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4.0</w:t>
            </w:r>
          </w:p>
        </w:tc>
        <w:tc>
          <w:tcPr>
            <w:tcW w:w="946"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11.5</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12.4</w:t>
            </w:r>
          </w:p>
        </w:tc>
        <w:tc>
          <w:tcPr>
            <w:tcW w:w="1127"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3.79</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4.12</w:t>
            </w:r>
          </w:p>
        </w:tc>
        <w:tc>
          <w:tcPr>
            <w:tcW w:w="97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全场地分布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④</w:t>
            </w:r>
            <w:r>
              <w:rPr>
                <w:rFonts w:ascii="Times New Roman" w:hAnsi="Times New Roman" w:cs="Times New Roman"/>
                <w:sz w:val="18"/>
                <w:szCs w:val="18"/>
              </w:rPr>
              <w:t>1</w:t>
            </w:r>
          </w:p>
        </w:tc>
        <w:tc>
          <w:tcPr>
            <w:tcW w:w="80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粉土</w:t>
            </w:r>
          </w:p>
        </w:tc>
        <w:tc>
          <w:tcPr>
            <w:tcW w:w="3939"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黄褐色，湿，砂质重，中密</w:t>
            </w:r>
            <w:r>
              <w:rPr>
                <w:rFonts w:ascii="Times New Roman" w:hAnsi="Times New Roman" w:cs="Times New Roman"/>
                <w:sz w:val="18"/>
                <w:szCs w:val="18"/>
              </w:rPr>
              <w:t>-</w:t>
            </w:r>
            <w:r>
              <w:rPr>
                <w:rFonts w:ascii="Times New Roman" w:hAnsi="宋体" w:cs="Times New Roman"/>
                <w:sz w:val="18"/>
                <w:szCs w:val="18"/>
              </w:rPr>
              <w:t>密实。无光泽，摇振反应中等，干强度及韧性低。呈透镜体状分布。</w:t>
            </w:r>
          </w:p>
        </w:tc>
        <w:tc>
          <w:tcPr>
            <w:tcW w:w="858"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0.4</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1.5</w:t>
            </w:r>
          </w:p>
        </w:tc>
        <w:tc>
          <w:tcPr>
            <w:tcW w:w="946"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9.2</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11.2</w:t>
            </w:r>
          </w:p>
        </w:tc>
        <w:tc>
          <w:tcPr>
            <w:tcW w:w="1127"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5.01</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7.03</w:t>
            </w:r>
          </w:p>
        </w:tc>
        <w:tc>
          <w:tcPr>
            <w:tcW w:w="97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局部地段缺失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⑤</w:t>
            </w:r>
          </w:p>
        </w:tc>
        <w:tc>
          <w:tcPr>
            <w:tcW w:w="80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中砂</w:t>
            </w:r>
          </w:p>
        </w:tc>
        <w:tc>
          <w:tcPr>
            <w:tcW w:w="3939"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灰黄色，饱和，密实，级配均匀。矿物成分主要由石英，长石组成，含少量云母及暗色矿物。</w:t>
            </w:r>
          </w:p>
        </w:tc>
        <w:tc>
          <w:tcPr>
            <w:tcW w:w="858"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3.5</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4.4</w:t>
            </w:r>
          </w:p>
        </w:tc>
        <w:tc>
          <w:tcPr>
            <w:tcW w:w="946"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15.3</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16.5</w:t>
            </w:r>
          </w:p>
        </w:tc>
        <w:tc>
          <w:tcPr>
            <w:tcW w:w="1127"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-0.29</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0.81</w:t>
            </w:r>
          </w:p>
        </w:tc>
        <w:tc>
          <w:tcPr>
            <w:tcW w:w="97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全场地分布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⑥</w:t>
            </w:r>
            <w:r>
              <w:rPr>
                <w:rFonts w:ascii="Times New Roman" w:hAnsi="Times New Roman" w:cs="Times New Roman"/>
                <w:sz w:val="18"/>
                <w:szCs w:val="18"/>
              </w:rPr>
              <w:t>1</w:t>
            </w:r>
          </w:p>
        </w:tc>
        <w:tc>
          <w:tcPr>
            <w:tcW w:w="80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粉土</w:t>
            </w:r>
          </w:p>
        </w:tc>
        <w:tc>
          <w:tcPr>
            <w:tcW w:w="3939"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黄褐色，湿，含姜石，中密</w:t>
            </w:r>
            <w:r>
              <w:rPr>
                <w:rFonts w:ascii="Times New Roman" w:hAnsi="Times New Roman" w:cs="Times New Roman"/>
                <w:sz w:val="18"/>
                <w:szCs w:val="18"/>
              </w:rPr>
              <w:t>-</w:t>
            </w:r>
            <w:r>
              <w:rPr>
                <w:rFonts w:ascii="Times New Roman" w:hAnsi="宋体" w:cs="Times New Roman"/>
                <w:sz w:val="18"/>
                <w:szCs w:val="18"/>
              </w:rPr>
              <w:t>密实。无光泽，摇振反应中等，干强度及韧性低，夹粉质粘土薄层。</w:t>
            </w:r>
          </w:p>
        </w:tc>
        <w:tc>
          <w:tcPr>
            <w:tcW w:w="858"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3.7</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6.2</w:t>
            </w:r>
          </w:p>
        </w:tc>
        <w:tc>
          <w:tcPr>
            <w:tcW w:w="946"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19.5</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22.5</w:t>
            </w:r>
          </w:p>
        </w:tc>
        <w:tc>
          <w:tcPr>
            <w:tcW w:w="1127"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-6.22</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-3.22</w:t>
            </w:r>
          </w:p>
        </w:tc>
        <w:tc>
          <w:tcPr>
            <w:tcW w:w="97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全场地分布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⑥</w:t>
            </w:r>
            <w:r>
              <w:rPr>
                <w:rFonts w:ascii="Times New Roman" w:hAnsi="Times New Roman" w:cs="Times New Roman"/>
                <w:sz w:val="18"/>
                <w:szCs w:val="18"/>
              </w:rPr>
              <w:t>2</w:t>
            </w:r>
          </w:p>
        </w:tc>
        <w:tc>
          <w:tcPr>
            <w:tcW w:w="80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中砂</w:t>
            </w:r>
          </w:p>
        </w:tc>
        <w:tc>
          <w:tcPr>
            <w:tcW w:w="3939"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灰黄色，饱和，密实。矿物成分主要由石英，长石组成，含少量云母及暗色矿物，呈透镜体状分布。</w:t>
            </w:r>
          </w:p>
        </w:tc>
        <w:tc>
          <w:tcPr>
            <w:tcW w:w="858"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0.5</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1.3</w:t>
            </w:r>
          </w:p>
        </w:tc>
        <w:tc>
          <w:tcPr>
            <w:tcW w:w="946"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20.6</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21.7</w:t>
            </w:r>
          </w:p>
        </w:tc>
        <w:tc>
          <w:tcPr>
            <w:tcW w:w="1127"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-5.42</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-4.32</w:t>
            </w:r>
          </w:p>
        </w:tc>
        <w:tc>
          <w:tcPr>
            <w:tcW w:w="97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局部地段缺失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⑦</w:t>
            </w:r>
            <w:r>
              <w:rPr>
                <w:rFonts w:ascii="Times New Roman" w:hAnsi="Times New Roman" w:cs="Times New Roman"/>
                <w:sz w:val="18"/>
                <w:szCs w:val="18"/>
              </w:rPr>
              <w:t>1</w:t>
            </w:r>
          </w:p>
        </w:tc>
        <w:tc>
          <w:tcPr>
            <w:tcW w:w="80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粉质粘土</w:t>
            </w:r>
          </w:p>
        </w:tc>
        <w:tc>
          <w:tcPr>
            <w:tcW w:w="3939"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黄褐色，可塑，含姜石，切面稍光滑，无摇振反应，干强度及韧性中等。中夹粉土或细砂薄层。</w:t>
            </w:r>
          </w:p>
        </w:tc>
        <w:tc>
          <w:tcPr>
            <w:tcW w:w="858"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2.1</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5.4</w:t>
            </w:r>
          </w:p>
        </w:tc>
        <w:tc>
          <w:tcPr>
            <w:tcW w:w="946"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23.5</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25.9</w:t>
            </w:r>
          </w:p>
        </w:tc>
        <w:tc>
          <w:tcPr>
            <w:tcW w:w="1127"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-9.68</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-7.22</w:t>
            </w:r>
          </w:p>
        </w:tc>
        <w:tc>
          <w:tcPr>
            <w:tcW w:w="97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全场地分布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⑦</w:t>
            </w:r>
            <w:r>
              <w:rPr>
                <w:rFonts w:ascii="Times New Roman" w:hAnsi="Times New Roman" w:cs="Times New Roman"/>
                <w:sz w:val="18"/>
                <w:szCs w:val="18"/>
              </w:rPr>
              <w:t>2</w:t>
            </w:r>
          </w:p>
        </w:tc>
        <w:tc>
          <w:tcPr>
            <w:tcW w:w="80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细砂</w:t>
            </w:r>
          </w:p>
        </w:tc>
        <w:tc>
          <w:tcPr>
            <w:tcW w:w="3939"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灰黄色，饱和，中密。矿物成分主要由石英，长石组成，含少量云母及暗色矿物。偶夹粉土或粉质粘土薄层。</w:t>
            </w:r>
          </w:p>
        </w:tc>
        <w:tc>
          <w:tcPr>
            <w:tcW w:w="858"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0.4</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4.3</w:t>
            </w:r>
          </w:p>
        </w:tc>
        <w:tc>
          <w:tcPr>
            <w:tcW w:w="946"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25.3</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28.3</w:t>
            </w:r>
          </w:p>
        </w:tc>
        <w:tc>
          <w:tcPr>
            <w:tcW w:w="1127"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-12.06</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-9.02</w:t>
            </w:r>
          </w:p>
        </w:tc>
        <w:tc>
          <w:tcPr>
            <w:tcW w:w="97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全场地分布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⑦</w:t>
            </w:r>
            <w:r>
              <w:rPr>
                <w:rFonts w:ascii="Times New Roman" w:hAnsi="Times New Roman" w:cs="Times New Roman"/>
                <w:sz w:val="18"/>
                <w:szCs w:val="18"/>
              </w:rPr>
              <w:t>3</w:t>
            </w:r>
          </w:p>
        </w:tc>
        <w:tc>
          <w:tcPr>
            <w:tcW w:w="80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粉质粘土</w:t>
            </w:r>
          </w:p>
        </w:tc>
        <w:tc>
          <w:tcPr>
            <w:tcW w:w="3939"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黄褐色，可塑，含姜石，切面稍光滑，无摇振反应，干强度及韧性中等。局部夹密实状细砂或粉土薄层。</w:t>
            </w:r>
          </w:p>
        </w:tc>
        <w:tc>
          <w:tcPr>
            <w:tcW w:w="858"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2.7</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6.3</w:t>
            </w:r>
          </w:p>
        </w:tc>
        <w:tc>
          <w:tcPr>
            <w:tcW w:w="946"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30.2</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32.5</w:t>
            </w:r>
          </w:p>
        </w:tc>
        <w:tc>
          <w:tcPr>
            <w:tcW w:w="1127"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-16.25</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-13.92</w:t>
            </w:r>
          </w:p>
        </w:tc>
        <w:tc>
          <w:tcPr>
            <w:tcW w:w="97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全场地分布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⑦</w:t>
            </w:r>
            <w:r>
              <w:rPr>
                <w:rFonts w:ascii="Times New Roman" w:hAnsi="Times New Roman" w:cs="Times New Roman"/>
                <w:sz w:val="18"/>
                <w:szCs w:val="18"/>
              </w:rPr>
              <w:t>4</w:t>
            </w:r>
          </w:p>
        </w:tc>
        <w:tc>
          <w:tcPr>
            <w:tcW w:w="80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中砂</w:t>
            </w:r>
          </w:p>
        </w:tc>
        <w:tc>
          <w:tcPr>
            <w:tcW w:w="3939"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灰黄色，饱和，密实。矿物成分主要由石英，长石组成，含少量云母及暗色矿物。</w:t>
            </w:r>
          </w:p>
        </w:tc>
        <w:tc>
          <w:tcPr>
            <w:tcW w:w="858"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0.6</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~2.2</w:t>
            </w:r>
          </w:p>
        </w:tc>
        <w:tc>
          <w:tcPr>
            <w:tcW w:w="946"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31.2</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~33.9</w:t>
            </w:r>
          </w:p>
        </w:tc>
        <w:tc>
          <w:tcPr>
            <w:tcW w:w="1127"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-17.71</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~-14.92</w:t>
            </w:r>
          </w:p>
        </w:tc>
        <w:tc>
          <w:tcPr>
            <w:tcW w:w="97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全场地分布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⑧</w:t>
            </w:r>
          </w:p>
        </w:tc>
        <w:tc>
          <w:tcPr>
            <w:tcW w:w="80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粉质粘土</w:t>
            </w:r>
          </w:p>
        </w:tc>
        <w:tc>
          <w:tcPr>
            <w:tcW w:w="3939"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黄褐色，可塑，含姜石较多，夹粉土薄层，切面稍光滑，无摇振反应，干强度及韧性中等。</w:t>
            </w:r>
          </w:p>
        </w:tc>
        <w:tc>
          <w:tcPr>
            <w:tcW w:w="858"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8.1</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10.3</w:t>
            </w:r>
          </w:p>
        </w:tc>
        <w:tc>
          <w:tcPr>
            <w:tcW w:w="946"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41.8</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~42.8</w:t>
            </w:r>
          </w:p>
        </w:tc>
        <w:tc>
          <w:tcPr>
            <w:tcW w:w="1127"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-26.58</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-25.52</w:t>
            </w:r>
          </w:p>
        </w:tc>
        <w:tc>
          <w:tcPr>
            <w:tcW w:w="97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全场地分布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⑨</w:t>
            </w:r>
          </w:p>
        </w:tc>
        <w:tc>
          <w:tcPr>
            <w:tcW w:w="80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中砂</w:t>
            </w:r>
          </w:p>
        </w:tc>
        <w:tc>
          <w:tcPr>
            <w:tcW w:w="3939"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灰黄色，饱和，密实。矿物成分主要由石英，长石组成，含少量云母及暗色矿物。</w:t>
            </w:r>
          </w:p>
        </w:tc>
        <w:tc>
          <w:tcPr>
            <w:tcW w:w="858"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2.7</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~3.5</w:t>
            </w:r>
          </w:p>
        </w:tc>
        <w:tc>
          <w:tcPr>
            <w:tcW w:w="946"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44.8</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~45.8</w:t>
            </w:r>
          </w:p>
        </w:tc>
        <w:tc>
          <w:tcPr>
            <w:tcW w:w="1127" w:type="dxa"/>
            <w:vAlign w:val="center"/>
          </w:tcPr>
          <w:p>
            <w:pPr>
              <w:spacing w:line="280" w:lineRule="exact"/>
              <w:jc w:val="center"/>
              <w:rPr>
                <w:rFonts w:ascii="Times New Roman" w:hAnsi="Times New Roman" w:cs="Times New Roman"/>
                <w:sz w:val="18"/>
                <w:szCs w:val="18"/>
              </w:rPr>
            </w:pPr>
            <w:r>
              <w:rPr>
                <w:rFonts w:ascii="Times New Roman" w:hAnsi="Times New Roman" w:cs="Times New Roman"/>
                <w:sz w:val="18"/>
                <w:szCs w:val="18"/>
              </w:rPr>
              <w:t>-29.61</w:t>
            </w:r>
          </w:p>
          <w:p>
            <w:pPr>
              <w:spacing w:line="280" w:lineRule="exact"/>
              <w:jc w:val="center"/>
              <w:rPr>
                <w:rFonts w:ascii="Times New Roman" w:hAnsi="Times New Roman" w:cs="Times New Roman"/>
                <w:sz w:val="18"/>
                <w:szCs w:val="18"/>
              </w:rPr>
            </w:pPr>
            <w:r>
              <w:rPr>
                <w:rFonts w:ascii="Times New Roman" w:hAnsi="Times New Roman" w:cs="Times New Roman"/>
                <w:sz w:val="18"/>
                <w:szCs w:val="18"/>
              </w:rPr>
              <w:t>~-28.52</w:t>
            </w:r>
          </w:p>
        </w:tc>
        <w:tc>
          <w:tcPr>
            <w:tcW w:w="97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全场地分布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⑩</w:t>
            </w:r>
          </w:p>
        </w:tc>
        <w:tc>
          <w:tcPr>
            <w:tcW w:w="80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粉质粘土</w:t>
            </w:r>
          </w:p>
        </w:tc>
        <w:tc>
          <w:tcPr>
            <w:tcW w:w="3939"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黄褐色，可塑，含姜石较多，夹粉土薄层，切面稍光滑，无摇振反应，干强度及韧性中等。</w:t>
            </w:r>
          </w:p>
        </w:tc>
        <w:tc>
          <w:tcPr>
            <w:tcW w:w="2931" w:type="dxa"/>
            <w:gridSpan w:val="3"/>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本层层底未揭穿，最大钻探厚度</w:t>
            </w:r>
            <w:r>
              <w:rPr>
                <w:rFonts w:ascii="Times New Roman" w:hAnsi="Times New Roman" w:cs="Times New Roman"/>
                <w:sz w:val="18"/>
                <w:szCs w:val="18"/>
              </w:rPr>
              <w:t>15.2</w:t>
            </w:r>
            <w:r>
              <w:rPr>
                <w:rFonts w:ascii="Times New Roman" w:hAnsi="宋体" w:cs="Times New Roman"/>
                <w:sz w:val="18"/>
                <w:szCs w:val="18"/>
              </w:rPr>
              <w:t>米</w:t>
            </w:r>
          </w:p>
        </w:tc>
        <w:tc>
          <w:tcPr>
            <w:tcW w:w="970" w:type="dxa"/>
            <w:vAlign w:val="center"/>
          </w:tcPr>
          <w:p>
            <w:pPr>
              <w:spacing w:line="280" w:lineRule="exact"/>
              <w:jc w:val="center"/>
              <w:rPr>
                <w:rFonts w:ascii="Times New Roman" w:hAnsi="Times New Roman" w:cs="Times New Roman"/>
                <w:sz w:val="18"/>
                <w:szCs w:val="18"/>
              </w:rPr>
            </w:pPr>
            <w:r>
              <w:rPr>
                <w:rFonts w:ascii="Times New Roman" w:hAnsi="宋体" w:cs="Times New Roman"/>
                <w:sz w:val="18"/>
                <w:szCs w:val="18"/>
              </w:rPr>
              <w:t>全场地分布</w:t>
            </w:r>
          </w:p>
        </w:tc>
      </w:tr>
    </w:tbl>
    <w:p>
      <w:pPr>
        <w:spacing w:line="360" w:lineRule="auto"/>
        <w:rPr>
          <w:rFonts w:ascii="Times New Roman" w:hAnsi="Times New Roman" w:cs="Times New Roman"/>
          <w:sz w:val="24"/>
          <w:szCs w:val="24"/>
        </w:rPr>
      </w:pPr>
    </w:p>
    <w:p>
      <w:pPr>
        <w:pStyle w:val="5"/>
        <w:spacing w:before="0" w:after="0" w:line="360" w:lineRule="auto"/>
        <w:rPr>
          <w:rFonts w:ascii="Times New Roman" w:hAnsi="Times New Roman" w:cs="Times New Roman"/>
          <w:sz w:val="24"/>
          <w:szCs w:val="24"/>
        </w:rPr>
      </w:pPr>
      <w:r>
        <w:rPr>
          <w:rFonts w:ascii="Times New Roman" w:hAnsi="Times New Roman" w:cs="Times New Roman"/>
          <w:sz w:val="24"/>
          <w:szCs w:val="24"/>
        </w:rPr>
        <w:t>5.2.</w:t>
      </w:r>
      <w:r>
        <w:rPr>
          <w:rFonts w:hint="eastAsia" w:ascii="Times New Roman" w:hAnsi="Times New Roman" w:cs="Times New Roman"/>
          <w:sz w:val="24"/>
          <w:szCs w:val="24"/>
        </w:rPr>
        <w:t>3</w:t>
      </w:r>
      <w:r>
        <w:rPr>
          <w:rFonts w:ascii="Times New Roman" w:hAnsi="Times New Roman" w:cs="Times New Roman"/>
          <w:sz w:val="24"/>
          <w:szCs w:val="24"/>
        </w:rPr>
        <w:t>.</w:t>
      </w:r>
      <w:r>
        <w:rPr>
          <w:rFonts w:hint="eastAsia" w:ascii="Times New Roman" w:hAnsi="Times New Roman" w:cs="Times New Roman"/>
          <w:sz w:val="24"/>
          <w:szCs w:val="24"/>
        </w:rPr>
        <w:t>5</w:t>
      </w:r>
      <w:r>
        <w:rPr>
          <w:rFonts w:ascii="Times New Roman" w:hAnsi="Times New Roman" w:cs="Times New Roman"/>
          <w:sz w:val="24"/>
          <w:szCs w:val="24"/>
        </w:rPr>
        <w:t>对地下水的影响分析</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地下水污染途径</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地下水受污染的途径是多种多样的，按水力学的特点可归纳为四类：间歇入渗型、连续入渗型、越流型、径流型等。项目产生的废水对地下水的污染途径主要有：</w:t>
      </w:r>
      <w:r>
        <w:rPr>
          <w:rFonts w:hint="eastAsia" w:ascii="Times New Roman" w:hAnsi="Times New Roman" w:cs="Times New Roman"/>
          <w:sz w:val="24"/>
          <w:szCs w:val="24"/>
        </w:rPr>
        <w:t>①</w:t>
      </w:r>
      <w:r>
        <w:rPr>
          <w:rFonts w:ascii="Times New Roman" w:hAnsi="Times New Roman" w:cs="Times New Roman"/>
          <w:sz w:val="24"/>
          <w:szCs w:val="24"/>
        </w:rPr>
        <w:t>废水通过</w:t>
      </w:r>
      <w:r>
        <w:rPr>
          <w:rFonts w:hint="eastAsia" w:ascii="Times New Roman" w:hAnsi="Times New Roman" w:cs="Times New Roman"/>
          <w:sz w:val="24"/>
          <w:szCs w:val="24"/>
        </w:rPr>
        <w:t>污水管网、化粪池、</w:t>
      </w:r>
      <w:r>
        <w:rPr>
          <w:rFonts w:ascii="Times New Roman" w:hAnsi="Times New Roman" w:cs="Times New Roman"/>
          <w:sz w:val="24"/>
          <w:szCs w:val="24"/>
        </w:rPr>
        <w:t>污水处理站</w:t>
      </w:r>
      <w:r>
        <w:rPr>
          <w:rFonts w:hint="eastAsia" w:ascii="Times New Roman" w:hAnsi="Times New Roman" w:cs="Times New Roman"/>
          <w:sz w:val="24"/>
          <w:szCs w:val="24"/>
        </w:rPr>
        <w:t>构筑物</w:t>
      </w:r>
      <w:r>
        <w:rPr>
          <w:rFonts w:ascii="Times New Roman" w:hAnsi="Times New Roman" w:cs="Times New Roman"/>
          <w:sz w:val="24"/>
          <w:szCs w:val="24"/>
        </w:rPr>
        <w:t>渗入地下；</w:t>
      </w:r>
      <w:r>
        <w:rPr>
          <w:rFonts w:hint="eastAsia" w:ascii="Times New Roman" w:hAnsi="Times New Roman" w:cs="Times New Roman"/>
          <w:sz w:val="24"/>
          <w:szCs w:val="24"/>
        </w:rPr>
        <w:t>②</w:t>
      </w:r>
      <w:r>
        <w:rPr>
          <w:rFonts w:ascii="Times New Roman" w:hAnsi="Times New Roman" w:cs="Times New Roman"/>
          <w:sz w:val="24"/>
          <w:szCs w:val="24"/>
        </w:rPr>
        <w:t>废水的非正常排放。</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（2）地下水防渗措施</w:t>
      </w:r>
    </w:p>
    <w:p>
      <w:pPr>
        <w:spacing w:line="360" w:lineRule="auto"/>
        <w:ind w:firstLine="480" w:firstLineChars="200"/>
        <w:rPr>
          <w:rFonts w:ascii="Times New Roman" w:hAnsi="Times New Roman" w:cs="Times New Roman" w:eastAsiaTheme="majorEastAsia"/>
          <w:color w:val="000000" w:themeColor="text1"/>
          <w:sz w:val="24"/>
        </w:rPr>
      </w:pPr>
      <w:r>
        <w:rPr>
          <w:rFonts w:ascii="Times New Roman" w:cs="Times New Roman" w:hAnsiTheme="majorEastAsia" w:eastAsiaTheme="majorEastAsia"/>
          <w:color w:val="000000" w:themeColor="text1"/>
          <w:sz w:val="24"/>
        </w:rPr>
        <w:t>为了保护地下水，项目建设时考虑了相应的防腐防渗措施，针对不同工段的污染特点，本环评按重点防渗区、一般防渗区和非防渗区对项目采取的防腐防渗措施进行介绍，重点防渗区各单元防渗层渗透系数</w:t>
      </w:r>
      <w:r>
        <w:rPr>
          <w:rFonts w:ascii="Times New Roman" w:hAnsi="Times New Roman" w:cs="Times New Roman" w:eastAsiaTheme="majorEastAsia"/>
          <w:color w:val="000000" w:themeColor="text1"/>
          <w:sz w:val="24"/>
        </w:rPr>
        <w:t>≤10</w:t>
      </w:r>
      <w:r>
        <w:rPr>
          <w:rFonts w:ascii="Times New Roman" w:hAnsi="Times New Roman" w:cs="Times New Roman" w:eastAsiaTheme="majorEastAsia"/>
          <w:color w:val="000000" w:themeColor="text1"/>
          <w:sz w:val="24"/>
          <w:vertAlign w:val="superscript"/>
        </w:rPr>
        <w:t>-10</w:t>
      </w:r>
      <w:r>
        <w:rPr>
          <w:rFonts w:ascii="Times New Roman" w:hAnsi="Times New Roman" w:cs="Times New Roman" w:eastAsiaTheme="majorEastAsia"/>
          <w:color w:val="000000" w:themeColor="text1"/>
          <w:sz w:val="24"/>
        </w:rPr>
        <w:t>cm/s</w:t>
      </w:r>
      <w:r>
        <w:rPr>
          <w:rFonts w:ascii="Times New Roman" w:cs="Times New Roman" w:hAnsiTheme="majorEastAsia" w:eastAsiaTheme="majorEastAsia"/>
          <w:color w:val="000000" w:themeColor="text1"/>
          <w:sz w:val="24"/>
        </w:rPr>
        <w:t>，一般防渗区各单元防渗层渗透系数</w:t>
      </w:r>
      <w:r>
        <w:rPr>
          <w:rFonts w:ascii="Times New Roman" w:hAnsi="Times New Roman" w:cs="Times New Roman" w:eastAsiaTheme="majorEastAsia"/>
          <w:color w:val="000000" w:themeColor="text1"/>
          <w:sz w:val="24"/>
        </w:rPr>
        <w:t>≤10</w:t>
      </w:r>
      <w:r>
        <w:rPr>
          <w:rFonts w:ascii="Times New Roman" w:hAnsi="Times New Roman" w:cs="Times New Roman" w:eastAsiaTheme="majorEastAsia"/>
          <w:color w:val="000000" w:themeColor="text1"/>
          <w:sz w:val="24"/>
          <w:vertAlign w:val="superscript"/>
        </w:rPr>
        <w:t>-7</w:t>
      </w:r>
      <w:r>
        <w:rPr>
          <w:rFonts w:ascii="Times New Roman" w:hAnsi="Times New Roman" w:cs="Times New Roman" w:eastAsiaTheme="majorEastAsia"/>
          <w:color w:val="000000" w:themeColor="text1"/>
          <w:sz w:val="24"/>
        </w:rPr>
        <w:t xml:space="preserve"> cm/s</w:t>
      </w:r>
      <w:r>
        <w:rPr>
          <w:rFonts w:ascii="Times New Roman" w:cs="Times New Roman" w:hAnsiTheme="majorEastAsia" w:eastAsiaTheme="majorEastAsia"/>
          <w:color w:val="000000" w:themeColor="text1"/>
          <w:sz w:val="24"/>
        </w:rPr>
        <w:t>。具体防腐防渗措施见表</w:t>
      </w:r>
      <w:r>
        <w:rPr>
          <w:rFonts w:ascii="Times New Roman" w:hAnsi="Times New Roman" w:cs="Times New Roman" w:eastAsiaTheme="majorEastAsia"/>
          <w:color w:val="000000" w:themeColor="text1"/>
          <w:sz w:val="24"/>
        </w:rPr>
        <w:t>5-24</w:t>
      </w:r>
      <w:r>
        <w:rPr>
          <w:rFonts w:ascii="Times New Roman" w:cs="Times New Roman" w:hAnsiTheme="majorEastAsia" w:eastAsiaTheme="majorEastAsia"/>
          <w:color w:val="000000" w:themeColor="text1"/>
          <w:sz w:val="24"/>
        </w:rPr>
        <w:t>。</w:t>
      </w:r>
    </w:p>
    <w:p>
      <w:pPr>
        <w:spacing w:line="360" w:lineRule="auto"/>
        <w:ind w:firstLine="482" w:firstLineChars="200"/>
        <w:jc w:val="center"/>
        <w:rPr>
          <w:rFonts w:ascii="Times New Roman" w:hAnsi="Times New Roman" w:cs="Times New Roman" w:eastAsiaTheme="majorEastAsia"/>
          <w:b/>
          <w:color w:val="000000" w:themeColor="text1"/>
          <w:sz w:val="24"/>
        </w:rPr>
      </w:pPr>
      <w:r>
        <w:rPr>
          <w:rFonts w:ascii="Times New Roman" w:cs="Times New Roman" w:hAnsiTheme="majorEastAsia" w:eastAsiaTheme="majorEastAsia"/>
          <w:b/>
          <w:color w:val="000000" w:themeColor="text1"/>
          <w:sz w:val="24"/>
        </w:rPr>
        <w:t>表</w:t>
      </w:r>
      <w:r>
        <w:rPr>
          <w:rFonts w:ascii="Times New Roman" w:hAnsi="Times New Roman" w:cs="Times New Roman" w:eastAsiaTheme="majorEastAsia"/>
          <w:b/>
          <w:color w:val="000000" w:themeColor="text1"/>
          <w:sz w:val="24"/>
        </w:rPr>
        <w:t xml:space="preserve">5-24    </w:t>
      </w:r>
      <w:r>
        <w:rPr>
          <w:rFonts w:ascii="Times New Roman" w:cs="Times New Roman" w:hAnsiTheme="majorEastAsia" w:eastAsiaTheme="majorEastAsia"/>
          <w:b/>
          <w:color w:val="000000" w:themeColor="text1"/>
          <w:sz w:val="24"/>
        </w:rPr>
        <w:t>项目污染分区及采取的防腐、防渗措施一览表</w:t>
      </w:r>
    </w:p>
    <w:tbl>
      <w:tblPr>
        <w:tblStyle w:val="27"/>
        <w:tblW w:w="8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43"/>
        <w:gridCol w:w="1403"/>
        <w:gridCol w:w="2630"/>
        <w:gridCol w:w="3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blHeader/>
        </w:trPr>
        <w:tc>
          <w:tcPr>
            <w:tcW w:w="443" w:type="dxa"/>
            <w:vAlign w:val="center"/>
          </w:tcPr>
          <w:p>
            <w:pPr>
              <w:snapToGrid w:val="0"/>
              <w:spacing w:line="300" w:lineRule="exact"/>
              <w:jc w:val="center"/>
              <w:rPr>
                <w:rFonts w:ascii="Times New Roman" w:hAnsi="Times New Roman" w:cs="Times New Roman" w:eastAsiaTheme="majorEastAsia"/>
                <w:color w:val="000000" w:themeColor="text1"/>
                <w:szCs w:val="21"/>
              </w:rPr>
            </w:pPr>
            <w:r>
              <w:rPr>
                <w:rFonts w:ascii="Times New Roman" w:cs="Times New Roman" w:hAnsiTheme="majorEastAsia" w:eastAsiaTheme="majorEastAsia"/>
                <w:color w:val="000000" w:themeColor="text1"/>
                <w:szCs w:val="21"/>
              </w:rPr>
              <w:t>序号</w:t>
            </w:r>
          </w:p>
        </w:tc>
        <w:tc>
          <w:tcPr>
            <w:tcW w:w="1403" w:type="dxa"/>
            <w:vAlign w:val="center"/>
          </w:tcPr>
          <w:p>
            <w:pPr>
              <w:snapToGrid w:val="0"/>
              <w:spacing w:line="300" w:lineRule="exact"/>
              <w:jc w:val="center"/>
              <w:rPr>
                <w:rFonts w:ascii="Times New Roman" w:hAnsi="Times New Roman" w:cs="Times New Roman" w:eastAsiaTheme="majorEastAsia"/>
                <w:color w:val="000000" w:themeColor="text1"/>
                <w:szCs w:val="21"/>
              </w:rPr>
            </w:pPr>
            <w:r>
              <w:rPr>
                <w:rFonts w:ascii="Times New Roman" w:cs="Times New Roman" w:hAnsiTheme="majorEastAsia" w:eastAsiaTheme="majorEastAsia"/>
                <w:color w:val="000000" w:themeColor="text1"/>
                <w:szCs w:val="21"/>
              </w:rPr>
              <w:t>污染分区</w:t>
            </w:r>
          </w:p>
        </w:tc>
        <w:tc>
          <w:tcPr>
            <w:tcW w:w="2630" w:type="dxa"/>
            <w:vAlign w:val="center"/>
          </w:tcPr>
          <w:p>
            <w:pPr>
              <w:snapToGrid w:val="0"/>
              <w:spacing w:line="300" w:lineRule="exact"/>
              <w:jc w:val="center"/>
              <w:rPr>
                <w:rFonts w:ascii="Times New Roman" w:hAnsi="Times New Roman" w:cs="Times New Roman" w:eastAsiaTheme="majorEastAsia"/>
                <w:color w:val="000000" w:themeColor="text1"/>
                <w:szCs w:val="21"/>
              </w:rPr>
            </w:pPr>
            <w:r>
              <w:rPr>
                <w:rFonts w:ascii="Times New Roman" w:cs="Times New Roman" w:hAnsiTheme="majorEastAsia" w:eastAsiaTheme="majorEastAsia"/>
                <w:color w:val="000000" w:themeColor="text1"/>
                <w:szCs w:val="21"/>
              </w:rPr>
              <w:t>名称</w:t>
            </w:r>
          </w:p>
        </w:tc>
        <w:tc>
          <w:tcPr>
            <w:tcW w:w="3944" w:type="dxa"/>
            <w:vAlign w:val="center"/>
          </w:tcPr>
          <w:p>
            <w:pPr>
              <w:snapToGrid w:val="0"/>
              <w:spacing w:line="300" w:lineRule="exact"/>
              <w:jc w:val="center"/>
              <w:rPr>
                <w:rFonts w:ascii="Times New Roman" w:hAnsi="Times New Roman" w:cs="Times New Roman" w:eastAsiaTheme="majorEastAsia"/>
                <w:color w:val="000000" w:themeColor="text1"/>
                <w:szCs w:val="21"/>
              </w:rPr>
            </w:pPr>
            <w:r>
              <w:rPr>
                <w:rFonts w:ascii="Times New Roman" w:cs="Times New Roman" w:hAnsiTheme="majorEastAsia" w:eastAsiaTheme="majorEastAsia"/>
                <w:color w:val="000000" w:themeColor="text1"/>
                <w:szCs w:val="21"/>
              </w:rPr>
              <w:t>防渗及防腐措施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blHeader/>
        </w:trPr>
        <w:tc>
          <w:tcPr>
            <w:tcW w:w="443" w:type="dxa"/>
            <w:vAlign w:val="center"/>
          </w:tcPr>
          <w:p>
            <w:pPr>
              <w:snapToGrid w:val="0"/>
              <w:spacing w:line="300" w:lineRule="exact"/>
              <w:jc w:val="center"/>
              <w:rPr>
                <w:rFonts w:ascii="Times New Roman" w:hAnsi="Times New Roman" w:cs="Times New Roman" w:eastAsiaTheme="majorEastAsia"/>
                <w:color w:val="000000" w:themeColor="text1"/>
                <w:szCs w:val="21"/>
              </w:rPr>
            </w:pPr>
            <w:r>
              <w:rPr>
                <w:rFonts w:ascii="Times New Roman" w:hAnsi="Times New Roman" w:cs="Times New Roman" w:eastAsiaTheme="majorEastAsia"/>
                <w:color w:val="000000" w:themeColor="text1"/>
                <w:szCs w:val="21"/>
              </w:rPr>
              <w:t>1</w:t>
            </w:r>
          </w:p>
        </w:tc>
        <w:tc>
          <w:tcPr>
            <w:tcW w:w="1403" w:type="dxa"/>
            <w:vMerge w:val="restart"/>
            <w:vAlign w:val="center"/>
          </w:tcPr>
          <w:p>
            <w:pPr>
              <w:snapToGrid w:val="0"/>
              <w:spacing w:line="300" w:lineRule="exact"/>
              <w:jc w:val="center"/>
              <w:rPr>
                <w:rFonts w:ascii="Times New Roman" w:hAnsi="Times New Roman" w:cs="Times New Roman" w:eastAsiaTheme="majorEastAsia"/>
                <w:color w:val="000000" w:themeColor="text1"/>
                <w:szCs w:val="21"/>
              </w:rPr>
            </w:pPr>
            <w:r>
              <w:rPr>
                <w:rFonts w:ascii="Times New Roman" w:cs="Times New Roman" w:hAnsiTheme="majorEastAsia" w:eastAsiaTheme="majorEastAsia"/>
                <w:color w:val="000000" w:themeColor="text1"/>
                <w:szCs w:val="21"/>
              </w:rPr>
              <w:t>重点防渗区</w:t>
            </w:r>
          </w:p>
        </w:tc>
        <w:tc>
          <w:tcPr>
            <w:tcW w:w="2630" w:type="dxa"/>
            <w:vAlign w:val="center"/>
          </w:tcPr>
          <w:p>
            <w:pPr>
              <w:snapToGrid w:val="0"/>
              <w:spacing w:line="300" w:lineRule="exact"/>
              <w:jc w:val="center"/>
              <w:rPr>
                <w:rFonts w:ascii="Times New Roman" w:hAnsi="Times New Roman" w:cs="Times New Roman" w:eastAsiaTheme="majorEastAsia"/>
                <w:color w:val="000000" w:themeColor="text1"/>
                <w:szCs w:val="21"/>
              </w:rPr>
            </w:pPr>
            <w:r>
              <w:rPr>
                <w:rFonts w:hint="eastAsia" w:ascii="Times New Roman" w:cs="Times New Roman" w:hAnsiTheme="majorEastAsia" w:eastAsiaTheme="majorEastAsia"/>
                <w:color w:val="000000" w:themeColor="text1"/>
                <w:szCs w:val="21"/>
              </w:rPr>
              <w:t>医疗废物</w:t>
            </w:r>
            <w:r>
              <w:rPr>
                <w:rFonts w:ascii="Times New Roman" w:cs="Times New Roman" w:hAnsiTheme="majorEastAsia" w:eastAsiaTheme="majorEastAsia"/>
                <w:color w:val="000000" w:themeColor="text1"/>
                <w:szCs w:val="21"/>
              </w:rPr>
              <w:t>暂存间</w:t>
            </w:r>
          </w:p>
        </w:tc>
        <w:tc>
          <w:tcPr>
            <w:tcW w:w="3944" w:type="dxa"/>
            <w:vAlign w:val="center"/>
          </w:tcPr>
          <w:p>
            <w:pPr>
              <w:snapToGrid w:val="0"/>
              <w:spacing w:line="300" w:lineRule="exact"/>
              <w:jc w:val="center"/>
              <w:rPr>
                <w:rFonts w:ascii="Times New Roman" w:hAnsi="Times New Roman" w:cs="Times New Roman" w:eastAsiaTheme="majorEastAsia"/>
                <w:color w:val="000000" w:themeColor="text1"/>
                <w:szCs w:val="21"/>
              </w:rPr>
            </w:pPr>
            <w:r>
              <w:rPr>
                <w:rFonts w:hint="eastAsia" w:ascii="Times New Roman" w:cs="Times New Roman" w:hAnsiTheme="majorEastAsia" w:eastAsiaTheme="majorEastAsia"/>
                <w:color w:val="000000" w:themeColor="text1"/>
                <w:szCs w:val="21"/>
              </w:rPr>
              <w:t>医疗废物</w:t>
            </w:r>
            <w:r>
              <w:rPr>
                <w:rFonts w:ascii="Times New Roman" w:cs="Times New Roman" w:hAnsiTheme="majorEastAsia" w:eastAsiaTheme="majorEastAsia"/>
                <w:color w:val="000000" w:themeColor="text1"/>
                <w:szCs w:val="21"/>
              </w:rPr>
              <w:t>暂存间要防风、防雨、防晒。四周围堰</w:t>
            </w:r>
            <w:r>
              <w:rPr>
                <w:rFonts w:ascii="Times New Roman" w:hAnsi="Times New Roman" w:cs="Times New Roman" w:eastAsiaTheme="majorEastAsia"/>
                <w:color w:val="000000" w:themeColor="text1"/>
                <w:szCs w:val="21"/>
              </w:rPr>
              <w:t>0.3m</w:t>
            </w:r>
            <w:r>
              <w:rPr>
                <w:rFonts w:ascii="Times New Roman" w:cs="Times New Roman" w:hAnsiTheme="majorEastAsia" w:eastAsiaTheme="majorEastAsia"/>
                <w:color w:val="000000" w:themeColor="text1"/>
                <w:szCs w:val="21"/>
              </w:rPr>
              <w:t>，防渗采用</w:t>
            </w:r>
            <w:r>
              <w:rPr>
                <w:rFonts w:ascii="Times New Roman" w:hAnsi="Times New Roman" w:cs="Times New Roman" w:eastAsiaTheme="majorEastAsia"/>
                <w:color w:val="000000" w:themeColor="text1"/>
                <w:szCs w:val="21"/>
              </w:rPr>
              <w:t>“</w:t>
            </w:r>
            <w:r>
              <w:rPr>
                <w:rFonts w:ascii="Times New Roman" w:cs="Times New Roman" w:hAnsiTheme="majorEastAsia" w:eastAsiaTheme="majorEastAsia"/>
                <w:color w:val="000000" w:themeColor="text1"/>
                <w:szCs w:val="21"/>
              </w:rPr>
              <w:t>混凝土</w:t>
            </w:r>
            <w:r>
              <w:rPr>
                <w:rFonts w:ascii="Times New Roman" w:hAnsi="Times New Roman" w:cs="Times New Roman" w:eastAsiaTheme="majorEastAsia"/>
                <w:color w:val="000000" w:themeColor="text1"/>
                <w:szCs w:val="21"/>
              </w:rPr>
              <w:t>+</w:t>
            </w:r>
            <w:r>
              <w:rPr>
                <w:rFonts w:ascii="Times New Roman" w:cs="Times New Roman" w:hAnsiTheme="majorEastAsia" w:eastAsiaTheme="majorEastAsia"/>
                <w:color w:val="000000" w:themeColor="text1"/>
                <w:szCs w:val="21"/>
              </w:rPr>
              <w:t>环氧地坪</w:t>
            </w:r>
            <w:r>
              <w:rPr>
                <w:rFonts w:ascii="Times New Roman" w:hAnsi="Times New Roman" w:cs="Times New Roman" w:eastAsiaTheme="majorEastAsia"/>
                <w:color w:val="000000" w:themeColor="text1"/>
                <w:szCs w:val="21"/>
              </w:rPr>
              <w:t>”</w:t>
            </w:r>
            <w:r>
              <w:rPr>
                <w:rFonts w:ascii="Times New Roman" w:cs="Times New Roman" w:hAnsiTheme="majorEastAsia" w:eastAsiaTheme="majorEastAsia"/>
                <w:color w:val="000000" w:themeColor="text1"/>
                <w:szCs w:val="21"/>
              </w:rPr>
              <w:t>，墙壁、屋顶全密闭，门口双人双锁管理，渗透系数</w:t>
            </w:r>
            <w:r>
              <w:rPr>
                <w:rFonts w:ascii="Times New Roman" w:hAnsi="Times New Roman" w:cs="Times New Roman" w:eastAsiaTheme="majorEastAsia"/>
                <w:color w:val="000000" w:themeColor="text1"/>
                <w:szCs w:val="21"/>
              </w:rPr>
              <w:t>≤10</w:t>
            </w:r>
            <w:r>
              <w:rPr>
                <w:rFonts w:ascii="Times New Roman" w:hAnsi="Times New Roman" w:cs="Times New Roman" w:eastAsiaTheme="majorEastAsia"/>
                <w:color w:val="000000" w:themeColor="text1"/>
                <w:szCs w:val="21"/>
                <w:vertAlign w:val="superscript"/>
              </w:rPr>
              <w:t>-10</w:t>
            </w:r>
            <w:r>
              <w:rPr>
                <w:rFonts w:ascii="Times New Roman" w:hAnsi="Times New Roman" w:cs="Times New Roman" w:eastAsiaTheme="majorEastAsia"/>
                <w:color w:val="000000" w:themeColor="text1"/>
                <w:szCs w:val="21"/>
              </w:rPr>
              <w:t>cm/s</w:t>
            </w:r>
            <w:r>
              <w:rPr>
                <w:rFonts w:ascii="Times New Roman" w:cs="Times New Roman" w:hAnsiTheme="majorEastAsia" w:eastAsiaTheme="major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blHeader/>
        </w:trPr>
        <w:tc>
          <w:tcPr>
            <w:tcW w:w="443" w:type="dxa"/>
            <w:vAlign w:val="center"/>
          </w:tcPr>
          <w:p>
            <w:pPr>
              <w:snapToGrid w:val="0"/>
              <w:spacing w:line="300" w:lineRule="exact"/>
              <w:jc w:val="center"/>
              <w:rPr>
                <w:rFonts w:ascii="Times New Roman" w:hAnsi="Times New Roman" w:cs="Times New Roman" w:eastAsiaTheme="majorEastAsia"/>
                <w:color w:val="000000" w:themeColor="text1"/>
                <w:szCs w:val="21"/>
              </w:rPr>
            </w:pPr>
            <w:r>
              <w:rPr>
                <w:rFonts w:hint="eastAsia" w:ascii="Times New Roman" w:hAnsi="Times New Roman" w:cs="Times New Roman" w:eastAsiaTheme="majorEastAsia"/>
                <w:color w:val="000000" w:themeColor="text1"/>
                <w:szCs w:val="21"/>
              </w:rPr>
              <w:t>2</w:t>
            </w:r>
          </w:p>
        </w:tc>
        <w:tc>
          <w:tcPr>
            <w:tcW w:w="1403" w:type="dxa"/>
            <w:vMerge w:val="continue"/>
            <w:vAlign w:val="center"/>
          </w:tcPr>
          <w:p>
            <w:pPr>
              <w:snapToGrid w:val="0"/>
              <w:spacing w:line="300" w:lineRule="exact"/>
              <w:jc w:val="center"/>
              <w:rPr>
                <w:rFonts w:ascii="Times New Roman" w:cs="Times New Roman" w:hAnsiTheme="majorEastAsia" w:eastAsiaTheme="majorEastAsia"/>
                <w:color w:val="000000" w:themeColor="text1"/>
                <w:szCs w:val="21"/>
              </w:rPr>
            </w:pPr>
          </w:p>
        </w:tc>
        <w:tc>
          <w:tcPr>
            <w:tcW w:w="2630" w:type="dxa"/>
            <w:vAlign w:val="center"/>
          </w:tcPr>
          <w:p>
            <w:pPr>
              <w:snapToGrid w:val="0"/>
              <w:spacing w:line="300" w:lineRule="exact"/>
              <w:jc w:val="center"/>
              <w:rPr>
                <w:rFonts w:ascii="Times New Roman" w:cs="Times New Roman" w:hAnsiTheme="majorEastAsia" w:eastAsiaTheme="majorEastAsia"/>
                <w:color w:val="000000" w:themeColor="text1"/>
                <w:szCs w:val="21"/>
              </w:rPr>
            </w:pPr>
            <w:r>
              <w:rPr>
                <w:rFonts w:hint="eastAsia" w:ascii="Times New Roman" w:cs="Times New Roman" w:hAnsiTheme="majorEastAsia" w:eastAsiaTheme="majorEastAsia"/>
                <w:color w:val="000000" w:themeColor="text1"/>
                <w:szCs w:val="21"/>
              </w:rPr>
              <w:t>污水处理站</w:t>
            </w:r>
          </w:p>
        </w:tc>
        <w:tc>
          <w:tcPr>
            <w:tcW w:w="3944" w:type="dxa"/>
            <w:vAlign w:val="center"/>
          </w:tcPr>
          <w:p>
            <w:pPr>
              <w:snapToGrid w:val="0"/>
              <w:spacing w:line="300" w:lineRule="exact"/>
              <w:jc w:val="center"/>
              <w:rPr>
                <w:rFonts w:ascii="Times New Roman" w:cs="Times New Roman" w:hAnsiTheme="majorEastAsia" w:eastAsiaTheme="majorEastAsia"/>
                <w:snapToGrid w:val="0"/>
                <w:color w:val="000000" w:themeColor="text1"/>
                <w:szCs w:val="21"/>
              </w:rPr>
            </w:pPr>
            <w:r>
              <w:rPr>
                <w:rFonts w:ascii="Times New Roman" w:cs="Times New Roman" w:hAnsiTheme="majorEastAsia" w:eastAsiaTheme="majorEastAsia"/>
                <w:snapToGrid w:val="0"/>
                <w:color w:val="000000" w:themeColor="text1"/>
                <w:szCs w:val="21"/>
              </w:rPr>
              <w:t>池底与四壁采取三合土铺底，不低于</w:t>
            </w:r>
            <w:r>
              <w:rPr>
                <w:rFonts w:ascii="Times New Roman" w:hAnsi="Times New Roman" w:cs="Times New Roman" w:eastAsiaTheme="majorEastAsia"/>
                <w:snapToGrid w:val="0"/>
                <w:color w:val="000000" w:themeColor="text1"/>
                <w:szCs w:val="21"/>
              </w:rPr>
              <w:t>50cm</w:t>
            </w:r>
            <w:r>
              <w:rPr>
                <w:rFonts w:ascii="Times New Roman" w:cs="Times New Roman" w:hAnsiTheme="majorEastAsia" w:eastAsiaTheme="majorEastAsia"/>
                <w:snapToGrid w:val="0"/>
                <w:color w:val="000000" w:themeColor="text1"/>
                <w:szCs w:val="21"/>
              </w:rPr>
              <w:t>厚度，在上层铺设</w:t>
            </w:r>
            <w:r>
              <w:rPr>
                <w:rFonts w:ascii="Times New Roman" w:hAnsi="Times New Roman" w:cs="Times New Roman" w:eastAsiaTheme="majorEastAsia"/>
                <w:snapToGrid w:val="0"/>
                <w:color w:val="000000" w:themeColor="text1"/>
                <w:szCs w:val="21"/>
              </w:rPr>
              <w:t>10</w:t>
            </w:r>
            <w:r>
              <w:rPr>
                <w:rFonts w:ascii="Times New Roman" w:cs="Times New Roman" w:hAnsiTheme="majorEastAsia" w:eastAsiaTheme="majorEastAsia"/>
                <w:snapToGrid w:val="0"/>
                <w:color w:val="000000" w:themeColor="text1"/>
                <w:szCs w:val="21"/>
              </w:rPr>
              <w:t>～</w:t>
            </w:r>
            <w:r>
              <w:rPr>
                <w:rFonts w:ascii="Times New Roman" w:hAnsi="Times New Roman" w:cs="Times New Roman" w:eastAsiaTheme="majorEastAsia"/>
                <w:snapToGrid w:val="0"/>
                <w:color w:val="000000" w:themeColor="text1"/>
                <w:szCs w:val="21"/>
              </w:rPr>
              <w:t>15cm</w:t>
            </w:r>
            <w:r>
              <w:rPr>
                <w:rFonts w:ascii="Times New Roman" w:cs="Times New Roman" w:hAnsiTheme="majorEastAsia" w:eastAsiaTheme="majorEastAsia"/>
                <w:snapToGrid w:val="0"/>
                <w:color w:val="000000" w:themeColor="text1"/>
                <w:szCs w:val="21"/>
              </w:rPr>
              <w:t>厚的抗渗混凝土进行硬化，表面涂刷</w:t>
            </w:r>
            <w:r>
              <w:rPr>
                <w:rFonts w:ascii="Times New Roman" w:hAnsi="Times New Roman" w:cs="Times New Roman" w:eastAsiaTheme="majorEastAsia"/>
                <w:snapToGrid w:val="0"/>
                <w:color w:val="000000" w:themeColor="text1"/>
                <w:szCs w:val="21"/>
              </w:rPr>
              <w:t>2</w:t>
            </w:r>
            <w:r>
              <w:rPr>
                <w:rFonts w:ascii="Times New Roman" w:cs="Times New Roman" w:hAnsiTheme="majorEastAsia" w:eastAsiaTheme="majorEastAsia"/>
                <w:snapToGrid w:val="0"/>
                <w:color w:val="000000" w:themeColor="text1"/>
                <w:szCs w:val="21"/>
              </w:rPr>
              <w:t>层防渗、耐腐蚀基层，厚度不小于</w:t>
            </w:r>
            <w:r>
              <w:rPr>
                <w:rFonts w:ascii="Times New Roman" w:hAnsi="Times New Roman" w:cs="Times New Roman" w:eastAsiaTheme="majorEastAsia"/>
                <w:snapToGrid w:val="0"/>
                <w:color w:val="000000" w:themeColor="text1"/>
                <w:szCs w:val="21"/>
              </w:rPr>
              <w:t>1.5mm</w:t>
            </w:r>
            <w:r>
              <w:rPr>
                <w:rFonts w:ascii="Times New Roman" w:cs="Times New Roman" w:hAnsiTheme="majorEastAsia" w:eastAsiaTheme="majorEastAsia"/>
                <w:snapToGrid w:val="0"/>
                <w:color w:val="000000" w:themeColor="text1"/>
                <w:szCs w:val="21"/>
              </w:rPr>
              <w:t>。防渗层渗透系数不应大于</w:t>
            </w:r>
            <w:r>
              <w:rPr>
                <w:rFonts w:ascii="Times New Roman" w:hAnsi="Times New Roman" w:cs="Times New Roman" w:eastAsiaTheme="majorEastAsia"/>
                <w:snapToGrid w:val="0"/>
                <w:color w:val="000000" w:themeColor="text1"/>
                <w:szCs w:val="21"/>
              </w:rPr>
              <w:t>1</w:t>
            </w:r>
            <w:r>
              <w:rPr>
                <w:rFonts w:ascii="Times New Roman" w:hAnsi="Times New Roman" w:cs="Times New Roman" w:eastAsiaTheme="majorEastAsia"/>
                <w:color w:val="000000" w:themeColor="text1"/>
                <w:szCs w:val="21"/>
              </w:rPr>
              <w:t>×10</w:t>
            </w:r>
            <w:r>
              <w:rPr>
                <w:rFonts w:ascii="Times New Roman" w:hAnsi="Times New Roman" w:cs="Times New Roman" w:eastAsiaTheme="majorEastAsia"/>
                <w:color w:val="000000" w:themeColor="text1"/>
                <w:szCs w:val="21"/>
                <w:vertAlign w:val="superscript"/>
              </w:rPr>
              <w:t>-10</w:t>
            </w:r>
            <w:r>
              <w:rPr>
                <w:rFonts w:ascii="Times New Roman" w:hAnsi="Times New Roman" w:cs="Times New Roman" w:eastAsiaTheme="majorEastAsia"/>
                <w:color w:val="000000" w:themeColor="text1"/>
                <w:szCs w:val="21"/>
              </w:rPr>
              <w:t>m/s</w:t>
            </w:r>
            <w:r>
              <w:rPr>
                <w:rFonts w:ascii="Times New Roman" w:cs="Times New Roman" w:hAnsiTheme="majorEastAsia" w:eastAsiaTheme="major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blHeader/>
        </w:trPr>
        <w:tc>
          <w:tcPr>
            <w:tcW w:w="443" w:type="dxa"/>
            <w:vAlign w:val="center"/>
          </w:tcPr>
          <w:p>
            <w:pPr>
              <w:snapToGrid w:val="0"/>
              <w:spacing w:line="300" w:lineRule="exact"/>
              <w:jc w:val="center"/>
              <w:rPr>
                <w:rFonts w:ascii="Times New Roman" w:hAnsi="Times New Roman" w:cs="Times New Roman" w:eastAsiaTheme="majorEastAsia"/>
                <w:color w:val="000000" w:themeColor="text1"/>
                <w:szCs w:val="21"/>
              </w:rPr>
            </w:pPr>
            <w:r>
              <w:rPr>
                <w:rFonts w:hint="eastAsia" w:ascii="Times New Roman" w:hAnsi="Times New Roman" w:cs="Times New Roman" w:eastAsiaTheme="majorEastAsia"/>
                <w:color w:val="000000" w:themeColor="text1"/>
                <w:szCs w:val="21"/>
              </w:rPr>
              <w:t>3</w:t>
            </w:r>
          </w:p>
        </w:tc>
        <w:tc>
          <w:tcPr>
            <w:tcW w:w="1403" w:type="dxa"/>
            <w:vMerge w:val="restart"/>
            <w:vAlign w:val="center"/>
          </w:tcPr>
          <w:p>
            <w:pPr>
              <w:snapToGrid w:val="0"/>
              <w:spacing w:line="300" w:lineRule="exact"/>
              <w:jc w:val="center"/>
              <w:rPr>
                <w:rFonts w:ascii="Times New Roman" w:hAnsi="Times New Roman" w:cs="Times New Roman" w:eastAsiaTheme="majorEastAsia"/>
                <w:color w:val="000000" w:themeColor="text1"/>
                <w:szCs w:val="21"/>
              </w:rPr>
            </w:pPr>
            <w:r>
              <w:rPr>
                <w:rFonts w:ascii="Times New Roman" w:cs="Times New Roman" w:hAnsiTheme="majorEastAsia" w:eastAsiaTheme="majorEastAsia"/>
                <w:color w:val="000000" w:themeColor="text1"/>
                <w:szCs w:val="21"/>
              </w:rPr>
              <w:t>一般防渗区</w:t>
            </w:r>
          </w:p>
          <w:p>
            <w:pPr>
              <w:rPr>
                <w:rFonts w:ascii="Times New Roman" w:hAnsi="Times New Roman" w:cs="Times New Roman" w:eastAsiaTheme="majorEastAsia"/>
                <w:color w:val="000000" w:themeColor="text1"/>
                <w:szCs w:val="21"/>
              </w:rPr>
            </w:pPr>
          </w:p>
        </w:tc>
        <w:tc>
          <w:tcPr>
            <w:tcW w:w="2630" w:type="dxa"/>
            <w:vAlign w:val="center"/>
          </w:tcPr>
          <w:p>
            <w:pPr>
              <w:snapToGrid w:val="0"/>
              <w:spacing w:line="300" w:lineRule="exact"/>
              <w:jc w:val="center"/>
              <w:rPr>
                <w:rFonts w:ascii="Times New Roman" w:hAnsi="Times New Roman" w:cs="Times New Roman" w:eastAsiaTheme="majorEastAsia"/>
                <w:color w:val="000000" w:themeColor="text1"/>
                <w:szCs w:val="21"/>
              </w:rPr>
            </w:pPr>
            <w:r>
              <w:rPr>
                <w:rFonts w:hint="eastAsia" w:ascii="Times New Roman" w:cs="Times New Roman" w:hAnsiTheme="majorEastAsia" w:eastAsiaTheme="majorEastAsia"/>
                <w:color w:val="000000" w:themeColor="text1"/>
                <w:szCs w:val="21"/>
              </w:rPr>
              <w:t>化粪池</w:t>
            </w:r>
          </w:p>
        </w:tc>
        <w:tc>
          <w:tcPr>
            <w:tcW w:w="3944" w:type="dxa"/>
            <w:vMerge w:val="restart"/>
            <w:vAlign w:val="center"/>
          </w:tcPr>
          <w:p>
            <w:pPr>
              <w:snapToGrid w:val="0"/>
              <w:spacing w:line="300" w:lineRule="exact"/>
              <w:ind w:firstLine="420" w:firstLineChars="200"/>
              <w:jc w:val="center"/>
              <w:rPr>
                <w:rFonts w:ascii="Times New Roman" w:hAnsi="Times New Roman" w:cs="Times New Roman" w:eastAsiaTheme="majorEastAsia"/>
                <w:color w:val="000000" w:themeColor="text1"/>
                <w:szCs w:val="21"/>
              </w:rPr>
            </w:pPr>
            <w:r>
              <w:rPr>
                <w:rFonts w:ascii="Times New Roman" w:cs="Times New Roman" w:hAnsiTheme="majorEastAsia" w:eastAsiaTheme="majorEastAsia"/>
                <w:snapToGrid w:val="0"/>
                <w:color w:val="000000" w:themeColor="text1"/>
                <w:szCs w:val="21"/>
              </w:rPr>
              <w:t>地面采取三合土铺底，再在上层铺不小于</w:t>
            </w:r>
            <w:r>
              <w:rPr>
                <w:rFonts w:ascii="Times New Roman" w:hAnsi="Times New Roman" w:cs="Times New Roman" w:eastAsiaTheme="majorEastAsia"/>
                <w:snapToGrid w:val="0"/>
                <w:color w:val="000000" w:themeColor="text1"/>
                <w:szCs w:val="21"/>
              </w:rPr>
              <w:t>10cm</w:t>
            </w:r>
            <w:r>
              <w:rPr>
                <w:rFonts w:ascii="Times New Roman" w:cs="Times New Roman" w:hAnsiTheme="majorEastAsia" w:eastAsiaTheme="majorEastAsia"/>
                <w:snapToGrid w:val="0"/>
                <w:color w:val="000000" w:themeColor="text1"/>
                <w:szCs w:val="21"/>
              </w:rPr>
              <w:t>的水泥进行硬化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blHeader/>
        </w:trPr>
        <w:tc>
          <w:tcPr>
            <w:tcW w:w="443" w:type="dxa"/>
            <w:vAlign w:val="center"/>
          </w:tcPr>
          <w:p>
            <w:pPr>
              <w:snapToGrid w:val="0"/>
              <w:spacing w:line="300" w:lineRule="exact"/>
              <w:jc w:val="center"/>
              <w:rPr>
                <w:rFonts w:ascii="Times New Roman" w:hAnsi="Times New Roman" w:cs="Times New Roman" w:eastAsiaTheme="majorEastAsia"/>
                <w:color w:val="000000" w:themeColor="text1"/>
                <w:szCs w:val="21"/>
              </w:rPr>
            </w:pPr>
            <w:r>
              <w:rPr>
                <w:rFonts w:hint="eastAsia" w:ascii="Times New Roman" w:hAnsi="Times New Roman" w:cs="Times New Roman" w:eastAsiaTheme="majorEastAsia"/>
                <w:color w:val="000000" w:themeColor="text1"/>
                <w:szCs w:val="21"/>
              </w:rPr>
              <w:t>4</w:t>
            </w:r>
          </w:p>
        </w:tc>
        <w:tc>
          <w:tcPr>
            <w:tcW w:w="1403" w:type="dxa"/>
            <w:vMerge w:val="continue"/>
            <w:vAlign w:val="center"/>
          </w:tcPr>
          <w:p>
            <w:pPr>
              <w:snapToGrid w:val="0"/>
              <w:spacing w:line="300" w:lineRule="exact"/>
              <w:jc w:val="center"/>
              <w:rPr>
                <w:rFonts w:ascii="Times New Roman" w:hAnsi="Times New Roman" w:cs="Times New Roman" w:eastAsiaTheme="majorEastAsia"/>
                <w:color w:val="000000" w:themeColor="text1"/>
                <w:szCs w:val="21"/>
              </w:rPr>
            </w:pPr>
          </w:p>
        </w:tc>
        <w:tc>
          <w:tcPr>
            <w:tcW w:w="2630" w:type="dxa"/>
            <w:vAlign w:val="center"/>
          </w:tcPr>
          <w:p>
            <w:pPr>
              <w:snapToGrid w:val="0"/>
              <w:spacing w:line="300" w:lineRule="exact"/>
              <w:jc w:val="center"/>
              <w:rPr>
                <w:rFonts w:ascii="Times New Roman" w:hAnsi="Times New Roman" w:cs="Times New Roman" w:eastAsiaTheme="majorEastAsia"/>
                <w:color w:val="000000" w:themeColor="text1"/>
                <w:szCs w:val="21"/>
              </w:rPr>
            </w:pPr>
            <w:r>
              <w:rPr>
                <w:rFonts w:hint="eastAsia" w:ascii="Times New Roman" w:cs="Times New Roman" w:hAnsiTheme="majorEastAsia" w:eastAsiaTheme="majorEastAsia"/>
                <w:color w:val="000000" w:themeColor="text1"/>
                <w:szCs w:val="21"/>
              </w:rPr>
              <w:t>隔油池</w:t>
            </w:r>
          </w:p>
        </w:tc>
        <w:tc>
          <w:tcPr>
            <w:tcW w:w="3944" w:type="dxa"/>
            <w:vMerge w:val="continue"/>
            <w:vAlign w:val="center"/>
          </w:tcPr>
          <w:p>
            <w:pPr>
              <w:snapToGrid w:val="0"/>
              <w:spacing w:line="300" w:lineRule="exact"/>
              <w:ind w:firstLine="420" w:firstLineChars="200"/>
              <w:jc w:val="center"/>
              <w:rPr>
                <w:rFonts w:ascii="Times New Roman" w:hAnsi="Times New Roman" w:cs="Times New Roman" w:eastAsiaTheme="majorEastAsia"/>
                <w:snapToGrid w:val="0"/>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blHeader/>
        </w:trPr>
        <w:tc>
          <w:tcPr>
            <w:tcW w:w="443" w:type="dxa"/>
            <w:vAlign w:val="center"/>
          </w:tcPr>
          <w:p>
            <w:pPr>
              <w:snapToGrid w:val="0"/>
              <w:spacing w:line="300" w:lineRule="exact"/>
              <w:jc w:val="center"/>
              <w:rPr>
                <w:rFonts w:ascii="Times New Roman" w:hAnsi="Times New Roman" w:cs="Times New Roman" w:eastAsiaTheme="majorEastAsia"/>
                <w:color w:val="000000" w:themeColor="text1"/>
                <w:szCs w:val="21"/>
              </w:rPr>
            </w:pPr>
            <w:r>
              <w:rPr>
                <w:rFonts w:hint="eastAsia" w:ascii="Times New Roman" w:hAnsi="Times New Roman" w:cs="Times New Roman" w:eastAsiaTheme="majorEastAsia"/>
                <w:color w:val="000000" w:themeColor="text1"/>
                <w:szCs w:val="21"/>
              </w:rPr>
              <w:t>5</w:t>
            </w:r>
          </w:p>
        </w:tc>
        <w:tc>
          <w:tcPr>
            <w:tcW w:w="1403" w:type="dxa"/>
            <w:vMerge w:val="restart"/>
            <w:vAlign w:val="center"/>
          </w:tcPr>
          <w:p>
            <w:pPr>
              <w:snapToGrid w:val="0"/>
              <w:spacing w:line="300" w:lineRule="exact"/>
              <w:jc w:val="center"/>
              <w:rPr>
                <w:rFonts w:ascii="Times New Roman" w:hAnsi="Times New Roman" w:cs="Times New Roman" w:eastAsiaTheme="majorEastAsia"/>
                <w:color w:val="000000" w:themeColor="text1"/>
                <w:szCs w:val="21"/>
              </w:rPr>
            </w:pPr>
            <w:r>
              <w:rPr>
                <w:rFonts w:ascii="Times New Roman" w:cs="Times New Roman" w:hAnsiTheme="majorEastAsia" w:eastAsiaTheme="majorEastAsia"/>
                <w:color w:val="000000" w:themeColor="text1"/>
                <w:szCs w:val="21"/>
              </w:rPr>
              <w:t>非防渗区</w:t>
            </w:r>
          </w:p>
        </w:tc>
        <w:tc>
          <w:tcPr>
            <w:tcW w:w="2630" w:type="dxa"/>
            <w:vAlign w:val="center"/>
          </w:tcPr>
          <w:p>
            <w:pPr>
              <w:pStyle w:val="39"/>
              <w:spacing w:line="240" w:lineRule="auto"/>
              <w:rPr>
                <w:color w:val="000000" w:themeColor="text1"/>
                <w:szCs w:val="21"/>
              </w:rPr>
            </w:pPr>
            <w:r>
              <w:rPr>
                <w:rFonts w:hint="eastAsia"/>
                <w:color w:val="000000" w:themeColor="text1"/>
                <w:szCs w:val="21"/>
              </w:rPr>
              <w:t>门诊部</w:t>
            </w:r>
          </w:p>
        </w:tc>
        <w:tc>
          <w:tcPr>
            <w:tcW w:w="3944" w:type="dxa"/>
            <w:vMerge w:val="restart"/>
            <w:vAlign w:val="center"/>
          </w:tcPr>
          <w:p>
            <w:pPr>
              <w:snapToGrid w:val="0"/>
              <w:spacing w:line="300" w:lineRule="exact"/>
              <w:ind w:firstLine="420" w:firstLineChars="200"/>
              <w:jc w:val="center"/>
              <w:rPr>
                <w:rFonts w:ascii="Times New Roman" w:hAnsi="Times New Roman" w:cs="Times New Roman" w:eastAsiaTheme="majorEastAsia"/>
                <w:snapToGrid w:val="0"/>
                <w:color w:val="000000" w:themeColor="text1"/>
                <w:szCs w:val="21"/>
              </w:rPr>
            </w:pPr>
            <w:r>
              <w:rPr>
                <w:rFonts w:ascii="Times New Roman" w:cs="Times New Roman" w:hAnsiTheme="majorEastAsia" w:eastAsiaTheme="majorEastAsia"/>
                <w:snapToGrid w:val="0"/>
                <w:color w:val="000000" w:themeColor="text1"/>
                <w:szCs w:val="21"/>
              </w:rPr>
              <w:t>水泥硬化处理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blHeader/>
        </w:trPr>
        <w:tc>
          <w:tcPr>
            <w:tcW w:w="443" w:type="dxa"/>
            <w:vAlign w:val="center"/>
          </w:tcPr>
          <w:p>
            <w:pPr>
              <w:snapToGrid w:val="0"/>
              <w:spacing w:line="300" w:lineRule="exact"/>
              <w:jc w:val="center"/>
              <w:rPr>
                <w:rFonts w:ascii="Times New Roman" w:hAnsi="Times New Roman" w:cs="Times New Roman" w:eastAsiaTheme="majorEastAsia"/>
                <w:color w:val="000000" w:themeColor="text1"/>
                <w:szCs w:val="21"/>
              </w:rPr>
            </w:pPr>
            <w:r>
              <w:rPr>
                <w:rFonts w:hint="eastAsia" w:ascii="Times New Roman" w:hAnsi="Times New Roman" w:cs="Times New Roman" w:eastAsiaTheme="majorEastAsia"/>
                <w:color w:val="000000" w:themeColor="text1"/>
                <w:szCs w:val="21"/>
              </w:rPr>
              <w:t>6</w:t>
            </w:r>
          </w:p>
        </w:tc>
        <w:tc>
          <w:tcPr>
            <w:tcW w:w="1403" w:type="dxa"/>
            <w:vMerge w:val="continue"/>
            <w:vAlign w:val="center"/>
          </w:tcPr>
          <w:p>
            <w:pPr>
              <w:snapToGrid w:val="0"/>
              <w:spacing w:line="300" w:lineRule="exact"/>
              <w:jc w:val="center"/>
              <w:rPr>
                <w:rFonts w:ascii="Times New Roman" w:hAnsi="Times New Roman" w:cs="Times New Roman" w:eastAsiaTheme="majorEastAsia"/>
                <w:color w:val="000000" w:themeColor="text1"/>
                <w:szCs w:val="21"/>
              </w:rPr>
            </w:pPr>
          </w:p>
        </w:tc>
        <w:tc>
          <w:tcPr>
            <w:tcW w:w="2630" w:type="dxa"/>
            <w:vAlign w:val="center"/>
          </w:tcPr>
          <w:p>
            <w:pPr>
              <w:pStyle w:val="39"/>
              <w:spacing w:line="240" w:lineRule="auto"/>
              <w:rPr>
                <w:color w:val="000000" w:themeColor="text1"/>
                <w:szCs w:val="21"/>
              </w:rPr>
            </w:pPr>
            <w:r>
              <w:rPr>
                <w:rFonts w:hint="eastAsia"/>
                <w:color w:val="000000" w:themeColor="text1"/>
                <w:szCs w:val="21"/>
              </w:rPr>
              <w:t>住院部</w:t>
            </w:r>
          </w:p>
        </w:tc>
        <w:tc>
          <w:tcPr>
            <w:tcW w:w="3944" w:type="dxa"/>
            <w:vMerge w:val="continue"/>
            <w:vAlign w:val="center"/>
          </w:tcPr>
          <w:p>
            <w:pPr>
              <w:snapToGrid w:val="0"/>
              <w:spacing w:line="300" w:lineRule="exact"/>
              <w:ind w:firstLine="420" w:firstLineChars="200"/>
              <w:jc w:val="center"/>
              <w:rPr>
                <w:rFonts w:ascii="Times New Roman" w:hAnsi="Times New Roman" w:cs="Times New Roman" w:eastAsiaTheme="majorEastAsia"/>
                <w:snapToGrid w:val="0"/>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blHeader/>
        </w:trPr>
        <w:tc>
          <w:tcPr>
            <w:tcW w:w="443" w:type="dxa"/>
            <w:vAlign w:val="center"/>
          </w:tcPr>
          <w:p>
            <w:pPr>
              <w:snapToGrid w:val="0"/>
              <w:spacing w:line="300" w:lineRule="exact"/>
              <w:jc w:val="center"/>
              <w:rPr>
                <w:rFonts w:ascii="Times New Roman" w:hAnsi="Times New Roman" w:cs="Times New Roman" w:eastAsiaTheme="majorEastAsia"/>
                <w:color w:val="000000" w:themeColor="text1"/>
                <w:szCs w:val="21"/>
              </w:rPr>
            </w:pPr>
            <w:r>
              <w:rPr>
                <w:rFonts w:hint="eastAsia" w:ascii="Times New Roman" w:hAnsi="Times New Roman" w:cs="Times New Roman" w:eastAsiaTheme="majorEastAsia"/>
                <w:color w:val="000000" w:themeColor="text1"/>
                <w:szCs w:val="21"/>
              </w:rPr>
              <w:t>7</w:t>
            </w:r>
          </w:p>
        </w:tc>
        <w:tc>
          <w:tcPr>
            <w:tcW w:w="1403" w:type="dxa"/>
            <w:vMerge w:val="continue"/>
            <w:vAlign w:val="center"/>
          </w:tcPr>
          <w:p>
            <w:pPr>
              <w:snapToGrid w:val="0"/>
              <w:spacing w:line="300" w:lineRule="exact"/>
              <w:jc w:val="center"/>
              <w:rPr>
                <w:rFonts w:ascii="Times New Roman" w:hAnsi="Times New Roman" w:cs="Times New Roman" w:eastAsiaTheme="majorEastAsia"/>
                <w:color w:val="000000" w:themeColor="text1"/>
                <w:szCs w:val="21"/>
              </w:rPr>
            </w:pPr>
          </w:p>
        </w:tc>
        <w:tc>
          <w:tcPr>
            <w:tcW w:w="2630" w:type="dxa"/>
            <w:vAlign w:val="center"/>
          </w:tcPr>
          <w:p>
            <w:pPr>
              <w:pStyle w:val="39"/>
              <w:spacing w:line="240" w:lineRule="auto"/>
              <w:rPr>
                <w:color w:val="000000" w:themeColor="text1"/>
                <w:szCs w:val="21"/>
              </w:rPr>
            </w:pPr>
            <w:r>
              <w:rPr>
                <w:rFonts w:hint="eastAsia"/>
                <w:color w:val="000000" w:themeColor="text1"/>
                <w:szCs w:val="21"/>
              </w:rPr>
              <w:t>综合培训楼</w:t>
            </w:r>
          </w:p>
        </w:tc>
        <w:tc>
          <w:tcPr>
            <w:tcW w:w="3944" w:type="dxa"/>
            <w:vMerge w:val="continue"/>
            <w:vAlign w:val="center"/>
          </w:tcPr>
          <w:p>
            <w:pPr>
              <w:snapToGrid w:val="0"/>
              <w:spacing w:line="300" w:lineRule="exact"/>
              <w:ind w:firstLine="420" w:firstLineChars="200"/>
              <w:jc w:val="center"/>
              <w:rPr>
                <w:rFonts w:ascii="Times New Roman" w:hAnsi="Times New Roman" w:cs="Times New Roman" w:eastAsiaTheme="majorEastAsia"/>
                <w:snapToGrid w:val="0"/>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blHeader/>
        </w:trPr>
        <w:tc>
          <w:tcPr>
            <w:tcW w:w="443" w:type="dxa"/>
            <w:vAlign w:val="center"/>
          </w:tcPr>
          <w:p>
            <w:pPr>
              <w:snapToGrid w:val="0"/>
              <w:spacing w:line="300" w:lineRule="exact"/>
              <w:jc w:val="center"/>
              <w:rPr>
                <w:rFonts w:ascii="Times New Roman" w:hAnsi="Times New Roman" w:cs="Times New Roman" w:eastAsiaTheme="majorEastAsia"/>
                <w:color w:val="000000" w:themeColor="text1"/>
                <w:szCs w:val="21"/>
              </w:rPr>
            </w:pPr>
            <w:r>
              <w:rPr>
                <w:rFonts w:hint="eastAsia" w:ascii="Times New Roman" w:hAnsi="Times New Roman" w:cs="Times New Roman" w:eastAsiaTheme="majorEastAsia"/>
                <w:color w:val="000000" w:themeColor="text1"/>
                <w:szCs w:val="21"/>
              </w:rPr>
              <w:t>8</w:t>
            </w:r>
          </w:p>
        </w:tc>
        <w:tc>
          <w:tcPr>
            <w:tcW w:w="1403" w:type="dxa"/>
            <w:vMerge w:val="continue"/>
            <w:vAlign w:val="center"/>
          </w:tcPr>
          <w:p>
            <w:pPr>
              <w:snapToGrid w:val="0"/>
              <w:spacing w:line="300" w:lineRule="exact"/>
              <w:jc w:val="center"/>
              <w:rPr>
                <w:rFonts w:ascii="Times New Roman" w:hAnsi="Times New Roman" w:cs="Times New Roman" w:eastAsiaTheme="majorEastAsia"/>
                <w:color w:val="000000" w:themeColor="text1"/>
                <w:szCs w:val="21"/>
              </w:rPr>
            </w:pPr>
          </w:p>
        </w:tc>
        <w:tc>
          <w:tcPr>
            <w:tcW w:w="2630" w:type="dxa"/>
            <w:vAlign w:val="center"/>
          </w:tcPr>
          <w:p>
            <w:pPr>
              <w:pStyle w:val="39"/>
              <w:spacing w:line="240" w:lineRule="auto"/>
              <w:rPr>
                <w:color w:val="000000" w:themeColor="text1"/>
                <w:szCs w:val="21"/>
                <w:highlight w:val="yellow"/>
              </w:rPr>
            </w:pPr>
            <w:r>
              <w:rPr>
                <w:rFonts w:hint="eastAsia"/>
                <w:color w:val="000000" w:themeColor="text1"/>
                <w:szCs w:val="21"/>
              </w:rPr>
              <w:t>食堂</w:t>
            </w:r>
          </w:p>
        </w:tc>
        <w:tc>
          <w:tcPr>
            <w:tcW w:w="3944" w:type="dxa"/>
            <w:vMerge w:val="continue"/>
            <w:vAlign w:val="center"/>
          </w:tcPr>
          <w:p>
            <w:pPr>
              <w:snapToGrid w:val="0"/>
              <w:spacing w:line="300" w:lineRule="exact"/>
              <w:ind w:firstLine="420" w:firstLineChars="200"/>
              <w:jc w:val="center"/>
              <w:rPr>
                <w:rFonts w:ascii="Times New Roman" w:hAnsi="Times New Roman" w:cs="Times New Roman" w:eastAsiaTheme="majorEastAsia"/>
                <w:snapToGrid w:val="0"/>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tblHeader/>
        </w:trPr>
        <w:tc>
          <w:tcPr>
            <w:tcW w:w="443" w:type="dxa"/>
            <w:vAlign w:val="center"/>
          </w:tcPr>
          <w:p>
            <w:pPr>
              <w:snapToGrid w:val="0"/>
              <w:spacing w:line="300" w:lineRule="exact"/>
              <w:jc w:val="center"/>
              <w:rPr>
                <w:rFonts w:ascii="Times New Roman" w:hAnsi="Times New Roman" w:cs="Times New Roman" w:eastAsiaTheme="majorEastAsia"/>
                <w:color w:val="000000" w:themeColor="text1"/>
                <w:szCs w:val="21"/>
                <w:highlight w:val="yellow"/>
              </w:rPr>
            </w:pPr>
            <w:r>
              <w:rPr>
                <w:rFonts w:hint="eastAsia" w:ascii="Times New Roman" w:hAnsi="Times New Roman" w:cs="Times New Roman" w:eastAsiaTheme="majorEastAsia"/>
                <w:color w:val="000000" w:themeColor="text1"/>
                <w:szCs w:val="21"/>
              </w:rPr>
              <w:t>9</w:t>
            </w:r>
          </w:p>
        </w:tc>
        <w:tc>
          <w:tcPr>
            <w:tcW w:w="1403" w:type="dxa"/>
            <w:vMerge w:val="continue"/>
            <w:vAlign w:val="center"/>
          </w:tcPr>
          <w:p>
            <w:pPr>
              <w:snapToGrid w:val="0"/>
              <w:spacing w:line="300" w:lineRule="exact"/>
              <w:jc w:val="center"/>
              <w:rPr>
                <w:rFonts w:ascii="Times New Roman" w:hAnsi="Times New Roman" w:cs="Times New Roman" w:eastAsiaTheme="majorEastAsia"/>
                <w:color w:val="000000" w:themeColor="text1"/>
                <w:szCs w:val="21"/>
                <w:highlight w:val="yellow"/>
              </w:rPr>
            </w:pPr>
          </w:p>
        </w:tc>
        <w:tc>
          <w:tcPr>
            <w:tcW w:w="2630" w:type="dxa"/>
            <w:vAlign w:val="center"/>
          </w:tcPr>
          <w:p>
            <w:pPr>
              <w:snapToGrid w:val="0"/>
              <w:spacing w:line="300" w:lineRule="exact"/>
              <w:jc w:val="center"/>
              <w:rPr>
                <w:rFonts w:ascii="Times New Roman" w:hAnsi="Times New Roman" w:cs="Times New Roman" w:eastAsiaTheme="majorEastAsia"/>
                <w:color w:val="000000" w:themeColor="text1"/>
                <w:szCs w:val="21"/>
              </w:rPr>
            </w:pPr>
            <w:r>
              <w:rPr>
                <w:rFonts w:ascii="Times New Roman" w:cs="Times New Roman" w:hAnsiTheme="majorEastAsia" w:eastAsiaTheme="majorEastAsia"/>
                <w:color w:val="000000" w:themeColor="text1"/>
                <w:szCs w:val="21"/>
              </w:rPr>
              <w:t>绿化区</w:t>
            </w:r>
          </w:p>
        </w:tc>
        <w:tc>
          <w:tcPr>
            <w:tcW w:w="3944" w:type="dxa"/>
            <w:vAlign w:val="center"/>
          </w:tcPr>
          <w:p>
            <w:pPr>
              <w:snapToGrid w:val="0"/>
              <w:spacing w:line="300" w:lineRule="exact"/>
              <w:ind w:firstLine="420" w:firstLineChars="200"/>
              <w:jc w:val="center"/>
              <w:rPr>
                <w:rFonts w:ascii="Times New Roman" w:hAnsi="Times New Roman" w:cs="Times New Roman" w:eastAsiaTheme="majorEastAsia"/>
                <w:snapToGrid w:val="0"/>
                <w:color w:val="000000" w:themeColor="text1"/>
                <w:szCs w:val="21"/>
              </w:rPr>
            </w:pPr>
            <w:r>
              <w:rPr>
                <w:rFonts w:ascii="Times New Roman" w:cs="Times New Roman" w:hAnsiTheme="majorEastAsia" w:eastAsiaTheme="majorEastAsia"/>
                <w:snapToGrid w:val="0"/>
                <w:color w:val="000000" w:themeColor="text1"/>
                <w:szCs w:val="21"/>
              </w:rPr>
              <w:t>种植绿化</w:t>
            </w:r>
          </w:p>
        </w:tc>
      </w:tr>
    </w:tbl>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（3）</w:t>
      </w:r>
      <w:r>
        <w:rPr>
          <w:rFonts w:ascii="Times New Roman" w:hAnsi="Times New Roman" w:cs="Times New Roman"/>
          <w:sz w:val="24"/>
          <w:szCs w:val="24"/>
        </w:rPr>
        <w:t>对地下水的污染影响分析</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地表污染物质进入地下水含水层之前，首先要经过包气带地层，因此，包气带地层防护能力的强弱对保护地下水至关重要。一般来讲，包气带地层颗粒越细、厚度越大、空间分布连续性好、渗透性能差，就能阻滞污染物垂直入渗，保护地下水；反之则有利于污染物的垂直下渗，对地下水起不到保护作用。包气带防护能力与地层岩性、厚度、渗透性、吸附性等因素有关，根据本区工程地质勘察可知，项目所在区域包气带地层岩性为粉质粘土、粉土与中、粗砂，分布稳定，渗透性能中等，防护能力中等，污染物可能会随</w:t>
      </w:r>
      <w:r>
        <w:rPr>
          <w:rFonts w:hint="eastAsia" w:ascii="Times New Roman" w:hAnsi="Times New Roman" w:cs="Times New Roman"/>
          <w:sz w:val="24"/>
          <w:szCs w:val="24"/>
        </w:rPr>
        <w:t>入渗</w:t>
      </w:r>
      <w:r>
        <w:rPr>
          <w:rFonts w:ascii="Times New Roman" w:hAnsi="Times New Roman" w:cs="Times New Roman"/>
          <w:sz w:val="24"/>
          <w:szCs w:val="24"/>
        </w:rPr>
        <w:t>水穿越包气带进入第一含水层，污染浅层地下水。</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为防止污水通过渗漏进入地下水，建设单位必须认真搞好防渗等污染防治工作，污水管要确保质量，应用新型防渗性能良好的管材，如高密度聚乙烯管，增加管段长度，减少管道接口。污水管接头处、化粪池、污水处理站、医疗废物和生活垃圾收集及贮存系统必须采取严格的防渗措施，使其对地下水的污染影响减小到最低的限度</w:t>
      </w:r>
      <w:r>
        <w:rPr>
          <w:rFonts w:ascii="Times New Roman" w:hAnsi="Times New Roman" w:cs="Times New Roman"/>
          <w:sz w:val="24"/>
          <w:szCs w:val="24"/>
        </w:rPr>
        <w:t>；加强对项目下游地下水的监控、监测，同时加强项目</w:t>
      </w:r>
      <w:r>
        <w:rPr>
          <w:rFonts w:hint="eastAsia" w:ascii="Times New Roman" w:hAnsi="Times New Roman" w:cs="Times New Roman"/>
          <w:sz w:val="24"/>
          <w:szCs w:val="24"/>
        </w:rPr>
        <w:t>管理</w:t>
      </w:r>
      <w:r>
        <w:rPr>
          <w:rFonts w:ascii="Times New Roman" w:hAnsi="Times New Roman" w:cs="Times New Roman"/>
          <w:sz w:val="24"/>
          <w:szCs w:val="24"/>
        </w:rPr>
        <w:t>和维护，防止污水渗漏造成地下水污染</w:t>
      </w:r>
      <w:r>
        <w:rPr>
          <w:rFonts w:hint="eastAsia"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综上所述，项目所处区域包气带防污性能中等，通过做好防渗漏工作、污水治理设施的管理、维护和地下水的监测工作，可以使项目运营期不会对地下水环境产生明显环境影响。</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5.2.4声环境影响分析</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噪声源强</w:t>
      </w:r>
    </w:p>
    <w:p>
      <w:pPr>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本项目运营期间噪声污染源主要是污水处理站水泵和</w:t>
      </w:r>
      <w:r>
        <w:rPr>
          <w:rFonts w:hint="eastAsia" w:ascii="Times New Roman" w:hAnsi="Times New Roman" w:cs="Times New Roman"/>
          <w:bCs/>
          <w:sz w:val="24"/>
          <w:szCs w:val="24"/>
        </w:rPr>
        <w:t>中央空调</w:t>
      </w:r>
      <w:r>
        <w:rPr>
          <w:rFonts w:ascii="Times New Roman" w:hAnsi="Times New Roman" w:cs="Times New Roman"/>
          <w:bCs/>
          <w:sz w:val="24"/>
          <w:szCs w:val="24"/>
        </w:rPr>
        <w:t>冷却塔、风机噪声，源强8</w:t>
      </w:r>
      <w:r>
        <w:rPr>
          <w:rFonts w:hint="eastAsia" w:ascii="Times New Roman" w:hAnsi="Times New Roman" w:cs="Times New Roman"/>
          <w:bCs/>
          <w:sz w:val="24"/>
          <w:szCs w:val="24"/>
        </w:rPr>
        <w:t>0</w:t>
      </w:r>
      <w:r>
        <w:rPr>
          <w:rFonts w:ascii="Times New Roman" w:hAnsi="Times New Roman" w:cs="Times New Roman"/>
          <w:bCs/>
          <w:sz w:val="24"/>
          <w:szCs w:val="24"/>
        </w:rPr>
        <w:t>～</w:t>
      </w:r>
      <w:r>
        <w:rPr>
          <w:rFonts w:hint="eastAsia" w:ascii="Times New Roman" w:hAnsi="Times New Roman" w:cs="Times New Roman"/>
          <w:bCs/>
          <w:sz w:val="24"/>
          <w:szCs w:val="24"/>
        </w:rPr>
        <w:t>85</w:t>
      </w:r>
      <w:r>
        <w:rPr>
          <w:rFonts w:ascii="Times New Roman" w:hAnsi="Times New Roman" w:cs="Times New Roman"/>
          <w:bCs/>
          <w:sz w:val="24"/>
          <w:szCs w:val="24"/>
        </w:rPr>
        <w:t>dB（A）。噪声源治理前后的噪声级见表5-</w:t>
      </w:r>
      <w:r>
        <w:rPr>
          <w:rFonts w:hint="eastAsia" w:ascii="Times New Roman" w:hAnsi="Times New Roman" w:cs="Times New Roman"/>
          <w:bCs/>
          <w:sz w:val="24"/>
          <w:szCs w:val="24"/>
        </w:rPr>
        <w:t>25</w:t>
      </w:r>
      <w:r>
        <w:rPr>
          <w:rFonts w:ascii="Times New Roman" w:hAnsi="Times New Roman" w:cs="Times New Roman"/>
          <w:bCs/>
          <w:sz w:val="24"/>
          <w:szCs w:val="24"/>
        </w:rPr>
        <w:t>。</w:t>
      </w:r>
    </w:p>
    <w:p>
      <w:pPr>
        <w:spacing w:line="360" w:lineRule="auto"/>
        <w:ind w:firstLine="482" w:firstLineChars="200"/>
        <w:jc w:val="center"/>
        <w:rPr>
          <w:rFonts w:ascii="Times New Roman" w:hAnsi="Times New Roman" w:cs="Times New Roman"/>
          <w:b/>
          <w:bCs/>
          <w:sz w:val="24"/>
          <w:szCs w:val="24"/>
        </w:rPr>
      </w:pPr>
      <w:r>
        <w:rPr>
          <w:rFonts w:ascii="Times New Roman" w:hAnsi="Times New Roman" w:cs="Times New Roman"/>
          <w:b/>
          <w:bCs/>
          <w:sz w:val="24"/>
          <w:szCs w:val="24"/>
        </w:rPr>
        <w:t>表5-</w:t>
      </w:r>
      <w:r>
        <w:rPr>
          <w:rFonts w:hint="eastAsia" w:ascii="Times New Roman" w:hAnsi="Times New Roman" w:cs="Times New Roman"/>
          <w:b/>
          <w:bCs/>
          <w:sz w:val="24"/>
          <w:szCs w:val="24"/>
        </w:rPr>
        <w:t>25</w:t>
      </w:r>
      <w:r>
        <w:rPr>
          <w:rFonts w:ascii="Times New Roman" w:hAnsi="Times New Roman" w:cs="Times New Roman"/>
          <w:b/>
          <w:bCs/>
          <w:sz w:val="24"/>
          <w:szCs w:val="24"/>
        </w:rPr>
        <w:t xml:space="preserve">   主要噪声源源强及治理效果</w:t>
      </w:r>
    </w:p>
    <w:tbl>
      <w:tblPr>
        <w:tblStyle w:val="27"/>
        <w:tblW w:w="8522"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171"/>
        <w:gridCol w:w="682"/>
        <w:gridCol w:w="1560"/>
        <w:gridCol w:w="2241"/>
        <w:gridCol w:w="160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trPr>
        <w:tc>
          <w:tcPr>
            <w:tcW w:w="2437" w:type="dxa"/>
            <w:gridSpan w:val="2"/>
            <w:tcBorders>
              <w:top w:val="single" w:color="auto" w:sz="4" w:space="0"/>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噪声源名称</w:t>
            </w:r>
          </w:p>
        </w:tc>
        <w:tc>
          <w:tcPr>
            <w:tcW w:w="682" w:type="dxa"/>
            <w:tcBorders>
              <w:top w:val="single" w:color="auto" w:sz="4" w:space="0"/>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台数</w:t>
            </w:r>
          </w:p>
        </w:tc>
        <w:tc>
          <w:tcPr>
            <w:tcW w:w="1560" w:type="dxa"/>
            <w:tcBorders>
              <w:top w:val="single" w:color="auto" w:sz="4" w:space="0"/>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治理前噪声级</w:t>
            </w:r>
          </w:p>
        </w:tc>
        <w:tc>
          <w:tcPr>
            <w:tcW w:w="2241" w:type="dxa"/>
            <w:tcBorders>
              <w:top w:val="single" w:color="auto" w:sz="4" w:space="0"/>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治理措施</w:t>
            </w:r>
          </w:p>
        </w:tc>
        <w:tc>
          <w:tcPr>
            <w:tcW w:w="1602" w:type="dxa"/>
            <w:tcBorders>
              <w:top w:val="single" w:color="auto" w:sz="4" w:space="0"/>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治理后噪声级</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3" w:hRule="atLeast"/>
        </w:trPr>
        <w:tc>
          <w:tcPr>
            <w:tcW w:w="1266" w:type="dxa"/>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bCs/>
                <w:szCs w:val="21"/>
              </w:rPr>
              <w:t>污水处理站</w:t>
            </w:r>
          </w:p>
        </w:tc>
        <w:tc>
          <w:tcPr>
            <w:tcW w:w="1171" w:type="dxa"/>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bCs/>
                <w:szCs w:val="21"/>
              </w:rPr>
              <w:t>水泵</w:t>
            </w:r>
          </w:p>
        </w:tc>
        <w:tc>
          <w:tcPr>
            <w:tcW w:w="682" w:type="dxa"/>
            <w:vAlign w:val="center"/>
          </w:tcPr>
          <w:p>
            <w:pPr>
              <w:spacing w:line="28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560" w:type="dxa"/>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85dB(A)</w:t>
            </w:r>
          </w:p>
        </w:tc>
        <w:tc>
          <w:tcPr>
            <w:tcW w:w="2241" w:type="dxa"/>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水泵置于地下+</w:t>
            </w:r>
            <w:r>
              <w:rPr>
                <w:rFonts w:ascii="Times New Roman" w:hAnsi="Times New Roman" w:eastAsia="宋体" w:cs="Times New Roman"/>
                <w:bCs/>
                <w:szCs w:val="21"/>
              </w:rPr>
              <w:t>消声性能好的建筑材料+基础减</w:t>
            </w:r>
            <w:r>
              <w:rPr>
                <w:rFonts w:hint="eastAsia" w:ascii="Times New Roman" w:hAnsi="Times New Roman" w:eastAsia="宋体" w:cs="Times New Roman"/>
                <w:bCs/>
                <w:szCs w:val="21"/>
              </w:rPr>
              <w:t>振</w:t>
            </w:r>
          </w:p>
        </w:tc>
        <w:tc>
          <w:tcPr>
            <w:tcW w:w="1602" w:type="dxa"/>
            <w:vAlign w:val="center"/>
          </w:tcPr>
          <w:p>
            <w:pPr>
              <w:spacing w:line="280" w:lineRule="exact"/>
              <w:jc w:val="center"/>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0dB(A)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7" w:hRule="atLeast"/>
        </w:trPr>
        <w:tc>
          <w:tcPr>
            <w:tcW w:w="1266" w:type="dxa"/>
            <w:vMerge w:val="restart"/>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中央空调</w:t>
            </w:r>
          </w:p>
        </w:tc>
        <w:tc>
          <w:tcPr>
            <w:tcW w:w="1171" w:type="dxa"/>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风机</w:t>
            </w:r>
          </w:p>
        </w:tc>
        <w:tc>
          <w:tcPr>
            <w:tcW w:w="682" w:type="dxa"/>
            <w:vAlign w:val="center"/>
          </w:tcPr>
          <w:p>
            <w:pPr>
              <w:spacing w:line="28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560" w:type="dxa"/>
            <w:vAlign w:val="center"/>
          </w:tcPr>
          <w:p>
            <w:pPr>
              <w:spacing w:line="280" w:lineRule="exact"/>
              <w:jc w:val="center"/>
              <w:rPr>
                <w:rFonts w:ascii="Times New Roman" w:hAnsi="Times New Roman" w:eastAsia="宋体" w:cs="Times New Roman"/>
                <w:szCs w:val="21"/>
              </w:rPr>
            </w:pPr>
            <w:r>
              <w:rPr>
                <w:rFonts w:hint="eastAsia" w:ascii="Times New Roman" w:hAnsi="Times New Roman" w:eastAsia="宋体" w:cs="Times New Roman"/>
                <w:szCs w:val="21"/>
              </w:rPr>
              <w:t>8</w:t>
            </w:r>
            <w:r>
              <w:rPr>
                <w:rFonts w:ascii="Times New Roman" w:hAnsi="Times New Roman" w:eastAsia="宋体" w:cs="Times New Roman"/>
                <w:szCs w:val="21"/>
              </w:rPr>
              <w:t>0dB(A)</w:t>
            </w:r>
          </w:p>
        </w:tc>
        <w:tc>
          <w:tcPr>
            <w:tcW w:w="2241" w:type="dxa"/>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基础减振</w:t>
            </w:r>
            <w:r>
              <w:rPr>
                <w:rFonts w:hint="eastAsia" w:ascii="Times New Roman" w:hAnsi="Times New Roman" w:eastAsia="宋体" w:cs="Times New Roman"/>
                <w:szCs w:val="21"/>
              </w:rPr>
              <w:t>+</w:t>
            </w:r>
            <w:r>
              <w:rPr>
                <w:rFonts w:ascii="Times New Roman" w:hAnsi="Times New Roman" w:eastAsia="宋体" w:cs="Times New Roman"/>
                <w:szCs w:val="21"/>
              </w:rPr>
              <w:t>消音器</w:t>
            </w:r>
            <w:r>
              <w:rPr>
                <w:rFonts w:hint="eastAsia" w:ascii="Times New Roman" w:hAnsi="Times New Roman" w:eastAsia="宋体" w:cs="Times New Roman"/>
                <w:szCs w:val="21"/>
              </w:rPr>
              <w:t>+</w:t>
            </w:r>
            <w:r>
              <w:rPr>
                <w:rFonts w:ascii="Times New Roman" w:hAnsi="Times New Roman" w:eastAsia="宋体" w:cs="Times New Roman"/>
                <w:szCs w:val="21"/>
              </w:rPr>
              <w:t>软管连接</w:t>
            </w:r>
          </w:p>
        </w:tc>
        <w:tc>
          <w:tcPr>
            <w:tcW w:w="1602" w:type="dxa"/>
            <w:vAlign w:val="center"/>
          </w:tcPr>
          <w:p>
            <w:pPr>
              <w:spacing w:line="280" w:lineRule="exact"/>
              <w:jc w:val="center"/>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0dB(A)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06" w:hRule="atLeast"/>
        </w:trPr>
        <w:tc>
          <w:tcPr>
            <w:tcW w:w="1266" w:type="dxa"/>
            <w:vMerge w:val="continue"/>
            <w:vAlign w:val="center"/>
          </w:tcPr>
          <w:p>
            <w:pPr>
              <w:spacing w:line="280" w:lineRule="exact"/>
              <w:jc w:val="center"/>
              <w:rPr>
                <w:rFonts w:ascii="Times New Roman" w:hAnsi="Times New Roman" w:eastAsia="宋体" w:cs="Times New Roman"/>
                <w:bCs/>
                <w:szCs w:val="21"/>
              </w:rPr>
            </w:pPr>
          </w:p>
        </w:tc>
        <w:tc>
          <w:tcPr>
            <w:tcW w:w="1171" w:type="dxa"/>
            <w:vAlign w:val="center"/>
          </w:tcPr>
          <w:p>
            <w:pPr>
              <w:spacing w:line="280" w:lineRule="exact"/>
              <w:jc w:val="center"/>
              <w:rPr>
                <w:rFonts w:ascii="Times New Roman" w:hAnsi="Times New Roman" w:eastAsia="宋体" w:cs="Times New Roman"/>
                <w:bCs/>
                <w:szCs w:val="21"/>
              </w:rPr>
            </w:pPr>
            <w:r>
              <w:rPr>
                <w:rFonts w:ascii="Times New Roman" w:hAnsi="Times New Roman" w:eastAsia="宋体" w:cs="Times New Roman"/>
                <w:bCs/>
                <w:szCs w:val="21"/>
              </w:rPr>
              <w:t>冷却塔</w:t>
            </w:r>
          </w:p>
        </w:tc>
        <w:tc>
          <w:tcPr>
            <w:tcW w:w="682" w:type="dxa"/>
            <w:vAlign w:val="center"/>
          </w:tcPr>
          <w:p>
            <w:pPr>
              <w:spacing w:line="28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560" w:type="dxa"/>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85dB(A)</w:t>
            </w:r>
          </w:p>
        </w:tc>
        <w:tc>
          <w:tcPr>
            <w:tcW w:w="2241" w:type="dxa"/>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消声器</w:t>
            </w:r>
            <w:r>
              <w:rPr>
                <w:rFonts w:hint="eastAsia" w:ascii="Times New Roman" w:hAnsi="Times New Roman" w:eastAsia="宋体" w:cs="Times New Roman"/>
                <w:szCs w:val="21"/>
              </w:rPr>
              <w:t>+</w:t>
            </w:r>
            <w:r>
              <w:rPr>
                <w:rFonts w:ascii="Times New Roman" w:hAnsi="Times New Roman" w:eastAsia="宋体" w:cs="Times New Roman"/>
                <w:szCs w:val="21"/>
              </w:rPr>
              <w:t>基础减</w:t>
            </w:r>
            <w:r>
              <w:rPr>
                <w:rFonts w:hint="eastAsia" w:ascii="Times New Roman" w:hAnsi="Times New Roman" w:eastAsia="宋体" w:cs="Times New Roman"/>
                <w:szCs w:val="21"/>
              </w:rPr>
              <w:t>振+</w:t>
            </w:r>
            <w:r>
              <w:rPr>
                <w:rFonts w:ascii="Times New Roman" w:hAnsi="Times New Roman" w:eastAsia="宋体" w:cs="Times New Roman"/>
                <w:szCs w:val="21"/>
              </w:rPr>
              <w:t>铺设聚胺脂多孔泡沫塑料垫</w:t>
            </w:r>
          </w:p>
        </w:tc>
        <w:tc>
          <w:tcPr>
            <w:tcW w:w="1602" w:type="dxa"/>
            <w:vAlign w:val="center"/>
          </w:tcPr>
          <w:p>
            <w:pPr>
              <w:spacing w:line="280" w:lineRule="exact"/>
              <w:jc w:val="center"/>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0dB(A)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06" w:hRule="atLeast"/>
        </w:trPr>
        <w:tc>
          <w:tcPr>
            <w:tcW w:w="1266" w:type="dxa"/>
            <w:tcBorders>
              <w:bottom w:val="single" w:color="auto" w:sz="4" w:space="0"/>
            </w:tcBorders>
            <w:vAlign w:val="center"/>
          </w:tcPr>
          <w:p>
            <w:pPr>
              <w:spacing w:line="280" w:lineRule="exact"/>
              <w:jc w:val="center"/>
              <w:rPr>
                <w:rFonts w:ascii="Times New Roman" w:hAnsi="Times New Roman" w:eastAsia="宋体" w:cs="Times New Roman"/>
                <w:bCs/>
                <w:szCs w:val="21"/>
              </w:rPr>
            </w:pPr>
            <w:r>
              <w:rPr>
                <w:rFonts w:hint="eastAsia" w:ascii="Times New Roman" w:hAnsi="Times New Roman" w:eastAsia="宋体" w:cs="Times New Roman"/>
                <w:bCs/>
                <w:szCs w:val="21"/>
              </w:rPr>
              <w:t>废气治理设施</w:t>
            </w:r>
          </w:p>
        </w:tc>
        <w:tc>
          <w:tcPr>
            <w:tcW w:w="1171" w:type="dxa"/>
            <w:tcBorders>
              <w:bottom w:val="single" w:color="auto" w:sz="4" w:space="0"/>
            </w:tcBorders>
            <w:vAlign w:val="center"/>
          </w:tcPr>
          <w:p>
            <w:pPr>
              <w:spacing w:line="280" w:lineRule="exact"/>
              <w:jc w:val="center"/>
              <w:rPr>
                <w:rFonts w:ascii="Times New Roman" w:hAnsi="Times New Roman" w:eastAsia="宋体" w:cs="Times New Roman"/>
                <w:bCs/>
                <w:szCs w:val="21"/>
              </w:rPr>
            </w:pPr>
            <w:r>
              <w:rPr>
                <w:rFonts w:hint="eastAsia" w:ascii="Times New Roman" w:hAnsi="Times New Roman" w:eastAsia="宋体" w:cs="Times New Roman"/>
                <w:bCs/>
                <w:szCs w:val="21"/>
              </w:rPr>
              <w:t>风机</w:t>
            </w:r>
          </w:p>
        </w:tc>
        <w:tc>
          <w:tcPr>
            <w:tcW w:w="682" w:type="dxa"/>
            <w:tcBorders>
              <w:bottom w:val="single" w:color="auto" w:sz="4" w:space="0"/>
            </w:tcBorders>
            <w:vAlign w:val="center"/>
          </w:tcPr>
          <w:p>
            <w:pPr>
              <w:spacing w:line="28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560" w:type="dxa"/>
            <w:tcBorders>
              <w:bottom w:val="single" w:color="auto" w:sz="4" w:space="0"/>
            </w:tcBorders>
            <w:vAlign w:val="center"/>
          </w:tcPr>
          <w:p>
            <w:pPr>
              <w:spacing w:line="280" w:lineRule="exact"/>
              <w:jc w:val="center"/>
              <w:rPr>
                <w:rFonts w:ascii="Times New Roman" w:hAnsi="Times New Roman" w:eastAsia="宋体" w:cs="Times New Roman"/>
                <w:szCs w:val="21"/>
              </w:rPr>
            </w:pPr>
            <w:r>
              <w:rPr>
                <w:rFonts w:hint="eastAsia" w:ascii="Times New Roman" w:hAnsi="Times New Roman" w:eastAsia="宋体" w:cs="Times New Roman"/>
                <w:szCs w:val="21"/>
              </w:rPr>
              <w:t>8</w:t>
            </w:r>
            <w:r>
              <w:rPr>
                <w:rFonts w:ascii="Times New Roman" w:hAnsi="Times New Roman" w:eastAsia="宋体" w:cs="Times New Roman"/>
                <w:szCs w:val="21"/>
              </w:rPr>
              <w:t>0dB(A)</w:t>
            </w:r>
          </w:p>
        </w:tc>
        <w:tc>
          <w:tcPr>
            <w:tcW w:w="2241" w:type="dxa"/>
            <w:tcBorders>
              <w:bottom w:val="single" w:color="auto" w:sz="4" w:space="0"/>
            </w:tcBorders>
            <w:vAlign w:val="center"/>
          </w:tcPr>
          <w:p>
            <w:pPr>
              <w:spacing w:line="280" w:lineRule="exact"/>
              <w:jc w:val="center"/>
              <w:rPr>
                <w:rFonts w:ascii="Times New Roman" w:hAnsi="Times New Roman" w:eastAsia="宋体" w:cs="Times New Roman"/>
                <w:szCs w:val="21"/>
              </w:rPr>
            </w:pPr>
            <w:r>
              <w:rPr>
                <w:rFonts w:ascii="Times New Roman" w:hAnsi="Times New Roman" w:eastAsia="宋体" w:cs="Times New Roman"/>
                <w:szCs w:val="21"/>
              </w:rPr>
              <w:t>基础减振</w:t>
            </w:r>
            <w:r>
              <w:rPr>
                <w:rFonts w:hint="eastAsia" w:ascii="Times New Roman" w:hAnsi="Times New Roman" w:eastAsia="宋体" w:cs="Times New Roman"/>
                <w:szCs w:val="21"/>
              </w:rPr>
              <w:t>+</w:t>
            </w:r>
            <w:r>
              <w:rPr>
                <w:rFonts w:ascii="Times New Roman" w:hAnsi="Times New Roman" w:eastAsia="宋体" w:cs="Times New Roman"/>
                <w:szCs w:val="21"/>
              </w:rPr>
              <w:t>消音器</w:t>
            </w:r>
            <w:r>
              <w:rPr>
                <w:rFonts w:hint="eastAsia" w:ascii="Times New Roman" w:hAnsi="Times New Roman" w:eastAsia="宋体" w:cs="Times New Roman"/>
                <w:szCs w:val="21"/>
              </w:rPr>
              <w:t>+</w:t>
            </w:r>
            <w:r>
              <w:rPr>
                <w:rFonts w:ascii="Times New Roman" w:hAnsi="Times New Roman" w:eastAsia="宋体" w:cs="Times New Roman"/>
                <w:szCs w:val="21"/>
              </w:rPr>
              <w:t>软管连接</w:t>
            </w:r>
          </w:p>
        </w:tc>
        <w:tc>
          <w:tcPr>
            <w:tcW w:w="1602" w:type="dxa"/>
            <w:tcBorders>
              <w:bottom w:val="single" w:color="auto" w:sz="4" w:space="0"/>
            </w:tcBorders>
            <w:vAlign w:val="center"/>
          </w:tcPr>
          <w:p>
            <w:pPr>
              <w:spacing w:line="280" w:lineRule="exact"/>
              <w:jc w:val="center"/>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0dB(A)</w:t>
            </w:r>
          </w:p>
        </w:tc>
      </w:tr>
    </w:tbl>
    <w:p>
      <w:pPr>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为了控制噪声污染，污水处理站水泵</w:t>
      </w:r>
      <w:r>
        <w:rPr>
          <w:rFonts w:hint="eastAsia" w:ascii="Times New Roman" w:hAnsi="Times New Roman" w:cs="Times New Roman"/>
          <w:bCs/>
          <w:sz w:val="24"/>
          <w:szCs w:val="24"/>
        </w:rPr>
        <w:t>置于</w:t>
      </w:r>
      <w:r>
        <w:rPr>
          <w:rFonts w:ascii="Times New Roman" w:hAnsi="Times New Roman" w:cs="Times New Roman"/>
          <w:bCs/>
          <w:sz w:val="24"/>
          <w:szCs w:val="24"/>
        </w:rPr>
        <w:t>地下，选用消声性能好的建筑材料，并采取设置基础减振等隔声、降噪措施；冷却风机</w:t>
      </w:r>
      <w:r>
        <w:rPr>
          <w:rFonts w:hint="eastAsia" w:ascii="Times New Roman" w:hAnsi="Times New Roman" w:cs="Times New Roman"/>
          <w:bCs/>
          <w:sz w:val="24"/>
          <w:szCs w:val="24"/>
        </w:rPr>
        <w:t>、废气治理设施风机</w:t>
      </w:r>
      <w:r>
        <w:rPr>
          <w:rFonts w:ascii="Times New Roman" w:hAnsi="Times New Roman" w:cs="Times New Roman"/>
          <w:bCs/>
          <w:sz w:val="24"/>
          <w:szCs w:val="24"/>
        </w:rPr>
        <w:t>采取设置基础减振</w:t>
      </w:r>
      <w:r>
        <w:rPr>
          <w:rFonts w:hint="eastAsia" w:ascii="Times New Roman" w:hAnsi="Times New Roman" w:cs="Times New Roman"/>
          <w:bCs/>
          <w:sz w:val="24"/>
          <w:szCs w:val="24"/>
        </w:rPr>
        <w:t>、</w:t>
      </w:r>
      <w:r>
        <w:rPr>
          <w:rFonts w:ascii="Times New Roman" w:hAnsi="Times New Roman" w:cs="Times New Roman"/>
          <w:bCs/>
          <w:sz w:val="24"/>
          <w:szCs w:val="24"/>
        </w:rPr>
        <w:t>进出口加消音器</w:t>
      </w:r>
      <w:r>
        <w:rPr>
          <w:rFonts w:hint="eastAsia" w:ascii="Times New Roman" w:hAnsi="Times New Roman" w:cs="Times New Roman"/>
          <w:bCs/>
          <w:sz w:val="24"/>
          <w:szCs w:val="24"/>
        </w:rPr>
        <w:t>、</w:t>
      </w:r>
      <w:r>
        <w:rPr>
          <w:rFonts w:ascii="Times New Roman" w:hAnsi="Times New Roman" w:cs="Times New Roman"/>
          <w:bCs/>
          <w:sz w:val="24"/>
          <w:szCs w:val="24"/>
        </w:rPr>
        <w:t>用软管连接等隔声降噪措施</w:t>
      </w:r>
      <w:r>
        <w:rPr>
          <w:rFonts w:hint="eastAsia" w:ascii="Times New Roman" w:hAnsi="Times New Roman" w:cs="Times New Roman"/>
          <w:bCs/>
          <w:sz w:val="24"/>
          <w:szCs w:val="24"/>
        </w:rPr>
        <w:t>；</w:t>
      </w:r>
      <w:r>
        <w:rPr>
          <w:rFonts w:ascii="Times New Roman" w:hAnsi="Times New Roman" w:cs="Times New Roman"/>
          <w:bCs/>
          <w:sz w:val="24"/>
          <w:szCs w:val="24"/>
        </w:rPr>
        <w:t>选用低噪声冷却塔，在冷却塔进风百叶口和排风口加装消声器，对冷却塔进行基础减</w:t>
      </w:r>
      <w:r>
        <w:rPr>
          <w:rFonts w:hint="eastAsia" w:ascii="Times New Roman" w:hAnsi="Times New Roman" w:cs="Times New Roman"/>
          <w:bCs/>
          <w:sz w:val="24"/>
          <w:szCs w:val="24"/>
        </w:rPr>
        <w:t>振</w:t>
      </w:r>
      <w:r>
        <w:rPr>
          <w:rFonts w:ascii="Times New Roman" w:hAnsi="Times New Roman" w:cs="Times New Roman"/>
          <w:bCs/>
          <w:sz w:val="24"/>
          <w:szCs w:val="24"/>
        </w:rPr>
        <w:t>，受水盘水面铺设聚胺脂多孔泡沫塑料垫</w:t>
      </w:r>
      <w:r>
        <w:rPr>
          <w:rFonts w:hint="eastAsia" w:ascii="Times New Roman" w:hAnsi="Times New Roman" w:cs="Times New Roman"/>
          <w:bCs/>
          <w:sz w:val="24"/>
          <w:szCs w:val="24"/>
        </w:rPr>
        <w:t>。</w:t>
      </w:r>
      <w:r>
        <w:rPr>
          <w:rFonts w:ascii="Times New Roman" w:hAnsi="Times New Roman" w:cs="Times New Roman"/>
          <w:bCs/>
          <w:sz w:val="24"/>
          <w:szCs w:val="24"/>
        </w:rPr>
        <w:t>采取上述措施后，噪声源声级降至5</w:t>
      </w:r>
      <w:r>
        <w:rPr>
          <w:rFonts w:hint="eastAsia" w:ascii="Times New Roman" w:hAnsi="Times New Roman" w:cs="Times New Roman"/>
          <w:bCs/>
          <w:sz w:val="24"/>
          <w:szCs w:val="24"/>
        </w:rPr>
        <w:t>0</w:t>
      </w:r>
      <w:r>
        <w:rPr>
          <w:rFonts w:ascii="Times New Roman" w:hAnsi="Times New Roman" w:cs="Times New Roman"/>
          <w:bCs/>
          <w:sz w:val="24"/>
          <w:szCs w:val="24"/>
        </w:rPr>
        <w:t>dB（A）。</w:t>
      </w:r>
    </w:p>
    <w:p>
      <w:pPr>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sz w:val="24"/>
          <w:szCs w:val="24"/>
        </w:rPr>
        <w:t>（2）预测模式</w:t>
      </w:r>
    </w:p>
    <w:p>
      <w:pPr>
        <w:spacing w:line="360" w:lineRule="auto"/>
        <w:ind w:firstLine="522"/>
        <w:rPr>
          <w:sz w:val="24"/>
          <w:szCs w:val="24"/>
        </w:rPr>
      </w:pPr>
      <w:r>
        <w:rPr>
          <w:sz w:val="24"/>
          <w:szCs w:val="24"/>
        </w:rPr>
        <w:t>采用点声源衰减模式：</w:t>
      </w:r>
    </w:p>
    <w:p>
      <w:pPr>
        <w:spacing w:line="360" w:lineRule="auto"/>
        <w:jc w:val="center"/>
        <w:rPr>
          <w:sz w:val="24"/>
          <w:szCs w:val="24"/>
        </w:rPr>
      </w:pPr>
      <w:r>
        <w:rPr>
          <w:position w:val="-14"/>
          <w:sz w:val="24"/>
          <w:szCs w:val="24"/>
        </w:rPr>
        <w:object>
          <v:shape id="_x0000_i1043" o:spt="75" type="#_x0000_t75" style="height:18.75pt;width:228.75pt;" o:ole="t" filled="f" o:preferrelative="t" stroked="f" coordsize="21600,21600">
            <v:path/>
            <v:fill on="f" focussize="0,0"/>
            <v:stroke on="f" joinstyle="miter"/>
            <v:imagedata r:id="rId51" o:title=""/>
            <o:lock v:ext="edit" aspectratio="t"/>
            <w10:wrap type="none"/>
            <w10:anchorlock/>
          </v:shape>
          <o:OLEObject Type="Embed" ProgID="Equations" ShapeID="_x0000_i1043" DrawAspect="Content" ObjectID="_1468075744" r:id="rId50">
            <o:LockedField>false</o:LockedField>
          </o:OLEObject>
        </w:object>
      </w:r>
    </w:p>
    <w:p>
      <w:pPr>
        <w:spacing w:line="360" w:lineRule="auto"/>
        <w:ind w:firstLine="480" w:firstLineChars="200"/>
        <w:rPr>
          <w:sz w:val="24"/>
          <w:szCs w:val="24"/>
        </w:rPr>
      </w:pPr>
      <w:r>
        <w:rPr>
          <w:sz w:val="24"/>
          <w:szCs w:val="24"/>
        </w:rPr>
        <w:t>式中：L</w:t>
      </w:r>
      <w:r>
        <w:rPr>
          <w:sz w:val="24"/>
          <w:szCs w:val="24"/>
          <w:vertAlign w:val="subscript"/>
        </w:rPr>
        <w:t>A</w:t>
      </w:r>
      <w:r>
        <w:rPr>
          <w:sz w:val="24"/>
          <w:szCs w:val="24"/>
        </w:rPr>
        <w:t>(r) —— 距离声源r处的A声级，dB(A)；</w:t>
      </w:r>
    </w:p>
    <w:p>
      <w:pPr>
        <w:spacing w:line="360" w:lineRule="auto"/>
        <w:ind w:firstLine="1200" w:firstLineChars="500"/>
        <w:rPr>
          <w:sz w:val="24"/>
          <w:szCs w:val="24"/>
        </w:rPr>
      </w:pPr>
      <w:r>
        <w:rPr>
          <w:sz w:val="24"/>
          <w:szCs w:val="24"/>
        </w:rPr>
        <w:t>L</w:t>
      </w:r>
      <w:r>
        <w:rPr>
          <w:sz w:val="24"/>
          <w:szCs w:val="24"/>
          <w:vertAlign w:val="subscript"/>
        </w:rPr>
        <w:t>A</w:t>
      </w:r>
      <w:r>
        <w:rPr>
          <w:sz w:val="24"/>
          <w:szCs w:val="24"/>
        </w:rPr>
        <w:t>(r</w:t>
      </w:r>
      <w:r>
        <w:rPr>
          <w:sz w:val="24"/>
          <w:szCs w:val="24"/>
          <w:vertAlign w:val="subscript"/>
        </w:rPr>
        <w:t>0</w:t>
      </w:r>
      <w:r>
        <w:rPr>
          <w:sz w:val="24"/>
          <w:szCs w:val="24"/>
        </w:rPr>
        <w:t>) —— 距离声源r</w:t>
      </w:r>
      <w:r>
        <w:rPr>
          <w:sz w:val="24"/>
          <w:szCs w:val="24"/>
          <w:vertAlign w:val="subscript"/>
        </w:rPr>
        <w:t>0</w:t>
      </w:r>
      <w:r>
        <w:rPr>
          <w:sz w:val="24"/>
          <w:szCs w:val="24"/>
        </w:rPr>
        <w:t>处的A声级，dB(A)；</w:t>
      </w:r>
    </w:p>
    <w:p>
      <w:pPr>
        <w:spacing w:line="360" w:lineRule="auto"/>
        <w:ind w:firstLine="1200" w:firstLineChars="500"/>
        <w:rPr>
          <w:sz w:val="24"/>
          <w:szCs w:val="24"/>
        </w:rPr>
      </w:pPr>
      <w:r>
        <w:rPr>
          <w:sz w:val="24"/>
          <w:szCs w:val="24"/>
        </w:rPr>
        <w:t>r —— 距声源的距离，m；</w:t>
      </w:r>
    </w:p>
    <w:p>
      <w:pPr>
        <w:spacing w:line="360" w:lineRule="auto"/>
        <w:ind w:firstLine="1200" w:firstLineChars="500"/>
        <w:rPr>
          <w:sz w:val="24"/>
          <w:szCs w:val="24"/>
        </w:rPr>
      </w:pPr>
      <w:r>
        <w:rPr>
          <w:sz w:val="24"/>
          <w:szCs w:val="24"/>
        </w:rPr>
        <w:t>r</w:t>
      </w:r>
      <w:r>
        <w:rPr>
          <w:sz w:val="24"/>
          <w:szCs w:val="24"/>
          <w:vertAlign w:val="subscript"/>
        </w:rPr>
        <w:t>0</w:t>
      </w:r>
      <w:r>
        <w:rPr>
          <w:sz w:val="24"/>
          <w:szCs w:val="24"/>
        </w:rPr>
        <w:t xml:space="preserve"> —— 距声源的距离，m；</w:t>
      </w:r>
    </w:p>
    <w:p>
      <w:pPr>
        <w:spacing w:line="360" w:lineRule="auto"/>
        <w:ind w:firstLine="1080" w:firstLineChars="450"/>
        <w:rPr>
          <w:sz w:val="24"/>
          <w:szCs w:val="24"/>
        </w:rPr>
      </w:pPr>
      <w:r>
        <w:rPr>
          <w:sz w:val="24"/>
          <w:szCs w:val="24"/>
        </w:rPr>
        <w:t>ΔL——各种因素引起的衰减量，预测过程中对于屏障衰减只考虑厂房等围护结构造成的传声损失，对空气吸收和其它附加衰减忽略不计。</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（3）预测结果</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产噪设备声级值，代入模式计算，项目运行过程中，各预测点声级值预测结果见表</w:t>
      </w:r>
      <w:r>
        <w:rPr>
          <w:rFonts w:hint="eastAsia" w:ascii="Times New Roman" w:hAnsi="Times New Roman" w:cs="Times New Roman"/>
          <w:color w:val="000000" w:themeColor="text1"/>
          <w:sz w:val="24"/>
          <w:szCs w:val="24"/>
        </w:rPr>
        <w:t>5-26</w:t>
      </w:r>
      <w:r>
        <w:rPr>
          <w:rFonts w:ascii="Times New Roman" w:hAnsi="Times New Roman" w:cs="Times New Roman"/>
          <w:color w:val="000000" w:themeColor="text1"/>
          <w:sz w:val="24"/>
          <w:szCs w:val="24"/>
        </w:rPr>
        <w:t>。</w:t>
      </w:r>
    </w:p>
    <w:p>
      <w:pPr>
        <w:spacing w:line="360" w:lineRule="auto"/>
        <w:ind w:firstLine="482" w:firstLineChars="200"/>
        <w:jc w:val="center"/>
        <w:rPr>
          <w:rFonts w:ascii="Times New Roman" w:hAnsi="Times New Roman" w:cs="Times New Roman"/>
          <w:b/>
          <w:color w:val="000000" w:themeColor="text1"/>
          <w:kern w:val="0"/>
          <w:sz w:val="24"/>
        </w:rPr>
      </w:pPr>
      <w:r>
        <w:rPr>
          <w:rFonts w:ascii="Times New Roman" w:hAnsi="Times New Roman" w:cs="Times New Roman"/>
          <w:b/>
          <w:color w:val="000000" w:themeColor="text1"/>
          <w:kern w:val="0"/>
          <w:sz w:val="24"/>
        </w:rPr>
        <w:t>表</w:t>
      </w:r>
      <w:r>
        <w:rPr>
          <w:rFonts w:hint="eastAsia" w:ascii="Times New Roman" w:hAnsi="Times New Roman" w:cs="Times New Roman"/>
          <w:b/>
          <w:color w:val="000000" w:themeColor="text1"/>
          <w:kern w:val="0"/>
          <w:sz w:val="24"/>
        </w:rPr>
        <w:t>5-26</w:t>
      </w:r>
      <w:r>
        <w:rPr>
          <w:rFonts w:ascii="Times New Roman" w:hAnsi="Times New Roman" w:cs="Times New Roman"/>
          <w:b/>
          <w:color w:val="000000" w:themeColor="text1"/>
          <w:kern w:val="0"/>
          <w:sz w:val="24"/>
        </w:rPr>
        <w:t xml:space="preserve">  噪声预测结果一览表</w:t>
      </w:r>
    </w:p>
    <w:tbl>
      <w:tblPr>
        <w:tblStyle w:val="27"/>
        <w:tblW w:w="83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47"/>
        <w:gridCol w:w="1075"/>
        <w:gridCol w:w="1074"/>
        <w:gridCol w:w="1074"/>
        <w:gridCol w:w="975"/>
        <w:gridCol w:w="973"/>
        <w:gridCol w:w="972"/>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247" w:type="dxa"/>
            <w:tcBorders>
              <w:top w:val="single" w:color="auto" w:sz="4" w:space="0"/>
              <w:left w:val="single" w:color="auto" w:sz="4" w:space="0"/>
              <w:bottom w:val="single" w:color="auto" w:sz="4" w:space="0"/>
              <w:tl2br w:val="single" w:color="auto" w:sz="4" w:space="0"/>
            </w:tcBorders>
            <w:vAlign w:val="center"/>
          </w:tcPr>
          <w:p>
            <w:pPr>
              <w:jc w:val="center"/>
              <w:rPr>
                <w:b/>
                <w:color w:val="000000" w:themeColor="text1"/>
                <w:szCs w:val="21"/>
              </w:rPr>
            </w:pPr>
            <w:r>
              <w:rPr>
                <w:b/>
                <w:color w:val="000000" w:themeColor="text1"/>
                <w:szCs w:val="21"/>
              </w:rPr>
              <w:t>预测点</w:t>
            </w:r>
          </w:p>
          <w:p>
            <w:pPr>
              <w:rPr>
                <w:b/>
                <w:color w:val="000000" w:themeColor="text1"/>
                <w:szCs w:val="21"/>
              </w:rPr>
            </w:pPr>
            <w:r>
              <w:rPr>
                <w:b/>
                <w:color w:val="000000" w:themeColor="text1"/>
                <w:szCs w:val="21"/>
              </w:rPr>
              <w:t>项 目</w:t>
            </w:r>
          </w:p>
        </w:tc>
        <w:tc>
          <w:tcPr>
            <w:tcW w:w="1075" w:type="dxa"/>
            <w:tcBorders>
              <w:top w:val="single" w:color="auto" w:sz="4" w:space="0"/>
            </w:tcBorders>
            <w:vAlign w:val="center"/>
          </w:tcPr>
          <w:p>
            <w:pPr>
              <w:jc w:val="center"/>
              <w:rPr>
                <w:b/>
                <w:color w:val="000000" w:themeColor="text1"/>
                <w:szCs w:val="21"/>
              </w:rPr>
            </w:pPr>
            <w:r>
              <w:rPr>
                <w:b/>
                <w:color w:val="000000" w:themeColor="text1"/>
                <w:szCs w:val="21"/>
              </w:rPr>
              <w:t>东厂界</w:t>
            </w:r>
          </w:p>
        </w:tc>
        <w:tc>
          <w:tcPr>
            <w:tcW w:w="1074" w:type="dxa"/>
            <w:tcBorders>
              <w:top w:val="single" w:color="auto" w:sz="4" w:space="0"/>
            </w:tcBorders>
            <w:vAlign w:val="center"/>
          </w:tcPr>
          <w:p>
            <w:pPr>
              <w:jc w:val="center"/>
              <w:rPr>
                <w:b/>
                <w:color w:val="000000" w:themeColor="text1"/>
                <w:szCs w:val="21"/>
              </w:rPr>
            </w:pPr>
            <w:r>
              <w:rPr>
                <w:b/>
                <w:color w:val="000000" w:themeColor="text1"/>
                <w:szCs w:val="21"/>
              </w:rPr>
              <w:t>南厂界</w:t>
            </w:r>
          </w:p>
        </w:tc>
        <w:tc>
          <w:tcPr>
            <w:tcW w:w="1074" w:type="dxa"/>
            <w:tcBorders>
              <w:top w:val="single" w:color="auto" w:sz="4" w:space="0"/>
            </w:tcBorders>
            <w:vAlign w:val="center"/>
          </w:tcPr>
          <w:p>
            <w:pPr>
              <w:jc w:val="center"/>
              <w:rPr>
                <w:b/>
                <w:color w:val="000000" w:themeColor="text1"/>
                <w:szCs w:val="21"/>
              </w:rPr>
            </w:pPr>
            <w:r>
              <w:rPr>
                <w:b/>
                <w:color w:val="000000" w:themeColor="text1"/>
                <w:szCs w:val="21"/>
              </w:rPr>
              <w:t>西厂界</w:t>
            </w:r>
          </w:p>
        </w:tc>
        <w:tc>
          <w:tcPr>
            <w:tcW w:w="975" w:type="dxa"/>
            <w:tcBorders>
              <w:top w:val="single" w:color="auto" w:sz="4" w:space="0"/>
              <w:right w:val="single" w:color="auto" w:sz="4" w:space="0"/>
            </w:tcBorders>
            <w:vAlign w:val="center"/>
          </w:tcPr>
          <w:p>
            <w:pPr>
              <w:jc w:val="center"/>
              <w:rPr>
                <w:b/>
                <w:color w:val="000000" w:themeColor="text1"/>
                <w:szCs w:val="21"/>
              </w:rPr>
            </w:pPr>
            <w:r>
              <w:rPr>
                <w:b/>
                <w:color w:val="000000" w:themeColor="text1"/>
                <w:szCs w:val="21"/>
              </w:rPr>
              <w:t>北厂界</w:t>
            </w:r>
          </w:p>
        </w:tc>
        <w:tc>
          <w:tcPr>
            <w:tcW w:w="973" w:type="dxa"/>
            <w:tcBorders>
              <w:top w:val="single" w:color="auto" w:sz="4" w:space="0"/>
              <w:right w:val="single" w:color="auto" w:sz="4" w:space="0"/>
            </w:tcBorders>
          </w:tcPr>
          <w:p>
            <w:pPr>
              <w:jc w:val="center"/>
              <w:rPr>
                <w:b/>
                <w:color w:val="000000" w:themeColor="text1"/>
                <w:szCs w:val="21"/>
              </w:rPr>
            </w:pPr>
            <w:r>
              <w:rPr>
                <w:rFonts w:hint="eastAsia"/>
                <w:b/>
                <w:color w:val="000000" w:themeColor="text1"/>
                <w:szCs w:val="21"/>
              </w:rPr>
              <w:t>文景苑小区</w:t>
            </w:r>
          </w:p>
        </w:tc>
        <w:tc>
          <w:tcPr>
            <w:tcW w:w="972" w:type="dxa"/>
            <w:tcBorders>
              <w:top w:val="single" w:color="auto" w:sz="4" w:space="0"/>
              <w:right w:val="single" w:color="auto" w:sz="4" w:space="0"/>
            </w:tcBorders>
          </w:tcPr>
          <w:p>
            <w:pPr>
              <w:jc w:val="center"/>
              <w:rPr>
                <w:b/>
                <w:color w:val="000000" w:themeColor="text1"/>
                <w:szCs w:val="21"/>
              </w:rPr>
            </w:pPr>
            <w:r>
              <w:rPr>
                <w:rFonts w:hint="eastAsia"/>
                <w:b/>
                <w:color w:val="000000" w:themeColor="text1"/>
                <w:szCs w:val="21"/>
              </w:rPr>
              <w:t>中央司法警官学院</w:t>
            </w:r>
          </w:p>
        </w:tc>
        <w:tc>
          <w:tcPr>
            <w:tcW w:w="972" w:type="dxa"/>
            <w:tcBorders>
              <w:top w:val="single" w:color="auto" w:sz="4" w:space="0"/>
              <w:right w:val="single" w:color="auto" w:sz="4" w:space="0"/>
            </w:tcBorders>
          </w:tcPr>
          <w:p>
            <w:pPr>
              <w:jc w:val="center"/>
              <w:rPr>
                <w:b/>
                <w:color w:val="000000" w:themeColor="text1"/>
                <w:szCs w:val="21"/>
              </w:rPr>
            </w:pPr>
            <w:r>
              <w:rPr>
                <w:rFonts w:hint="eastAsia"/>
                <w:b/>
                <w:color w:val="000000" w:themeColor="text1"/>
                <w:szCs w:val="21"/>
              </w:rPr>
              <w:t>华北电力大学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247" w:type="dxa"/>
            <w:tcBorders>
              <w:left w:val="single" w:color="auto" w:sz="4" w:space="0"/>
              <w:bottom w:val="single" w:color="auto" w:sz="4" w:space="0"/>
            </w:tcBorders>
            <w:vAlign w:val="center"/>
          </w:tcPr>
          <w:p>
            <w:pPr>
              <w:jc w:val="center"/>
              <w:rPr>
                <w:color w:val="000000" w:themeColor="text1"/>
                <w:szCs w:val="21"/>
              </w:rPr>
            </w:pPr>
            <w:r>
              <w:rPr>
                <w:rFonts w:hint="eastAsia"/>
                <w:color w:val="000000" w:themeColor="text1"/>
                <w:szCs w:val="21"/>
              </w:rPr>
              <w:t>贡献值</w:t>
            </w:r>
          </w:p>
        </w:tc>
        <w:tc>
          <w:tcPr>
            <w:tcW w:w="1075" w:type="dxa"/>
            <w:tcBorders>
              <w:bottom w:val="single" w:color="auto" w:sz="4" w:space="0"/>
            </w:tcBorders>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41.6</w:t>
            </w:r>
          </w:p>
        </w:tc>
        <w:tc>
          <w:tcPr>
            <w:tcW w:w="1074" w:type="dxa"/>
            <w:tcBorders>
              <w:bottom w:val="single" w:color="auto" w:sz="4" w:space="0"/>
            </w:tcBorders>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43.6</w:t>
            </w:r>
          </w:p>
        </w:tc>
        <w:tc>
          <w:tcPr>
            <w:tcW w:w="1074" w:type="dxa"/>
            <w:tcBorders>
              <w:bottom w:val="single" w:color="auto" w:sz="4" w:space="0"/>
            </w:tcBorders>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43</w:t>
            </w:r>
            <w:r>
              <w:rPr>
                <w:rFonts w:ascii="Times New Roman" w:hAnsi="Times New Roman" w:cs="Times New Roman"/>
                <w:color w:val="000000" w:themeColor="text1"/>
                <w:szCs w:val="21"/>
              </w:rPr>
              <w:t>.2</w:t>
            </w:r>
          </w:p>
        </w:tc>
        <w:tc>
          <w:tcPr>
            <w:tcW w:w="975" w:type="dxa"/>
            <w:tcBorders>
              <w:bottom w:val="single" w:color="auto" w:sz="4" w:space="0"/>
              <w:right w:val="single" w:color="auto" w:sz="4" w:space="0"/>
            </w:tcBorders>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45.6</w:t>
            </w:r>
          </w:p>
        </w:tc>
        <w:tc>
          <w:tcPr>
            <w:tcW w:w="973" w:type="dxa"/>
            <w:tcBorders>
              <w:bottom w:val="single" w:color="auto" w:sz="4" w:space="0"/>
              <w:right w:val="single" w:color="auto" w:sz="4" w:space="0"/>
            </w:tcBorders>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40.8</w:t>
            </w:r>
          </w:p>
        </w:tc>
        <w:tc>
          <w:tcPr>
            <w:tcW w:w="972" w:type="dxa"/>
            <w:tcBorders>
              <w:bottom w:val="single" w:color="auto" w:sz="4" w:space="0"/>
              <w:right w:val="single" w:color="auto" w:sz="4" w:space="0"/>
            </w:tcBorders>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42.7</w:t>
            </w:r>
          </w:p>
        </w:tc>
        <w:tc>
          <w:tcPr>
            <w:tcW w:w="972" w:type="dxa"/>
            <w:tcBorders>
              <w:bottom w:val="single" w:color="auto" w:sz="4" w:space="0"/>
              <w:right w:val="single" w:color="auto" w:sz="4" w:space="0"/>
            </w:tcBorders>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39.5</w:t>
            </w:r>
          </w:p>
        </w:tc>
      </w:tr>
    </w:tbl>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由表5-26可知，本项目厂界噪声贡献值在41.6～45.6dB（A）之间，北厂界环境噪声排放满足《工业企业厂界环境噪声排放标准》（GB12348—2008）4类标准要求，其他厂界噪声满足《工业企业厂界环境噪声排放标准》（GB12348—2008）1类标准要求；周围敏感点噪声满足《声环境质量标准》（GB3096-2008）中1类功能区标准。</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5.2.5固体废物影响分析</w:t>
      </w:r>
    </w:p>
    <w:p>
      <w:pPr>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本项目产生的固废主要为污水站及化粪池污泥、医疗废物、药渣、生活垃圾、</w:t>
      </w:r>
      <w:r>
        <w:rPr>
          <w:rFonts w:ascii="Times New Roman" w:hAnsi="Times New Roman" w:cs="Times New Roman"/>
          <w:bCs/>
          <w:sz w:val="24"/>
          <w:szCs w:val="24"/>
        </w:rPr>
        <w:t>COD</w:t>
      </w:r>
      <w:r>
        <w:rPr>
          <w:rFonts w:hint="eastAsia" w:ascii="Times New Roman" w:hAnsi="Times New Roman" w:cs="Times New Roman"/>
          <w:bCs/>
          <w:sz w:val="24"/>
          <w:szCs w:val="24"/>
        </w:rPr>
        <w:t>、氨氮在线监测仪产生的废液。</w:t>
      </w:r>
    </w:p>
    <w:p>
      <w:pPr>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（1）生活垃圾产生量为273.75t/a，定期由环卫部门统一收集处置。</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sz w:val="24"/>
          <w:szCs w:val="24"/>
        </w:rPr>
        <w:t>（2）</w:t>
      </w:r>
      <w:r>
        <w:rPr>
          <w:rFonts w:hint="eastAsia" w:ascii="Times New Roman" w:hAnsi="Times New Roman" w:cs="Times New Roman"/>
          <w:bCs/>
          <w:color w:val="000000" w:themeColor="text1"/>
          <w:sz w:val="24"/>
          <w:szCs w:val="24"/>
        </w:rPr>
        <w:t>煎药室煎药过程药渣产生量为0.5</w:t>
      </w:r>
      <w:r>
        <w:rPr>
          <w:rFonts w:hint="eastAsia" w:ascii="宋体" w:hAnsi="宋体" w:eastAsia="宋体" w:cs="Times New Roman"/>
          <w:color w:val="000000" w:themeColor="text1"/>
          <w:kern w:val="0"/>
          <w:sz w:val="24"/>
          <w:szCs w:val="24"/>
          <w:u w:color="000000"/>
        </w:rPr>
        <w:t xml:space="preserve"> </w:t>
      </w:r>
      <w:r>
        <w:rPr>
          <w:rFonts w:hint="eastAsia" w:ascii="Times New Roman" w:hAnsi="Times New Roman" w:cs="Times New Roman"/>
          <w:bCs/>
          <w:color w:val="000000" w:themeColor="text1"/>
          <w:sz w:val="24"/>
          <w:szCs w:val="24"/>
        </w:rPr>
        <w:t>t/a，定期由环卫部门统一收集处置。</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（3）</w:t>
      </w:r>
      <w:r>
        <w:rPr>
          <w:rFonts w:ascii="Times New Roman" w:hAnsi="Times New Roman" w:cs="Times New Roman"/>
          <w:bCs/>
          <w:sz w:val="24"/>
          <w:szCs w:val="24"/>
        </w:rPr>
        <w:t>COD、氨氮在线监测仪产生的废液</w:t>
      </w:r>
      <w:r>
        <w:rPr>
          <w:rFonts w:hint="eastAsia" w:ascii="Times New Roman" w:hAnsi="Times New Roman" w:cs="Times New Roman"/>
          <w:bCs/>
          <w:sz w:val="24"/>
          <w:szCs w:val="24"/>
        </w:rPr>
        <w:t>产生量为0.5 t/a，存放在医疗废物暂存间，定期交由有资质单位统一处理。</w:t>
      </w:r>
    </w:p>
    <w:p>
      <w:pPr>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sz w:val="24"/>
          <w:szCs w:val="24"/>
        </w:rPr>
        <w:t>（4）</w:t>
      </w:r>
      <w:r>
        <w:rPr>
          <w:rFonts w:hint="eastAsia" w:ascii="Times New Roman" w:hAnsi="Times New Roman" w:cs="Times New Roman"/>
          <w:bCs/>
          <w:sz w:val="24"/>
          <w:szCs w:val="24"/>
        </w:rPr>
        <w:t>污水处理站、化粪池、格栅及污泥池产生的污泥</w:t>
      </w:r>
      <w:r>
        <w:rPr>
          <w:rFonts w:ascii="Times New Roman" w:hAnsi="Times New Roman" w:cs="Times New Roman"/>
          <w:bCs/>
          <w:sz w:val="24"/>
          <w:szCs w:val="24"/>
        </w:rPr>
        <w:t>属危险废物，</w:t>
      </w:r>
      <w:r>
        <w:rPr>
          <w:rFonts w:hint="eastAsia" w:ascii="Times New Roman" w:hAnsi="Times New Roman" w:cs="Times New Roman"/>
          <w:bCs/>
          <w:sz w:val="24"/>
          <w:szCs w:val="24"/>
        </w:rPr>
        <w:t>采取二氧化氯发生器消毒后，定期清掏、脱水，由有资质单位统一处理。</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（5）</w:t>
      </w:r>
      <w:r>
        <w:rPr>
          <w:rFonts w:ascii="Times New Roman" w:hAnsi="Times New Roman" w:cs="Times New Roman"/>
          <w:sz w:val="24"/>
          <w:szCs w:val="24"/>
        </w:rPr>
        <w:t>医疗废物属危险废物，各类医疗废物依据其性质在发生场所就地分类收集后，放入标明适当颜色或标识的</w:t>
      </w:r>
      <w:r>
        <w:rPr>
          <w:rFonts w:hint="eastAsia" w:ascii="Times New Roman" w:hAnsi="Times New Roman" w:cs="Times New Roman"/>
          <w:sz w:val="24"/>
          <w:szCs w:val="24"/>
        </w:rPr>
        <w:t>防渗漏、防锐器穿透的专用包装物或者密闭的容器内</w:t>
      </w:r>
      <w:r>
        <w:rPr>
          <w:rFonts w:ascii="Times New Roman" w:hAnsi="Times New Roman" w:cs="Times New Roman"/>
          <w:sz w:val="24"/>
          <w:szCs w:val="24"/>
        </w:rPr>
        <w:t>，在装满3/4时封袋，先集中存放在医疗废物暂存库，定期用专用车运到</w:t>
      </w:r>
      <w:r>
        <w:rPr>
          <w:rFonts w:hint="eastAsia" w:ascii="Times New Roman" w:hAnsi="Times New Roman" w:cs="Times New Roman"/>
          <w:sz w:val="24"/>
          <w:szCs w:val="24"/>
        </w:rPr>
        <w:t>有资质单位统一处置</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医疗废物暂存库与生活垃圾存放地分开，有防雨淋的装置，地基高度应确保设施内不受雨洪冲击或浸泡，与医疗区和人员活动密集区隔开，有严密的封闭措施，设专人管理，有防鼠、防蚊蝇、防蟑螂、防盗以及预防儿童接触等安全措施；地面和1.0米高的墙裙进行防渗处理，地面有良好的排水性能，库房外设有供水龙头，避免阳光直射，有良好的通风设备和照明条件；库房内张贴“禁止吸烟、饮食”的警示标识；库房外明显处设置危险废物和医疗废物的警示标识；每天在废物清运之后消毒清洗；尽量做到日产日清，确实不能做到日产日清的，且最高气温高于25℃时，将医疗废物低温暂时贮存，暂时贮存温度低于20℃，时间最长不超过48小时；</w:t>
      </w:r>
      <w:r>
        <w:rPr>
          <w:rFonts w:ascii="Times New Roman" w:hAnsi="Times New Roman" w:cs="Times New Roman"/>
          <w:sz w:val="24"/>
          <w:szCs w:val="24"/>
        </w:rPr>
        <w:t>医院和处置单位每次交接医疗废物必须共同填写《危险废物转移联单》（医疗废物专用），分别保存。</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在上述固体废物处置措施严格落实的前提下，本项目固体废物对环境影响</w:t>
      </w:r>
      <w:r>
        <w:rPr>
          <w:rFonts w:hint="eastAsia" w:ascii="Times New Roman" w:hAnsi="Times New Roman" w:cs="Times New Roman"/>
          <w:sz w:val="24"/>
          <w:szCs w:val="24"/>
        </w:rPr>
        <w:t>较小</w:t>
      </w:r>
      <w:r>
        <w:rPr>
          <w:rFonts w:ascii="Times New Roman" w:hAnsi="Times New Roman" w:cs="Times New Roman"/>
          <w:sz w:val="24"/>
          <w:szCs w:val="24"/>
        </w:rPr>
        <w:t>。</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5.2.6社会环境影响分析</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bCs/>
          <w:sz w:val="24"/>
          <w:szCs w:val="24"/>
        </w:rPr>
        <w:t>保定市第一中医院门诊、病房及综合培训楼新建项目</w:t>
      </w:r>
      <w:r>
        <w:rPr>
          <w:rFonts w:ascii="Times New Roman" w:hAnsi="Times New Roman" w:cs="Times New Roman"/>
          <w:sz w:val="24"/>
          <w:szCs w:val="24"/>
        </w:rPr>
        <w:t>位于</w:t>
      </w:r>
      <w:r>
        <w:rPr>
          <w:rFonts w:hint="eastAsia" w:ascii="Times New Roman" w:hAnsi="Times New Roman" w:cs="Times New Roman"/>
          <w:sz w:val="24"/>
          <w:szCs w:val="24"/>
        </w:rPr>
        <w:t>保定市莲池区华电路南侧，秀兰﹒文景苑小区东侧</w:t>
      </w:r>
      <w:r>
        <w:rPr>
          <w:rFonts w:ascii="Times New Roman" w:hAnsi="Times New Roman" w:cs="Times New Roman"/>
          <w:sz w:val="24"/>
          <w:szCs w:val="24"/>
        </w:rPr>
        <w:t>，随着</w:t>
      </w:r>
      <w:r>
        <w:rPr>
          <w:rFonts w:hint="eastAsia" w:ascii="Times New Roman" w:hAnsi="Times New Roman" w:cs="Times New Roman"/>
          <w:sz w:val="24"/>
          <w:szCs w:val="24"/>
        </w:rPr>
        <w:t>保定市人口数量的增加，</w:t>
      </w:r>
      <w:r>
        <w:rPr>
          <w:rFonts w:ascii="Times New Roman" w:hAnsi="Times New Roman" w:cs="Times New Roman"/>
          <w:sz w:val="24"/>
          <w:szCs w:val="24"/>
        </w:rPr>
        <w:t>就医难、住院难等问题凸显，因此，</w:t>
      </w:r>
      <w:r>
        <w:rPr>
          <w:rFonts w:hint="eastAsia" w:ascii="Times New Roman" w:hAnsi="Times New Roman" w:cs="Times New Roman"/>
          <w:bCs/>
          <w:sz w:val="24"/>
          <w:szCs w:val="24"/>
        </w:rPr>
        <w:t>保定市第一中医院</w:t>
      </w:r>
      <w:r>
        <w:rPr>
          <w:rFonts w:hint="eastAsia" w:ascii="Times New Roman" w:hAnsi="Times New Roman" w:cs="Times New Roman"/>
          <w:sz w:val="24"/>
          <w:szCs w:val="24"/>
        </w:rPr>
        <w:t>可</w:t>
      </w:r>
      <w:r>
        <w:rPr>
          <w:rFonts w:ascii="Times New Roman" w:hAnsi="Times New Roman" w:cs="Times New Roman"/>
          <w:sz w:val="24"/>
          <w:szCs w:val="24"/>
        </w:rPr>
        <w:t>以满足城市发展和居民医疗卫生需求。</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bCs/>
          <w:sz w:val="24"/>
          <w:szCs w:val="24"/>
        </w:rPr>
        <w:t>保定市第一中医院门诊、病房及综合培训楼新建项目</w:t>
      </w:r>
      <w:r>
        <w:rPr>
          <w:rFonts w:ascii="Times New Roman" w:hAnsi="Times New Roman" w:cs="Times New Roman"/>
          <w:sz w:val="24"/>
          <w:szCs w:val="24"/>
        </w:rPr>
        <w:t>完成后，将为病人的康复与医疗提供一个更加优越的环境，是</w:t>
      </w:r>
      <w:r>
        <w:rPr>
          <w:rFonts w:hint="eastAsia" w:ascii="Times New Roman" w:hAnsi="Times New Roman" w:cs="Times New Roman"/>
          <w:bCs/>
          <w:sz w:val="24"/>
          <w:szCs w:val="24"/>
        </w:rPr>
        <w:t>保定市第一中医院</w:t>
      </w:r>
      <w:r>
        <w:rPr>
          <w:rFonts w:ascii="Times New Roman" w:hAnsi="Times New Roman" w:cs="Times New Roman"/>
          <w:sz w:val="24"/>
          <w:szCs w:val="24"/>
        </w:rPr>
        <w:t>迈出的新的一步。本项目可有效提高和改善保定市的卫生资源配置水平，与市属医疗机构保持一定的距离，避免服务半径过度交叉重叠和重复建设，符合统筹规划和优化配置卫生资源的原则要求。在一定程度上还促进了保定市医疗卫生事业的发展，是适应保定市城区及经济发展的需要，具有明显的社会效益。</w:t>
      </w:r>
    </w:p>
    <w:p>
      <w:pPr>
        <w:pStyle w:val="4"/>
        <w:spacing w:before="0" w:after="0" w:line="36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5.2.7</w:t>
      </w:r>
      <w:r>
        <w:rPr>
          <w:rFonts w:ascii="Times New Roman" w:hAnsi="Times New Roman" w:cs="Times New Roman"/>
          <w:color w:val="000000" w:themeColor="text1"/>
          <w:sz w:val="24"/>
          <w:szCs w:val="24"/>
        </w:rPr>
        <w:t>外环境对医院的环境影响分析</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本项目为医院项目，项目本身是大气、声环境敏感点，由于本项目周围500m范围内无大型环境污染企业，本项目四周均为居民区、学校，故对本项目没有直接影响。</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项目建成后外环境对本项目的环境影响主要来自于项目北侧道路交通噪声，为了给病人提供一个安静的治疗休养环境，对外界噪声影响提出以下防治措施：</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①临路一侧安装双层隔声玻璃，减小室内噪声；</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②禁止在本项目区域引进以噪声及大气污染为主的工业企业；</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③建议有关部门在项目区域设置限速、禁鸣等标志，加强噪声管理。</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本项目经采取以上环保治理措施后，项目所在区域外环境不会对本项目产生明显影响。</w:t>
      </w: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z w:val="24"/>
          <w:szCs w:val="24"/>
        </w:rPr>
      </w:pPr>
    </w:p>
    <w:p>
      <w:pPr>
        <w:spacing w:line="360" w:lineRule="auto"/>
        <w:rPr>
          <w:rFonts w:ascii="Times New Roman" w:hAnsi="Times New Roman" w:cs="Times New Roman"/>
          <w:bCs/>
          <w:sz w:val="24"/>
          <w:szCs w:val="24"/>
        </w:rPr>
      </w:pPr>
    </w:p>
    <w:p>
      <w:pPr>
        <w:spacing w:line="360" w:lineRule="auto"/>
        <w:rPr>
          <w:rFonts w:ascii="Times New Roman" w:hAnsi="Times New Roman" w:cs="Times New Roman"/>
          <w:bCs/>
          <w:sz w:val="24"/>
          <w:szCs w:val="24"/>
        </w:rPr>
      </w:pPr>
    </w:p>
    <w:p>
      <w:pPr>
        <w:spacing w:line="360" w:lineRule="auto"/>
        <w:rPr>
          <w:rFonts w:ascii="Times New Roman" w:hAnsi="Times New Roman" w:cs="Times New Roman"/>
          <w:bCs/>
          <w:sz w:val="24"/>
          <w:szCs w:val="24"/>
        </w:rPr>
      </w:pPr>
    </w:p>
    <w:p>
      <w:pPr>
        <w:spacing w:line="360" w:lineRule="auto"/>
        <w:rPr>
          <w:rFonts w:ascii="Times New Roman" w:hAnsi="Times New Roman" w:cs="Times New Roman"/>
          <w:bCs/>
          <w:sz w:val="24"/>
          <w:szCs w:val="24"/>
        </w:rPr>
      </w:pPr>
    </w:p>
    <w:p>
      <w:pPr>
        <w:spacing w:line="360" w:lineRule="auto"/>
        <w:rPr>
          <w:rFonts w:ascii="Times New Roman" w:hAnsi="Times New Roman" w:cs="Times New Roman"/>
          <w:bCs/>
          <w:sz w:val="24"/>
          <w:szCs w:val="24"/>
        </w:rPr>
      </w:pPr>
    </w:p>
    <w:p>
      <w:pPr>
        <w:spacing w:line="360" w:lineRule="auto"/>
        <w:rPr>
          <w:rFonts w:ascii="Times New Roman" w:hAnsi="Times New Roman" w:cs="Times New Roman"/>
          <w:bCs/>
          <w:sz w:val="24"/>
          <w:szCs w:val="24"/>
        </w:rPr>
      </w:pPr>
    </w:p>
    <w:p>
      <w:pPr>
        <w:spacing w:line="360" w:lineRule="auto"/>
        <w:rPr>
          <w:rFonts w:ascii="Times New Roman" w:hAnsi="Times New Roman" w:cs="Times New Roman"/>
          <w:bCs/>
          <w:sz w:val="24"/>
          <w:szCs w:val="24"/>
        </w:rPr>
      </w:pPr>
    </w:p>
    <w:p>
      <w:pPr>
        <w:spacing w:line="360" w:lineRule="auto"/>
        <w:rPr>
          <w:rFonts w:ascii="Times New Roman" w:hAnsi="Times New Roman" w:cs="Times New Roman"/>
          <w:bCs/>
          <w:sz w:val="24"/>
          <w:szCs w:val="24"/>
        </w:rPr>
      </w:pPr>
    </w:p>
    <w:p>
      <w:pPr>
        <w:spacing w:line="360" w:lineRule="auto"/>
        <w:rPr>
          <w:rFonts w:ascii="Times New Roman" w:hAnsi="Times New Roman" w:cs="Times New Roman"/>
          <w:bCs/>
          <w:sz w:val="24"/>
          <w:szCs w:val="24"/>
        </w:rPr>
      </w:pPr>
    </w:p>
    <w:p>
      <w:pPr>
        <w:spacing w:line="360" w:lineRule="auto"/>
        <w:rPr>
          <w:rFonts w:ascii="Times New Roman" w:hAnsi="Times New Roman" w:cs="Times New Roman"/>
          <w:bCs/>
          <w:sz w:val="24"/>
          <w:szCs w:val="24"/>
        </w:rPr>
      </w:pPr>
    </w:p>
    <w:p>
      <w:pPr>
        <w:spacing w:line="360" w:lineRule="auto"/>
        <w:rPr>
          <w:rFonts w:ascii="Times New Roman" w:hAnsi="Times New Roman" w:cs="Times New Roman"/>
          <w:bCs/>
          <w:sz w:val="24"/>
          <w:szCs w:val="24"/>
        </w:rPr>
      </w:pPr>
    </w:p>
    <w:p>
      <w:pPr>
        <w:spacing w:line="360" w:lineRule="auto"/>
        <w:rPr>
          <w:rFonts w:ascii="Times New Roman" w:hAnsi="Times New Roman" w:cs="Times New Roman"/>
          <w:bCs/>
          <w:sz w:val="24"/>
          <w:szCs w:val="24"/>
        </w:rPr>
      </w:pPr>
    </w:p>
    <w:p>
      <w:pPr>
        <w:spacing w:line="360" w:lineRule="auto"/>
        <w:rPr>
          <w:rFonts w:ascii="Times New Roman" w:hAnsi="Times New Roman" w:cs="Times New Roman"/>
          <w:bCs/>
          <w:sz w:val="24"/>
          <w:szCs w:val="24"/>
        </w:rPr>
      </w:pPr>
    </w:p>
    <w:p>
      <w:pPr>
        <w:spacing w:line="360" w:lineRule="auto"/>
        <w:rPr>
          <w:rFonts w:ascii="Times New Roman" w:hAnsi="Times New Roman" w:cs="Times New Roman"/>
          <w:bCs/>
          <w:sz w:val="24"/>
          <w:szCs w:val="24"/>
        </w:rPr>
      </w:pPr>
    </w:p>
    <w:p>
      <w:pPr>
        <w:spacing w:line="360" w:lineRule="auto"/>
        <w:rPr>
          <w:rFonts w:ascii="Times New Roman" w:hAnsi="Times New Roman" w:cs="Times New Roman"/>
          <w:bCs/>
          <w:sz w:val="24"/>
          <w:szCs w:val="24"/>
        </w:rPr>
      </w:pPr>
    </w:p>
    <w:p>
      <w:pPr>
        <w:spacing w:line="360" w:lineRule="auto"/>
        <w:rPr>
          <w:rFonts w:ascii="Times New Roman" w:hAnsi="Times New Roman" w:cs="Times New Roman"/>
          <w:bCs/>
          <w:sz w:val="24"/>
          <w:szCs w:val="24"/>
        </w:rPr>
      </w:pPr>
    </w:p>
    <w:p>
      <w:pPr>
        <w:spacing w:line="360" w:lineRule="auto"/>
        <w:rPr>
          <w:rFonts w:ascii="Times New Roman" w:hAnsi="Times New Roman" w:cs="Times New Roman"/>
          <w:bCs/>
          <w:sz w:val="24"/>
          <w:szCs w:val="24"/>
        </w:rPr>
      </w:pPr>
    </w:p>
    <w:p>
      <w:pPr>
        <w:pStyle w:val="2"/>
        <w:spacing w:before="0" w:after="0" w:line="360" w:lineRule="auto"/>
        <w:rPr>
          <w:rFonts w:ascii="Times New Roman" w:hAnsi="Times New Roman" w:cs="Times New Roman"/>
          <w:sz w:val="30"/>
          <w:szCs w:val="30"/>
        </w:rPr>
      </w:pPr>
      <w:bookmarkStart w:id="34" w:name="_Toc13725359"/>
      <w:r>
        <w:rPr>
          <w:rFonts w:ascii="Times New Roman" w:hAnsi="Times New Roman" w:cs="Times New Roman"/>
          <w:sz w:val="30"/>
          <w:szCs w:val="30"/>
        </w:rPr>
        <w:t>6.环境保护措施及其可行性论证</w:t>
      </w:r>
      <w:bookmarkEnd w:id="34"/>
    </w:p>
    <w:p>
      <w:pPr>
        <w:pStyle w:val="3"/>
        <w:spacing w:before="0" w:after="0" w:line="360" w:lineRule="auto"/>
        <w:rPr>
          <w:rFonts w:ascii="Times New Roman" w:hAnsi="Times New Roman" w:cs="Times New Roman"/>
          <w:sz w:val="28"/>
          <w:szCs w:val="28"/>
        </w:rPr>
      </w:pPr>
      <w:bookmarkStart w:id="35" w:name="_Toc13725360"/>
      <w:r>
        <w:rPr>
          <w:rFonts w:ascii="Times New Roman" w:hAnsi="Times New Roman" w:cs="Times New Roman"/>
          <w:sz w:val="28"/>
          <w:szCs w:val="28"/>
        </w:rPr>
        <w:t>6.1废气治理措施及其可行性论证</w:t>
      </w:r>
      <w:bookmarkEnd w:id="35"/>
    </w:p>
    <w:p>
      <w:pPr>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项目污水处理站恶臭气体通过集气管道</w:t>
      </w:r>
      <w:r>
        <w:rPr>
          <w:rFonts w:ascii="Times New Roman" w:hAnsi="Times New Roman" w:cs="Times New Roman"/>
          <w:sz w:val="24"/>
          <w:szCs w:val="24"/>
        </w:rPr>
        <w:t>+</w:t>
      </w:r>
      <w:r>
        <w:rPr>
          <w:rFonts w:hint="eastAsia" w:ascii="Times New Roman" w:hAnsi="Times New Roman" w:cs="Times New Roman"/>
          <w:sz w:val="24"/>
          <w:szCs w:val="24"/>
        </w:rPr>
        <w:t>水喷淋装置</w:t>
      </w:r>
      <w:r>
        <w:rPr>
          <w:rFonts w:ascii="Times New Roman" w:hAnsi="Times New Roman" w:cs="Times New Roman"/>
          <w:sz w:val="24"/>
          <w:szCs w:val="24"/>
        </w:rPr>
        <w:t>+UV</w:t>
      </w:r>
      <w:r>
        <w:rPr>
          <w:rFonts w:hint="eastAsia" w:ascii="Times New Roman" w:hAnsi="Times New Roman" w:cs="Times New Roman"/>
          <w:sz w:val="24"/>
          <w:szCs w:val="24"/>
        </w:rPr>
        <w:t>紫外线光解净化器</w:t>
      </w:r>
      <w:r>
        <w:rPr>
          <w:rFonts w:ascii="Times New Roman" w:hAnsi="Times New Roman" w:cs="Times New Roman"/>
          <w:sz w:val="24"/>
          <w:szCs w:val="24"/>
        </w:rPr>
        <w:t>+1</w:t>
      </w:r>
      <w:r>
        <w:rPr>
          <w:rFonts w:hint="eastAsia" w:ascii="Times New Roman" w:hAnsi="Times New Roman" w:cs="Times New Roman"/>
          <w:sz w:val="24"/>
          <w:szCs w:val="24"/>
        </w:rPr>
        <w:t>根</w:t>
      </w:r>
      <w:r>
        <w:rPr>
          <w:rFonts w:ascii="Times New Roman" w:hAnsi="Times New Roman" w:cs="Times New Roman"/>
          <w:sz w:val="24"/>
          <w:szCs w:val="24"/>
        </w:rPr>
        <w:t>15m</w:t>
      </w:r>
      <w:r>
        <w:rPr>
          <w:rFonts w:hint="eastAsia" w:ascii="Times New Roman" w:hAnsi="Times New Roman" w:cs="Times New Roman"/>
          <w:sz w:val="24"/>
          <w:szCs w:val="24"/>
        </w:rPr>
        <w:t>高排气筒。</w:t>
      </w:r>
    </w:p>
    <w:p>
      <w:pPr>
        <w:spacing w:line="360" w:lineRule="auto"/>
        <w:ind w:firstLine="480"/>
        <w:rPr>
          <w:rFonts w:ascii="Times New Roman" w:hAnsi="Times New Roman" w:cs="Times New Roman"/>
          <w:b/>
          <w:bCs/>
          <w:sz w:val="24"/>
          <w:szCs w:val="24"/>
        </w:rPr>
      </w:pPr>
      <w:r>
        <w:rPr>
          <w:rFonts w:hint="eastAsia" w:ascii="Times New Roman" w:hAnsi="Times New Roman" w:cs="Times New Roman"/>
          <w:b/>
          <w:bCs/>
          <w:sz w:val="24"/>
          <w:szCs w:val="24"/>
        </w:rPr>
        <w:t>水喷淋装置</w:t>
      </w:r>
      <w:r>
        <w:rPr>
          <w:rFonts w:ascii="Times New Roman" w:hAnsi="Times New Roman" w:cs="Times New Roman"/>
          <w:b/>
          <w:bCs/>
          <w:sz w:val="24"/>
          <w:szCs w:val="24"/>
        </w:rPr>
        <w:t>+UV</w:t>
      </w:r>
      <w:r>
        <w:rPr>
          <w:rFonts w:hint="eastAsia" w:ascii="Times New Roman" w:hAnsi="Times New Roman" w:cs="Times New Roman"/>
          <w:b/>
          <w:bCs/>
          <w:sz w:val="24"/>
          <w:szCs w:val="24"/>
        </w:rPr>
        <w:t>紫外线光解净化器的工作原理介绍：</w:t>
      </w:r>
    </w:p>
    <w:p>
      <w:pPr>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水喷淋装置工作原理是将气体中的污染物质分离出来，转化为无害物质，以达到净化气体的目的。它属于微分接触逆流式，塔体内的填料是气液两相接触的基本构件。塔体外部的气体进入塔体后，气体进入填料层，填料层上有来自于顶部的水，并在填料上形成一层液膜，气体流经填料空隙时，与填料液膜接触并进行吸收或中和反应，填料层能提供足够大的表面积，对气体流动又不致造成过大的阻力，经吸收或中和后的气体经出风口排出塔外，水进入循环水箱。</w:t>
      </w:r>
    </w:p>
    <w:p>
      <w:pPr>
        <w:spacing w:line="360" w:lineRule="auto"/>
        <w:ind w:firstLine="480"/>
        <w:rPr>
          <w:rFonts w:ascii="Times New Roman" w:hAnsi="Times New Roman" w:cs="Times New Roman"/>
          <w:color w:val="000000" w:themeColor="text1"/>
          <w:sz w:val="24"/>
          <w:szCs w:val="24"/>
        </w:rPr>
      </w:pPr>
      <w:r>
        <w:rPr>
          <w:rFonts w:ascii="Times New Roman" w:hAnsi="Times New Roman" w:cs="Times New Roman"/>
          <w:sz w:val="24"/>
          <w:szCs w:val="24"/>
        </w:rPr>
        <w:t>UV</w:t>
      </w:r>
      <w:r>
        <w:rPr>
          <w:rFonts w:hint="eastAsia" w:ascii="Times New Roman" w:hAnsi="Times New Roman" w:cs="Times New Roman"/>
          <w:sz w:val="24"/>
          <w:szCs w:val="24"/>
        </w:rPr>
        <w:t>紫外线光解净化器的工作原理是通过采用</w:t>
      </w:r>
      <w:r>
        <w:rPr>
          <w:rFonts w:ascii="Times New Roman" w:hAnsi="Times New Roman" w:cs="Times New Roman"/>
          <w:sz w:val="24"/>
          <w:szCs w:val="24"/>
        </w:rPr>
        <w:t>C</w:t>
      </w:r>
      <w:r>
        <w:rPr>
          <w:rFonts w:hint="eastAsia" w:ascii="Times New Roman" w:hAnsi="Times New Roman" w:cs="Times New Roman"/>
          <w:sz w:val="24"/>
          <w:szCs w:val="24"/>
        </w:rPr>
        <w:t>波段内的真空紫外线（波长范围</w:t>
      </w:r>
      <w:r>
        <w:rPr>
          <w:rFonts w:ascii="Times New Roman" w:hAnsi="Times New Roman" w:cs="Times New Roman"/>
          <w:sz w:val="24"/>
          <w:szCs w:val="24"/>
        </w:rPr>
        <w:t>170</w:t>
      </w:r>
      <w:r>
        <w:rPr>
          <w:rFonts w:hint="eastAsia" w:ascii="Times New Roman" w:hAnsi="Times New Roman" w:cs="Times New Roman"/>
          <w:sz w:val="24"/>
          <w:szCs w:val="24"/>
        </w:rPr>
        <w:t>～</w:t>
      </w:r>
      <w:r>
        <w:rPr>
          <w:rFonts w:ascii="Times New Roman" w:hAnsi="Times New Roman" w:cs="Times New Roman"/>
          <w:sz w:val="24"/>
          <w:szCs w:val="24"/>
        </w:rPr>
        <w:t>184.9nm</w:t>
      </w:r>
      <w:r>
        <w:rPr>
          <w:rFonts w:hint="eastAsia" w:ascii="Times New Roman" w:hAnsi="Times New Roman" w:cs="Times New Roman"/>
          <w:sz w:val="24"/>
          <w:szCs w:val="24"/>
        </w:rPr>
        <w:t>），照射恶臭气体分子，使恶臭气体分子内部发生裂解，化学键断裂形成游离状态的原子或基团</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C*,H*,O*</w:t>
      </w:r>
      <w:r>
        <w:rPr>
          <w:rFonts w:hint="eastAsia" w:ascii="Times New Roman" w:hAnsi="Times New Roman" w:cs="Times New Roman"/>
          <w:color w:val="000000" w:themeColor="text1"/>
          <w:sz w:val="24"/>
          <w:szCs w:val="24"/>
        </w:rPr>
        <w:t>等）。同时混合气体中的氧气被紫外线光裂解形成游离的氧原子并结合生成臭氧【</w:t>
      </w:r>
      <w:r>
        <w:rPr>
          <w:rFonts w:ascii="Times New Roman" w:hAnsi="Times New Roman" w:cs="Times New Roman"/>
          <w:color w:val="000000" w:themeColor="text1"/>
          <w:sz w:val="24"/>
          <w:szCs w:val="24"/>
        </w:rPr>
        <w:t>UV+O</w:t>
      </w:r>
      <w:r>
        <w:rPr>
          <w:rFonts w:ascii="Times New Roman" w:hAnsi="Times New Roman" w:cs="Times New Roman"/>
          <w:color w:val="000000" w:themeColor="text1"/>
          <w:sz w:val="24"/>
          <w:szCs w:val="24"/>
          <w:vertAlign w:val="subscript"/>
        </w:rPr>
        <w:t>2</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O-+O* (</w:t>
      </w:r>
      <w:r>
        <w:rPr>
          <w:rFonts w:hint="eastAsia" w:ascii="Times New Roman" w:hAnsi="Times New Roman" w:cs="Times New Roman"/>
          <w:color w:val="000000" w:themeColor="text1"/>
          <w:sz w:val="24"/>
          <w:szCs w:val="24"/>
        </w:rPr>
        <w:t>活性氧</w:t>
      </w:r>
      <w:r>
        <w:rPr>
          <w:rFonts w:ascii="Times New Roman" w:hAnsi="Times New Roman" w:cs="Times New Roman"/>
          <w:color w:val="000000" w:themeColor="text1"/>
          <w:sz w:val="24"/>
          <w:szCs w:val="24"/>
        </w:rPr>
        <w:t>) O* O</w:t>
      </w:r>
      <w:r>
        <w:rPr>
          <w:rFonts w:ascii="Times New Roman" w:hAnsi="Times New Roman" w:cs="Times New Roman"/>
          <w:color w:val="000000" w:themeColor="text1"/>
          <w:sz w:val="24"/>
          <w:szCs w:val="24"/>
          <w:vertAlign w:val="subscript"/>
        </w:rPr>
        <w:t>2</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O</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w:t>
      </w:r>
      <w:r>
        <w:rPr>
          <w:rFonts w:hint="eastAsia" w:ascii="Times New Roman" w:hAnsi="Times New Roman" w:cs="Times New Roman"/>
          <w:color w:val="000000" w:themeColor="text1"/>
          <w:sz w:val="24"/>
          <w:szCs w:val="24"/>
        </w:rPr>
        <w:t>臭氧</w:t>
      </w:r>
      <w:r>
        <w:rPr>
          <w:rFonts w:ascii="Times New Roman" w:hAnsi="Times New Roman" w:cs="Times New Roman"/>
          <w:color w:val="000000" w:themeColor="text1"/>
          <w:sz w:val="24"/>
          <w:szCs w:val="24"/>
        </w:rPr>
        <w:t>)</w:t>
      </w:r>
      <w:r>
        <w:rPr>
          <w:rFonts w:hint="eastAsia" w:ascii="Times New Roman" w:hAnsi="Times New Roman" w:cs="Times New Roman"/>
          <w:color w:val="000000" w:themeColor="text1"/>
          <w:sz w:val="24"/>
          <w:szCs w:val="24"/>
        </w:rPr>
        <w:t>】；臭氧对恶臭气体及其他刺激性异味有立竿见影的清除效果。混合气体中的水蒸气被紫外线光裂解产生羟基【</w:t>
      </w:r>
      <w:r>
        <w:rPr>
          <w:rFonts w:ascii="Times New Roman" w:hAnsi="Times New Roman" w:cs="Times New Roman"/>
          <w:color w:val="000000" w:themeColor="text1"/>
          <w:sz w:val="24"/>
          <w:szCs w:val="24"/>
        </w:rPr>
        <w:t>UV +H</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O</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H+ OH-(</w:t>
      </w:r>
      <w:r>
        <w:rPr>
          <w:rFonts w:hint="eastAsia" w:ascii="Times New Roman" w:hAnsi="Times New Roman" w:cs="Times New Roman"/>
          <w:color w:val="000000" w:themeColor="text1"/>
          <w:sz w:val="24"/>
          <w:szCs w:val="24"/>
        </w:rPr>
        <w:t>羟基</w:t>
      </w:r>
      <w:r>
        <w:rPr>
          <w:rFonts w:ascii="Times New Roman" w:hAnsi="Times New Roman" w:cs="Times New Roman"/>
          <w:color w:val="000000" w:themeColor="text1"/>
          <w:sz w:val="24"/>
          <w:szCs w:val="24"/>
        </w:rPr>
        <w:t>)</w:t>
      </w:r>
      <w:r>
        <w:rPr>
          <w:rFonts w:hint="eastAsia" w:ascii="Times New Roman" w:hAnsi="Times New Roman" w:cs="Times New Roman"/>
          <w:color w:val="000000" w:themeColor="text1"/>
          <w:sz w:val="24"/>
          <w:szCs w:val="24"/>
        </w:rPr>
        <w:t>】，而这些生成的臭氧和羟基具有极强的氧化性，可将废气分子裂解产生的原子和基团（甚至是有机气体或恶臭气体分子）氧化成</w:t>
      </w:r>
      <w:r>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O</w:t>
      </w:r>
      <w:r>
        <w:rPr>
          <w:rFonts w:hint="eastAsia" w:ascii="Times New Roman" w:hAnsi="Times New Roman" w:cs="Times New Roman"/>
          <w:color w:val="000000" w:themeColor="text1"/>
          <w:sz w:val="24"/>
          <w:szCs w:val="24"/>
        </w:rPr>
        <w:t>和</w:t>
      </w:r>
      <w:r>
        <w:rPr>
          <w:rFonts w:ascii="Times New Roman" w:hAnsi="Times New Roman" w:cs="Times New Roman"/>
          <w:color w:val="000000" w:themeColor="text1"/>
          <w:sz w:val="24"/>
          <w:szCs w:val="24"/>
        </w:rPr>
        <w:t>CO</w:t>
      </w:r>
      <w:r>
        <w:rPr>
          <w:rFonts w:ascii="Times New Roman" w:hAnsi="Times New Roman" w:cs="Times New Roman"/>
          <w:color w:val="000000" w:themeColor="text1"/>
          <w:sz w:val="24"/>
          <w:szCs w:val="24"/>
          <w:vertAlign w:val="subscript"/>
        </w:rPr>
        <w:t>2</w:t>
      </w:r>
      <w:r>
        <w:rPr>
          <w:rFonts w:hint="eastAsia" w:ascii="Times New Roman" w:hAnsi="Times New Roman" w:cs="Times New Roman"/>
          <w:color w:val="000000" w:themeColor="text1"/>
          <w:sz w:val="24"/>
          <w:szCs w:val="24"/>
        </w:rPr>
        <w:t>等无污染的低分子化合物。</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项目污水处理站恶臭气体采取“水喷淋装置</w:t>
      </w:r>
      <w:r>
        <w:rPr>
          <w:rFonts w:ascii="Times New Roman" w:hAnsi="Times New Roman" w:cs="Times New Roman"/>
          <w:color w:val="000000" w:themeColor="text1"/>
          <w:sz w:val="24"/>
          <w:szCs w:val="24"/>
        </w:rPr>
        <w:t>+UV</w:t>
      </w:r>
      <w:r>
        <w:rPr>
          <w:rFonts w:hint="eastAsia" w:ascii="Times New Roman" w:hAnsi="Times New Roman" w:cs="Times New Roman"/>
          <w:color w:val="000000" w:themeColor="text1"/>
          <w:sz w:val="24"/>
          <w:szCs w:val="24"/>
        </w:rPr>
        <w:t>紫外线光解净化器”处理后，经</w:t>
      </w:r>
      <w:r>
        <w:rPr>
          <w:rFonts w:ascii="Times New Roman" w:hAnsi="Times New Roman" w:cs="Times New Roman"/>
          <w:color w:val="000000" w:themeColor="text1"/>
          <w:sz w:val="24"/>
          <w:szCs w:val="24"/>
        </w:rPr>
        <w:t>1</w:t>
      </w:r>
      <w:r>
        <w:rPr>
          <w:rFonts w:hint="eastAsia" w:ascii="Times New Roman" w:hAnsi="Times New Roman" w:cs="Times New Roman"/>
          <w:color w:val="000000" w:themeColor="text1"/>
          <w:sz w:val="24"/>
          <w:szCs w:val="24"/>
        </w:rPr>
        <w:t>根</w:t>
      </w:r>
      <w:r>
        <w:rPr>
          <w:rFonts w:ascii="Times New Roman" w:hAnsi="Times New Roman" w:cs="Times New Roman"/>
          <w:color w:val="000000" w:themeColor="text1"/>
          <w:sz w:val="24"/>
          <w:szCs w:val="24"/>
        </w:rPr>
        <w:t>15m</w:t>
      </w:r>
      <w:r>
        <w:rPr>
          <w:rFonts w:hint="eastAsia" w:ascii="Times New Roman" w:hAnsi="Times New Roman" w:cs="Times New Roman"/>
          <w:color w:val="000000" w:themeColor="text1"/>
          <w:sz w:val="24"/>
          <w:szCs w:val="24"/>
        </w:rPr>
        <w:t>高排气筒排放。处理后臭气浓度有组织排放量为445.5（无量纲）；氨排放速率为</w:t>
      </w:r>
      <w:r>
        <w:rPr>
          <w:rFonts w:ascii="Times New Roman" w:hAnsi="Times New Roman" w:cs="Times New Roman"/>
          <w:color w:val="000000" w:themeColor="text1"/>
          <w:sz w:val="24"/>
          <w:szCs w:val="24"/>
        </w:rPr>
        <w:t>0.</w:t>
      </w:r>
      <w:r>
        <w:rPr>
          <w:rFonts w:hint="eastAsia" w:ascii="Times New Roman" w:hAnsi="Times New Roman" w:cs="Times New Roman"/>
          <w:color w:val="000000" w:themeColor="text1"/>
          <w:sz w:val="24"/>
          <w:szCs w:val="24"/>
        </w:rPr>
        <w:t>064</w:t>
      </w:r>
      <w:r>
        <w:rPr>
          <w:rFonts w:ascii="Times New Roman" w:hAnsi="Times New Roman" w:cs="Times New Roman"/>
          <w:color w:val="000000" w:themeColor="text1"/>
          <w:sz w:val="24"/>
          <w:szCs w:val="24"/>
        </w:rPr>
        <w:t>kg/h</w:t>
      </w:r>
      <w:r>
        <w:rPr>
          <w:rFonts w:hint="eastAsia" w:ascii="Times New Roman" w:hAnsi="Times New Roman" w:cs="Times New Roman"/>
          <w:color w:val="000000" w:themeColor="text1"/>
          <w:sz w:val="24"/>
          <w:szCs w:val="24"/>
        </w:rPr>
        <w:t>，排放量为</w:t>
      </w:r>
      <w:r>
        <w:rPr>
          <w:rFonts w:ascii="Times New Roman" w:hAnsi="Times New Roman" w:cs="Times New Roman"/>
          <w:color w:val="000000" w:themeColor="text1"/>
          <w:sz w:val="24"/>
          <w:szCs w:val="24"/>
        </w:rPr>
        <w:t>0.565t/a</w:t>
      </w:r>
      <w:r>
        <w:rPr>
          <w:rFonts w:hint="eastAsia" w:ascii="Times New Roman" w:hAnsi="Times New Roman" w:cs="Times New Roman"/>
          <w:color w:val="000000" w:themeColor="text1"/>
          <w:sz w:val="24"/>
          <w:szCs w:val="24"/>
        </w:rPr>
        <w:t>，排放浓度为6.450mg/m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；硫化氢排放速率为</w:t>
      </w:r>
      <w:r>
        <w:rPr>
          <w:rFonts w:ascii="Times New Roman" w:hAnsi="Times New Roman" w:cs="Times New Roman"/>
          <w:color w:val="000000" w:themeColor="text1"/>
          <w:sz w:val="24"/>
          <w:szCs w:val="24"/>
        </w:rPr>
        <w:t>0.</w:t>
      </w:r>
      <w:r>
        <w:rPr>
          <w:rFonts w:hint="eastAsia" w:ascii="Times New Roman" w:hAnsi="Times New Roman" w:cs="Times New Roman"/>
          <w:color w:val="000000" w:themeColor="text1"/>
          <w:sz w:val="24"/>
          <w:szCs w:val="24"/>
        </w:rPr>
        <w:t>003</w:t>
      </w:r>
      <w:r>
        <w:rPr>
          <w:rFonts w:ascii="Times New Roman" w:hAnsi="Times New Roman" w:cs="Times New Roman"/>
          <w:color w:val="000000" w:themeColor="text1"/>
          <w:sz w:val="24"/>
          <w:szCs w:val="24"/>
        </w:rPr>
        <w:t>kg/h</w:t>
      </w:r>
      <w:r>
        <w:rPr>
          <w:rFonts w:hint="eastAsia" w:ascii="Times New Roman" w:hAnsi="Times New Roman" w:cs="Times New Roman"/>
          <w:color w:val="000000" w:themeColor="text1"/>
          <w:sz w:val="24"/>
          <w:szCs w:val="24"/>
        </w:rPr>
        <w:t>，排放量为</w:t>
      </w:r>
      <w:r>
        <w:rPr>
          <w:rFonts w:ascii="Times New Roman" w:hAnsi="Times New Roman" w:cs="Times New Roman"/>
          <w:color w:val="000000" w:themeColor="text1"/>
          <w:sz w:val="24"/>
          <w:szCs w:val="24"/>
        </w:rPr>
        <w:t>0.023t/a</w:t>
      </w:r>
      <w:r>
        <w:rPr>
          <w:rFonts w:hint="eastAsia" w:ascii="Times New Roman" w:hAnsi="Times New Roman" w:cs="Times New Roman"/>
          <w:color w:val="000000" w:themeColor="text1"/>
          <w:sz w:val="24"/>
          <w:szCs w:val="24"/>
        </w:rPr>
        <w:t>，，排放浓度为0.263mg/m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，满足《恶臭污染物排放标准》（</w:t>
      </w:r>
      <w:r>
        <w:rPr>
          <w:rFonts w:ascii="Times New Roman" w:hAnsi="Times New Roman" w:cs="Times New Roman"/>
          <w:color w:val="000000" w:themeColor="text1"/>
          <w:sz w:val="24"/>
          <w:szCs w:val="24"/>
        </w:rPr>
        <w:t>GB14554-93</w:t>
      </w:r>
      <w:r>
        <w:rPr>
          <w:rFonts w:hint="eastAsia" w:ascii="Times New Roman" w:hAnsi="Times New Roman" w:cs="Times New Roman"/>
          <w:color w:val="000000" w:themeColor="text1"/>
          <w:sz w:val="24"/>
          <w:szCs w:val="24"/>
        </w:rPr>
        <w:t>）表</w:t>
      </w:r>
      <w:r>
        <w:rPr>
          <w:rFonts w:ascii="Times New Roman" w:hAnsi="Times New Roman" w:cs="Times New Roman"/>
          <w:color w:val="000000" w:themeColor="text1"/>
          <w:sz w:val="24"/>
          <w:szCs w:val="24"/>
        </w:rPr>
        <w:t>2</w:t>
      </w:r>
      <w:r>
        <w:rPr>
          <w:rFonts w:hint="eastAsia" w:ascii="Times New Roman" w:hAnsi="Times New Roman" w:cs="Times New Roman"/>
          <w:color w:val="000000" w:themeColor="text1"/>
          <w:sz w:val="24"/>
          <w:szCs w:val="24"/>
        </w:rPr>
        <w:t>污染物排放标准。</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本项目臭气浓度无组织排放量为9（无量纲），排放量为</w:t>
      </w:r>
      <w:r>
        <w:rPr>
          <w:rFonts w:ascii="Times New Roman" w:hAnsi="Times New Roman" w:cs="Times New Roman"/>
          <w:color w:val="000000" w:themeColor="text1"/>
          <w:sz w:val="24"/>
          <w:szCs w:val="24"/>
        </w:rPr>
        <w:t>0.114t/a</w:t>
      </w:r>
      <w:r>
        <w:rPr>
          <w:rFonts w:hint="eastAsia" w:ascii="Times New Roman" w:hAnsi="Times New Roman" w:cs="Times New Roman"/>
          <w:color w:val="000000" w:themeColor="text1"/>
          <w:sz w:val="24"/>
          <w:szCs w:val="24"/>
        </w:rPr>
        <w:t>，排放量为</w:t>
      </w:r>
      <w:r>
        <w:rPr>
          <w:rFonts w:ascii="Times New Roman" w:hAnsi="Times New Roman" w:cs="Times New Roman"/>
          <w:color w:val="000000" w:themeColor="text1"/>
          <w:sz w:val="24"/>
          <w:szCs w:val="24"/>
        </w:rPr>
        <w:t>0.005t/a</w:t>
      </w:r>
      <w:r>
        <w:rPr>
          <w:rFonts w:hint="eastAsia" w:ascii="Times New Roman" w:hAnsi="Times New Roman" w:cs="Times New Roman"/>
          <w:color w:val="000000" w:themeColor="text1"/>
          <w:sz w:val="24"/>
          <w:szCs w:val="24"/>
        </w:rPr>
        <w:t>。预测厂界无组织污染物排放</w:t>
      </w:r>
      <w:r>
        <w:rPr>
          <w:rFonts w:hint="eastAsia" w:ascii="Times New Roman" w:hAnsi="宋体" w:eastAsia="宋体" w:cs="Times New Roman"/>
          <w:color w:val="000000" w:themeColor="text1"/>
          <w:sz w:val="24"/>
          <w:szCs w:val="24"/>
        </w:rPr>
        <w:t>《医疗机构水污染物排放标准》（GB18466-2005）表3污水处理站周边大气污染物最高允许浓度</w:t>
      </w:r>
      <w:r>
        <w:rPr>
          <w:rFonts w:hint="eastAsia" w:ascii="Times New Roman" w:hAnsi="Times New Roman" w:cs="Times New Roman"/>
          <w:color w:val="000000" w:themeColor="text1"/>
          <w:sz w:val="24"/>
          <w:szCs w:val="24"/>
        </w:rPr>
        <w:t>（臭气浓度≤10（无量纲）、氨≤</w:t>
      </w:r>
      <w:r>
        <w:rPr>
          <w:rFonts w:ascii="Times New Roman" w:hAnsi="Times New Roman" w:cs="Times New Roman"/>
          <w:color w:val="000000" w:themeColor="text1"/>
          <w:sz w:val="24"/>
          <w:szCs w:val="24"/>
        </w:rPr>
        <w:t>1.</w:t>
      </w:r>
      <w:r>
        <w:rPr>
          <w:rFonts w:hint="eastAsia"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mg/m</w:t>
      </w:r>
      <w:r>
        <w:rPr>
          <w:rFonts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、硫化氢</w:t>
      </w:r>
      <w:r>
        <w:rPr>
          <w:rFonts w:ascii="Times New Roman" w:hAnsi="Times New Roman" w:cs="Times New Roman"/>
          <w:color w:val="000000" w:themeColor="text1"/>
          <w:sz w:val="24"/>
          <w:szCs w:val="24"/>
        </w:rPr>
        <w:t>≤0.0</w:t>
      </w:r>
      <w:r>
        <w:rPr>
          <w:rFonts w:hint="eastAsia"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mg/m</w:t>
      </w:r>
      <w:r>
        <w:rPr>
          <w:rFonts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）的要求，不会对周围大气环境产生明显影响。</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综上所述，项目废气治理措施可行。</w:t>
      </w:r>
    </w:p>
    <w:p>
      <w:pPr>
        <w:pStyle w:val="3"/>
        <w:spacing w:before="0" w:after="0" w:line="360" w:lineRule="auto"/>
        <w:rPr>
          <w:rFonts w:ascii="Times New Roman" w:hAnsi="Times New Roman" w:cs="Times New Roman"/>
          <w:sz w:val="28"/>
          <w:szCs w:val="28"/>
        </w:rPr>
      </w:pPr>
      <w:bookmarkStart w:id="36" w:name="_Toc13725361"/>
      <w:r>
        <w:rPr>
          <w:rFonts w:ascii="Times New Roman" w:hAnsi="Times New Roman" w:cs="Times New Roman"/>
          <w:sz w:val="28"/>
          <w:szCs w:val="28"/>
        </w:rPr>
        <w:t>6.2废水治理措施及其可行性论证</w:t>
      </w:r>
      <w:bookmarkEnd w:id="36"/>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（1）废水来源及组成</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sz w:val="24"/>
          <w:szCs w:val="24"/>
        </w:rPr>
        <w:t>本项目不设传染病房，无传染医疗废水；化验测试药剂无重金属成分，无含重金属废水。项目废水包括门诊废水、医疗器械清洗废水、职工生活污水、病房区生活污水、食堂废水，废水总量为</w:t>
      </w:r>
      <w:r>
        <w:rPr>
          <w:rFonts w:hint="eastAsia" w:ascii="Times New Roman" w:hAnsi="Times New Roman" w:cs="Times New Roman"/>
          <w:color w:val="000000" w:themeColor="text1"/>
          <w:sz w:val="24"/>
          <w:szCs w:val="24"/>
        </w:rPr>
        <w:t>395.686m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/d（144425.390m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/a）。</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（2）废水治理措施</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w:t>
      </w:r>
      <w:r>
        <w:rPr>
          <w:rFonts w:hint="eastAsia" w:ascii="Times New Roman" w:hAnsi="Times New Roman" w:cs="Times New Roman"/>
          <w:sz w:val="24"/>
          <w:szCs w:val="24"/>
        </w:rPr>
        <w:t>项目废水处理</w:t>
      </w:r>
      <w:r>
        <w:rPr>
          <w:rFonts w:ascii="Times New Roman" w:hAnsi="Times New Roman" w:cs="Times New Roman"/>
          <w:sz w:val="24"/>
          <w:szCs w:val="24"/>
        </w:rPr>
        <w:t>工艺是国家环保局发布的《医院污水处理指南》（环发</w:t>
      </w:r>
      <w:r>
        <w:rPr>
          <w:rFonts w:hint="eastAsia" w:ascii="Times New Roman" w:hAnsi="Times New Roman" w:cs="Times New Roman"/>
          <w:sz w:val="24"/>
          <w:szCs w:val="24"/>
        </w:rPr>
        <w:t>【</w:t>
      </w:r>
      <w:r>
        <w:rPr>
          <w:rFonts w:ascii="Times New Roman" w:hAnsi="Times New Roman" w:cs="Times New Roman"/>
          <w:sz w:val="24"/>
          <w:szCs w:val="24"/>
        </w:rPr>
        <w:t>2003</w:t>
      </w:r>
      <w:r>
        <w:rPr>
          <w:rFonts w:hint="eastAsia" w:ascii="Times New Roman" w:hAnsi="Times New Roman" w:cs="Times New Roman"/>
          <w:sz w:val="24"/>
          <w:szCs w:val="24"/>
        </w:rPr>
        <w:t>】</w:t>
      </w:r>
      <w:r>
        <w:rPr>
          <w:rFonts w:ascii="Times New Roman" w:hAnsi="Times New Roman" w:cs="Times New Roman"/>
          <w:sz w:val="24"/>
          <w:szCs w:val="24"/>
        </w:rPr>
        <w:t>197号）中推荐的处理方法，适用于污水排入二级城市污水处理厂的医院</w:t>
      </w:r>
      <w:r>
        <w:rPr>
          <w:rFonts w:hint="eastAsia" w:ascii="Times New Roman" w:hAnsi="Times New Roman" w:cs="Times New Roman"/>
          <w:sz w:val="24"/>
          <w:szCs w:val="24"/>
        </w:rPr>
        <w:t>。</w:t>
      </w:r>
      <w:r>
        <w:rPr>
          <w:rFonts w:ascii="Times New Roman" w:hAnsi="Times New Roman" w:cs="Times New Roman"/>
          <w:sz w:val="24"/>
          <w:szCs w:val="24"/>
        </w:rPr>
        <w:t>工艺流程图见图6-1。</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pict>
          <v:rect id="_x0000_s1489" o:spid="_x0000_s1489" o:spt="1" style="position:absolute;left:0pt;margin-left:203.05pt;margin-top:7.1pt;height:26.65pt;width:90.05pt;z-index:252307456;mso-width-relative:page;mso-height-relative:page;" filled="f" stroked="f" coordsize="21600,21600">
            <v:path/>
            <v:fill on="f" focussize="0,0"/>
            <v:stroke on="f"/>
            <v:imagedata o:title=""/>
            <o:lock v:ext="edit"/>
            <v:textbox>
              <w:txbxContent>
                <w:p>
                  <w:r>
                    <w:rPr>
                      <w:rFonts w:hint="eastAsia"/>
                    </w:rPr>
                    <w:t>分类预处理废水</w:t>
                  </w:r>
                </w:p>
                <w:p/>
              </w:txbxContent>
            </v:textbox>
          </v:rect>
        </w:pic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pict>
          <v:line id="_x0000_s1499" o:spid="_x0000_s1499" o:spt="20" style="position:absolute;left:0pt;flip:x;margin-left:246.95pt;margin-top:11.85pt;height:26.3pt;width:0.55pt;z-index:252317696;mso-width-relative:page;mso-height-relative:page;" coordsize="21600,21600">
            <v:path arrowok="t"/>
            <v:fill focussize="0,0"/>
            <v:stroke endarrow="block"/>
            <v:imagedata o:title=""/>
            <o:lock v:ext="edit"/>
          </v:line>
        </w:pic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pict>
          <v:shape id="_x0000_s1483" o:spid="_x0000_s1483" o:spt="202" type="#_x0000_t202" style="position:absolute;left:0pt;margin-left:221.75pt;margin-top:13.8pt;height:23.4pt;width:50.25pt;z-index:252301312;mso-width-relative:page;mso-height-relative:page;" coordsize="21600,21600">
            <v:path/>
            <v:fill focussize="0,0"/>
            <v:stroke joinstyle="miter"/>
            <v:imagedata o:title=""/>
            <o:lock v:ext="edit"/>
            <v:textbox inset="0mm,0mm,0mm,0mm">
              <w:txbxContent>
                <w:p>
                  <w:pPr>
                    <w:spacing w:line="400" w:lineRule="exact"/>
                    <w:jc w:val="center"/>
                    <w:rPr>
                      <w:rFonts w:ascii="Times New Roman" w:hAnsi="Times New Roman" w:cs="Times New Roman"/>
                      <w:sz w:val="24"/>
                      <w:szCs w:val="24"/>
                    </w:rPr>
                  </w:pPr>
                  <w:r>
                    <w:rPr>
                      <w:rFonts w:ascii="Times New Roman" w:hAnsi="Times New Roman" w:cs="Times New Roman"/>
                      <w:sz w:val="24"/>
                      <w:szCs w:val="24"/>
                    </w:rPr>
                    <w:t>化粪池</w:t>
                  </w:r>
                </w:p>
              </w:txbxContent>
            </v:textbox>
          </v:shape>
        </w:pict>
      </w:r>
      <w:r>
        <w:rPr>
          <w:rFonts w:ascii="Times New Roman" w:hAnsi="Times New Roman" w:cs="Times New Roman"/>
          <w:sz w:val="24"/>
          <w:szCs w:val="24"/>
        </w:rPr>
        <w:pict>
          <v:rect id="_x0000_s1477" o:spid="_x0000_s1477" o:spt="1" style="position:absolute;left:0pt;margin-left:133.15pt;margin-top:13.05pt;height:23.25pt;width:65.05pt;z-index:252295168;mso-width-relative:page;mso-height-relative:page;" stroked="f" coordsize="21600,21600">
            <v:path/>
            <v:fill focussize="0,0"/>
            <v:stroke on="f"/>
            <v:imagedata o:title=""/>
            <o:lock v:ext="edit"/>
            <v:textbox>
              <w:txbxContent>
                <w:p>
                  <w:pPr>
                    <w:rPr>
                      <w:szCs w:val="21"/>
                    </w:rPr>
                  </w:pPr>
                  <w:r>
                    <w:rPr>
                      <w:rFonts w:hint="eastAsia" w:ascii="宋体" w:hAnsi="宋体"/>
                      <w:color w:val="000000"/>
                      <w:szCs w:val="21"/>
                    </w:rPr>
                    <w:t>定期清掏</w:t>
                  </w:r>
                </w:p>
              </w:txbxContent>
            </v:textbox>
          </v:rect>
        </w:pic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pict>
          <v:line id="_x0000_s1503" o:spid="_x0000_s1503" o:spt="20" style="position:absolute;left:0pt;flip:y;margin-left:190.8pt;margin-top:1.95pt;height:0pt;width:30.3pt;z-index:252321792;mso-width-relative:page;mso-height-relative:page;" coordsize="21600,21600">
            <v:path arrowok="t"/>
            <v:fill focussize="0,0"/>
            <v:stroke startarrow="block"/>
            <v:imagedata o:title=""/>
            <o:lock v:ext="edit"/>
          </v:line>
        </w:pict>
      </w:r>
      <w:r>
        <w:rPr>
          <w:rFonts w:ascii="Times New Roman" w:hAnsi="Times New Roman" w:cs="Times New Roman"/>
          <w:sz w:val="24"/>
          <w:szCs w:val="24"/>
        </w:rPr>
        <w:pict>
          <v:line id="_x0000_s1502" o:spid="_x0000_s1502" o:spt="20" style="position:absolute;left:0pt;margin-left:272.6pt;margin-top:2.5pt;height:0.6pt;width:39.55pt;z-index:252320768;mso-width-relative:page;mso-height-relative:page;" coordsize="21600,21600">
            <v:path arrowok="t"/>
            <v:fill focussize="0,0"/>
            <v:stroke startarrow="block"/>
            <v:imagedata o:title=""/>
            <o:lock v:ext="edit"/>
          </v:line>
        </w:pict>
      </w:r>
      <w:r>
        <w:rPr>
          <w:rFonts w:ascii="Times New Roman" w:hAnsi="Times New Roman" w:cs="Times New Roman"/>
          <w:sz w:val="24"/>
          <w:szCs w:val="24"/>
        </w:rPr>
        <w:pict>
          <v:line id="_x0000_s1486" o:spid="_x0000_s1486" o:spt="20" style="position:absolute;left:0pt;flip:x;margin-left:247.3pt;margin-top:13.45pt;height:26.35pt;width:0.05pt;z-index:252304384;mso-width-relative:page;mso-height-relative:page;" coordsize="21600,21600">
            <v:path arrowok="t"/>
            <v:fill focussize="0,0"/>
            <v:stroke endarrow="block"/>
            <v:imagedata o:title=""/>
            <o:lock v:ext="edit"/>
          </v:line>
        </w:pict>
      </w:r>
      <w:r>
        <w:rPr>
          <w:rFonts w:ascii="Times New Roman" w:hAnsi="Times New Roman" w:cs="Times New Roman"/>
          <w:sz w:val="24"/>
          <w:szCs w:val="24"/>
        </w:rPr>
        <w:pict>
          <v:line id="_x0000_s1485" o:spid="_x0000_s1485" o:spt="20" style="position:absolute;left:0pt;flip:x;margin-left:310.9pt;margin-top:2.25pt;height:149.55pt;width:1.05pt;z-index:252303360;mso-width-relative:page;mso-height-relative:page;" coordsize="21600,21600">
            <v:path arrowok="t"/>
            <v:fill focussize="0,0"/>
            <v:stroke/>
            <v:imagedata o:title=""/>
            <o:lock v:ext="edit"/>
          </v:line>
        </w:pic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pict>
          <v:rect id="_x0000_s1496" o:spid="_x0000_s1496" o:spt="1" style="position:absolute;left:0pt;margin-left:141.8pt;margin-top:18.35pt;height:18.5pt;width:46.9pt;z-index:252314624;mso-width-relative:page;mso-height-relative:page;" stroked="f" coordsize="21600,21600">
            <v:path/>
            <v:fill focussize="0,0"/>
            <v:stroke on="f"/>
            <v:imagedata o:title=""/>
            <o:lock v:ext="edit"/>
            <v:textbox inset="0mm,0mm,0mm,0mm">
              <w:txbxContent>
                <w:p>
                  <w:r>
                    <w:rPr>
                      <w:rFonts w:hint="eastAsia"/>
                    </w:rPr>
                    <w:t>栅渣外运</w:t>
                  </w:r>
                </w:p>
              </w:txbxContent>
            </v:textbox>
          </v:rect>
        </w:pict>
      </w:r>
      <w:r>
        <w:rPr>
          <w:rFonts w:ascii="Times New Roman" w:hAnsi="Times New Roman" w:cs="Times New Roman"/>
          <w:sz w:val="24"/>
          <w:szCs w:val="24"/>
        </w:rPr>
        <w:pict>
          <v:rect id="_x0000_s1478" o:spid="_x0000_s1478" o:spt="1" style="position:absolute;left:0pt;margin-left:224.5pt;margin-top:16.55pt;height:23.4pt;width:42.7pt;z-index:252296192;mso-width-relative:page;mso-height-relative:page;" coordsize="21600,21600">
            <v:path/>
            <v:fill focussize="0,0"/>
            <v:stroke/>
            <v:imagedata o:title=""/>
            <o:lock v:ext="edit"/>
            <v:textbox>
              <w:txbxContent>
                <w:p>
                  <w:pPr>
                    <w:jc w:val="center"/>
                  </w:pPr>
                  <w:r>
                    <w:rPr>
                      <w:rFonts w:hint="eastAsia"/>
                    </w:rPr>
                    <w:t>格栅</w:t>
                  </w:r>
                </w:p>
              </w:txbxContent>
            </v:textbox>
          </v:rect>
        </w:pic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pict>
          <v:line id="_x0000_s1500" o:spid="_x0000_s1500" o:spt="20" style="position:absolute;left:0pt;flip:x;margin-left:245.6pt;margin-top:17.9pt;height:26.35pt;width:0.05pt;z-index:252318720;mso-width-relative:page;mso-height-relative:page;" coordsize="21600,21600">
            <v:path arrowok="t"/>
            <v:fill focussize="0,0"/>
            <v:stroke endarrow="block"/>
            <v:imagedata o:title=""/>
            <o:lock v:ext="edit"/>
          </v:line>
        </w:pict>
      </w:r>
      <w:r>
        <w:rPr>
          <w:rFonts w:ascii="Times New Roman" w:hAnsi="Times New Roman" w:cs="Times New Roman"/>
          <w:sz w:val="24"/>
          <w:szCs w:val="24"/>
        </w:rPr>
        <w:pict>
          <v:rect id="_x0000_s1498" o:spid="_x0000_s1498" o:spt="1" style="position:absolute;left:0pt;margin-left:318.5pt;margin-top:2.5pt;height:65.7pt;width:16.95pt;z-index:252316672;mso-width-relative:page;mso-height-relative:page;" stroked="f" coordsize="21600,21600">
            <v:path/>
            <v:fill focussize="0,0"/>
            <v:stroke on="f"/>
            <v:imagedata o:title=""/>
            <o:lock v:ext="edit"/>
            <v:textbox inset="0mm,0mm,0mm,0mm">
              <w:txbxContent>
                <w:p>
                  <w:r>
                    <w:rPr>
                      <w:rFonts w:hint="eastAsia"/>
                    </w:rPr>
                    <w:t>污泥回流</w:t>
                  </w:r>
                </w:p>
              </w:txbxContent>
            </v:textbox>
          </v:rect>
        </w:pict>
      </w:r>
      <w:r>
        <w:rPr>
          <w:rFonts w:ascii="Times New Roman" w:hAnsi="Times New Roman" w:cs="Times New Roman"/>
          <w:sz w:val="24"/>
          <w:szCs w:val="24"/>
        </w:rPr>
        <w:pict>
          <v:line id="_x0000_s1488" o:spid="_x0000_s1488" o:spt="20" style="position:absolute;left:0pt;flip:y;margin-left:193.7pt;margin-top:5.25pt;height:0pt;width:30.3pt;z-index:252306432;mso-width-relative:page;mso-height-relative:page;" coordsize="21600,21600">
            <v:path arrowok="t"/>
            <v:fill focussize="0,0"/>
            <v:stroke startarrow="block"/>
            <v:imagedata o:title=""/>
            <o:lock v:ext="edit"/>
          </v:line>
        </w:pic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pict>
          <v:rect id="_x0000_s1501" o:spid="_x0000_s1501" o:spt="1" style="position:absolute;left:0pt;margin-left:218.6pt;margin-top:21.55pt;height:23.4pt;width:52.5pt;z-index:252319744;mso-width-relative:page;mso-height-relative:page;" coordsize="21600,21600">
            <v:path/>
            <v:fill focussize="0,0"/>
            <v:stroke/>
            <v:imagedata o:title=""/>
            <o:lock v:ext="edit"/>
            <v:textbox>
              <w:txbxContent>
                <w:p>
                  <w:pPr>
                    <w:jc w:val="center"/>
                  </w:pPr>
                  <w:r>
                    <w:rPr>
                      <w:rFonts w:hint="eastAsia"/>
                    </w:rPr>
                    <w:t>调节池</w:t>
                  </w:r>
                </w:p>
              </w:txbxContent>
            </v:textbox>
          </v:rect>
        </w:pic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pict>
          <v:line id="_x0000_s1494" o:spid="_x0000_s1494" o:spt="20" style="position:absolute;left:0pt;flip:x;margin-left:244.45pt;margin-top:19.05pt;height:26.3pt;width:0.05pt;z-index:252312576;mso-width-relative:page;mso-height-relative:page;" coordsize="21600,21600">
            <v:path arrowok="t"/>
            <v:fill focussize="0,0"/>
            <v:stroke endarrow="block"/>
            <v:imagedata o:title=""/>
            <o:lock v:ext="edit"/>
          </v:line>
        </w:pic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pict>
          <v:shape id="_x0000_s1497" o:spid="_x0000_s1497" o:spt="202" type="#_x0000_t202" style="position:absolute;left:0pt;margin-left:291.25pt;margin-top:13.5pt;height:15.6pt;width:16.6pt;z-index:252315648;mso-width-relative:page;mso-height-relative:page;" stroked="t" coordsize="21600,21600">
            <v:path/>
            <v:fill focussize="0,0"/>
            <v:stroke color="#FFFFFF" joinstyle="miter"/>
            <v:imagedata o:title=""/>
            <o:lock v:ext="edit"/>
            <v:textbox inset="0mm,0mm,0mm,0mm">
              <w:txbxContent>
                <w:p>
                  <w:r>
                    <w:rPr>
                      <w:rFonts w:hint="eastAsia"/>
                    </w:rPr>
                    <w:t>泵</w:t>
                  </w:r>
                </w:p>
              </w:txbxContent>
            </v:textbox>
          </v:shape>
        </w:pict>
      </w:r>
      <w:r>
        <w:rPr>
          <w:rFonts w:ascii="Times New Roman" w:hAnsi="Times New Roman" w:cs="Times New Roman"/>
          <w:sz w:val="24"/>
          <w:szCs w:val="24"/>
        </w:rPr>
        <w:pict>
          <v:shape id="_x0000_s1493" o:spid="_x0000_s1493" o:spt="202" type="#_x0000_t202" style="position:absolute;left:0pt;margin-left:250.4pt;margin-top:0.9pt;height:15.6pt;width:16.6pt;z-index:252311552;mso-width-relative:page;mso-height-relative:page;" stroked="t" coordsize="21600,21600">
            <v:path/>
            <v:fill focussize="0,0"/>
            <v:stroke color="#FFFFFF" joinstyle="miter"/>
            <v:imagedata o:title=""/>
            <o:lock v:ext="edit"/>
            <v:textbox inset="0mm,0mm,0mm,0mm">
              <w:txbxContent>
                <w:p>
                  <w:r>
                    <w:rPr>
                      <w:rFonts w:hint="eastAsia"/>
                    </w:rPr>
                    <w:t>泵</w:t>
                  </w:r>
                </w:p>
              </w:txbxContent>
            </v:textbox>
          </v:shape>
        </w:pict>
      </w:r>
      <w:r>
        <w:rPr>
          <w:rFonts w:ascii="Times New Roman" w:hAnsi="Times New Roman" w:cs="Times New Roman"/>
          <w:sz w:val="24"/>
          <w:szCs w:val="24"/>
        </w:rPr>
        <w:pict>
          <v:rect id="_x0000_s1479" o:spid="_x0000_s1479" o:spt="1" style="position:absolute;left:0pt;margin-left:206.7pt;margin-top:22.85pt;height:25.4pt;width:76.1pt;z-index:252297216;mso-width-relative:page;mso-height-relative:page;" coordsize="21600,21600">
            <v:path/>
            <v:fill focussize="0,0"/>
            <v:stroke/>
            <v:imagedata o:title=""/>
            <o:lock v:ext="edit"/>
            <v:textbox>
              <w:txbxContent>
                <w:p>
                  <w:pPr>
                    <w:jc w:val="center"/>
                    <w:rPr>
                      <w:rFonts w:ascii="宋体" w:hAnsi="宋体"/>
                      <w:szCs w:val="21"/>
                    </w:rPr>
                  </w:pPr>
                  <w:r>
                    <w:rPr>
                      <w:rFonts w:hint="eastAsia" w:ascii="宋体"/>
                      <w:szCs w:val="21"/>
                    </w:rPr>
                    <w:t>混凝沉淀池</w:t>
                  </w:r>
                </w:p>
              </w:txbxContent>
            </v:textbox>
          </v:rect>
        </w:pic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pict>
          <v:shape id="_x0000_s1495" o:spid="_x0000_s1495" o:spt="202" type="#_x0000_t202" style="position:absolute;left:0pt;margin-left:118.45pt;margin-top:5pt;height:15.6pt;width:51.75pt;z-index:252313600;mso-width-relative:page;mso-height-relative:page;" stroked="t" coordsize="21600,21600">
            <v:path/>
            <v:fill focussize="0,0"/>
            <v:stroke color="#FFFFFF" joinstyle="miter"/>
            <v:imagedata o:title=""/>
            <o:lock v:ext="edit"/>
            <v:textbox inset="0mm,0mm,0mm,0mm">
              <w:txbxContent>
                <w:p>
                  <w:r>
                    <w:rPr>
                      <w:rFonts w:hint="eastAsia"/>
                    </w:rPr>
                    <w:t>PAC、PAM</w:t>
                  </w:r>
                </w:p>
              </w:txbxContent>
            </v:textbox>
          </v:shape>
        </w:pict>
      </w:r>
      <w:r>
        <w:rPr>
          <w:rFonts w:ascii="Times New Roman" w:hAnsi="Times New Roman" w:cs="Times New Roman"/>
          <w:sz w:val="24"/>
          <w:szCs w:val="24"/>
        </w:rPr>
        <w:pict>
          <v:line id="_x0000_s1492" o:spid="_x0000_s1492" o:spt="20" style="position:absolute;left:0pt;margin-left:172.3pt;margin-top:11.65pt;height:0.05pt;width:34.75pt;z-index:252310528;mso-width-relative:page;mso-height-relative:page;" coordsize="21600,21600">
            <v:path arrowok="t"/>
            <v:fill focussize="0,0"/>
            <v:stroke endarrow="block"/>
            <v:imagedata o:title=""/>
            <o:lock v:ext="edit"/>
          </v:line>
        </w:pict>
      </w:r>
      <w:r>
        <w:rPr>
          <w:rFonts w:ascii="Times New Roman" w:hAnsi="Times New Roman" w:cs="Times New Roman"/>
          <w:sz w:val="24"/>
          <w:szCs w:val="24"/>
        </w:rPr>
        <w:pict>
          <v:line id="_x0000_s1480" o:spid="_x0000_s1480" o:spt="20" style="position:absolute;left:0pt;margin-left:283.9pt;margin-top:12.3pt;height:0.55pt;width:28.2pt;z-index:252298240;mso-width-relative:page;mso-height-relative:page;" coordsize="21600,21600">
            <v:path arrowok="t"/>
            <v:fill focussize="0,0"/>
            <v:stroke endarrow="block"/>
            <v:imagedata o:title=""/>
            <o:lock v:ext="edit"/>
          </v:line>
        </w:pic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pict>
          <v:line id="_x0000_s1504" o:spid="_x0000_s1504" o:spt="20" style="position:absolute;left:0pt;flip:x;margin-left:243.9pt;margin-top:3.55pt;height:26.3pt;width:0.05pt;z-index:252322816;mso-width-relative:page;mso-height-relative:page;" coordsize="21600,21600">
            <v:path arrowok="t"/>
            <v:fill focussize="0,0"/>
            <v:stroke endarrow="block"/>
            <v:imagedata o:title=""/>
            <o:lock v:ext="edit"/>
          </v:line>
        </w:pic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pict>
          <v:rect id="_x0000_s1487" o:spid="_x0000_s1487" o:spt="1" style="position:absolute;left:0pt;margin-left:95.8pt;margin-top:11pt;height:17.1pt;width:76.5pt;z-index:252305408;mso-width-relative:page;mso-height-relative:page;" stroked="f" coordsize="21600,21600">
            <v:path/>
            <v:fill focussize="0,0"/>
            <v:stroke on="f"/>
            <v:imagedata o:title=""/>
            <o:lock v:ext="edit"/>
            <v:textbox inset="0mm,0mm,0mm,0mm">
              <w:txbxContent>
                <w:p>
                  <w:r>
                    <w:rPr>
                      <w:rFonts w:hint="eastAsia"/>
                    </w:rPr>
                    <w:t>二氧化氯发生器</w:t>
                  </w:r>
                </w:p>
              </w:txbxContent>
            </v:textbox>
          </v:rect>
        </w:pict>
      </w:r>
      <w:r>
        <w:rPr>
          <w:rFonts w:ascii="Times New Roman" w:hAnsi="Times New Roman" w:cs="Times New Roman"/>
          <w:sz w:val="24"/>
          <w:szCs w:val="24"/>
        </w:rPr>
        <w:pict>
          <v:line id="_x0000_s1505" o:spid="_x0000_s1505" o:spt="20" style="position:absolute;left:0pt;margin-left:171.15pt;margin-top:19.55pt;height:0.05pt;width:34.75pt;z-index:252323840;mso-width-relative:page;mso-height-relative:page;" coordsize="21600,21600">
            <v:path arrowok="t"/>
            <v:fill focussize="0,0"/>
            <v:stroke endarrow="block"/>
            <v:imagedata o:title=""/>
            <o:lock v:ext="edit"/>
          </v:line>
        </w:pict>
      </w:r>
      <w:r>
        <w:rPr>
          <w:rFonts w:ascii="Times New Roman" w:hAnsi="Times New Roman" w:cs="Times New Roman"/>
          <w:sz w:val="24"/>
          <w:szCs w:val="24"/>
        </w:rPr>
        <w:pict>
          <v:rect id="_x0000_s1482" o:spid="_x0000_s1482" o:spt="1" style="position:absolute;left:0pt;margin-left:205.85pt;margin-top:7.25pt;height:23.4pt;width:76.75pt;z-index:252300288;mso-width-relative:page;mso-height-relative:page;" coordsize="21600,21600">
            <v:path/>
            <v:fill focussize="0,0"/>
            <v:stroke/>
            <v:imagedata o:title=""/>
            <o:lock v:ext="edit"/>
            <v:textbox>
              <w:txbxContent>
                <w:p>
                  <w:pPr>
                    <w:jc w:val="center"/>
                  </w:pPr>
                  <w:r>
                    <w:rPr>
                      <w:rFonts w:hint="eastAsia"/>
                    </w:rPr>
                    <w:t>接触消毒池</w:t>
                  </w:r>
                </w:p>
              </w:txbxContent>
            </v:textbox>
          </v:rect>
        </w:pic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pict>
          <v:line id="_x0000_s1484" o:spid="_x0000_s1484" o:spt="20" style="position:absolute;left:0pt;flip:x;margin-left:243.05pt;margin-top:6.45pt;height:28.15pt;width:0.55pt;z-index:252302336;mso-width-relative:page;mso-height-relative:page;" coordsize="21600,21600">
            <v:path arrowok="t"/>
            <v:fill focussize="0,0"/>
            <v:stroke endarrow="block"/>
            <v:imagedata o:title=""/>
            <o:lock v:ext="edit"/>
          </v:line>
        </w:pic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pict>
          <v:rect id="_x0000_s1481" o:spid="_x0000_s1481" o:spt="1" style="position:absolute;left:0pt;margin-left:204.95pt;margin-top:12.65pt;height:23.4pt;width:81.55pt;z-index:252299264;mso-width-relative:page;mso-height-relative:page;" coordsize="21600,21600">
            <v:path/>
            <v:fill focussize="0,0"/>
            <v:stroke/>
            <v:imagedata o:title=""/>
            <o:lock v:ext="edit"/>
            <v:textbox>
              <w:txbxContent>
                <w:p>
                  <w:r>
                    <w:rPr>
                      <w:rFonts w:hint="eastAsia"/>
                    </w:rPr>
                    <w:t xml:space="preserve">城市污水管网 </w:t>
                  </w:r>
                </w:p>
              </w:txbxContent>
            </v:textbox>
          </v:rect>
        </w:pic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pict>
          <v:line id="_x0000_s1490" o:spid="_x0000_s1490" o:spt="20" style="position:absolute;left:0pt;flip:x;margin-left:241.25pt;margin-top:13.45pt;height:26.3pt;width:0.55pt;z-index:252308480;mso-width-relative:page;mso-height-relative:page;" coordsize="21600,21600">
            <v:path arrowok="t"/>
            <v:fill focussize="0,0"/>
            <v:stroke endarrow="block"/>
            <v:imagedata o:title=""/>
            <o:lock v:ext="edit"/>
          </v:line>
        </w:pic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pict>
          <v:rect id="_x0000_s1491" o:spid="_x0000_s1491" o:spt="1" style="position:absolute;left:0pt;margin-left:192.55pt;margin-top:15.9pt;height:26.65pt;width:99.75pt;z-index:252309504;mso-width-relative:page;mso-height-relative:page;" filled="f" stroked="f" coordsize="21600,21600">
            <v:path/>
            <v:fill on="f" focussize="0,0"/>
            <v:stroke on="f"/>
            <v:imagedata o:title=""/>
            <o:lock v:ext="edit"/>
            <v:textbox>
              <w:txbxContent>
                <w:p>
                  <w:r>
                    <w:rPr>
                      <w:rFonts w:hint="eastAsia"/>
                    </w:rPr>
                    <w:t>银定庄污水处理厂</w:t>
                  </w:r>
                </w:p>
                <w:p/>
              </w:txbxContent>
            </v:textbox>
          </v:rect>
        </w:pic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pict>
          <v:shape id="_x0000_s1506" o:spid="_x0000_s1506" o:spt="202" type="#_x0000_t202" style="position:absolute;left:0pt;margin-left:108.7pt;margin-top:11.7pt;height:31.2pt;width:246.75pt;z-index:252272640;mso-width-relative:page;mso-height-relative:page;" filled="f" stroked="f" coordsize="21600,21600">
            <v:path/>
            <v:fill on="f" focussize="0,0"/>
            <v:stroke on="f" joinstyle="miter"/>
            <v:imagedata o:title=""/>
            <o:lock v:ext="edit"/>
            <v:textbox>
              <w:txbxContent>
                <w:p>
                  <w:pPr>
                    <w:spacing w:line="460" w:lineRule="exact"/>
                    <w:ind w:firstLine="482" w:firstLineChars="200"/>
                    <w:rPr>
                      <w:rFonts w:ascii="Times New Roman" w:hAnsi="Times New Roman" w:cs="Times New Roman"/>
                      <w:b/>
                      <w:sz w:val="24"/>
                      <w:szCs w:val="24"/>
                    </w:rPr>
                  </w:pPr>
                  <w:r>
                    <w:rPr>
                      <w:rFonts w:ascii="Times New Roman" w:hAnsi="Times New Roman" w:cs="Times New Roman"/>
                      <w:b/>
                      <w:sz w:val="24"/>
                      <w:szCs w:val="24"/>
                    </w:rPr>
                    <w:t>图6-1   项目污水处理工艺流程</w:t>
                  </w:r>
                </w:p>
                <w:p/>
              </w:txbxContent>
            </v:textbox>
          </v:shape>
        </w:pict>
      </w:r>
    </w:p>
    <w:p>
      <w:pPr>
        <w:spacing w:line="360" w:lineRule="auto"/>
        <w:ind w:firstLine="480" w:firstLineChars="200"/>
        <w:rPr>
          <w:rFonts w:ascii="Times New Roman" w:hAnsi="Times New Roman" w:cs="Times New Roman"/>
          <w:sz w:val="24"/>
          <w:szCs w:val="24"/>
        </w:rPr>
      </w:pPr>
    </w:p>
    <w:p>
      <w:pPr>
        <w:spacing w:line="360" w:lineRule="auto"/>
        <w:ind w:firstLine="482" w:firstLineChars="200"/>
        <w:rPr>
          <w:rFonts w:ascii="Times New Roman" w:hAnsi="Times New Roman" w:cs="Times New Roman"/>
          <w:sz w:val="24"/>
          <w:szCs w:val="24"/>
        </w:rPr>
      </w:pPr>
      <w:r>
        <w:rPr>
          <w:rFonts w:hint="eastAsia" w:ascii="Times New Roman" w:hAnsi="Times New Roman" w:cs="Times New Roman"/>
          <w:b/>
          <w:sz w:val="24"/>
          <w:szCs w:val="24"/>
        </w:rPr>
        <w:t>工艺流程简介：</w:t>
      </w:r>
      <w:r>
        <w:rPr>
          <w:rFonts w:ascii="Times New Roman" w:hAnsi="Times New Roman" w:cs="Times New Roman"/>
          <w:sz w:val="24"/>
          <w:szCs w:val="24"/>
        </w:rPr>
        <w:t>常规医疗废水、生活污水一并进入化粪池沉淀去除泥沙和隔离漂浮物后排入污水处理站，污水流经格栅拦截污水中较大的杂物和悬浮物后自流进入调节池，调节水量，均化水质。调节池出水经提升泵提升至混凝</w:t>
      </w:r>
      <w:r>
        <w:rPr>
          <w:rFonts w:hint="eastAsia" w:ascii="Times New Roman" w:hAnsi="Times New Roman" w:cs="Times New Roman"/>
          <w:sz w:val="24"/>
          <w:szCs w:val="24"/>
        </w:rPr>
        <w:t>沉淀</w:t>
      </w:r>
      <w:r>
        <w:rPr>
          <w:rFonts w:ascii="Times New Roman" w:hAnsi="Times New Roman" w:cs="Times New Roman"/>
          <w:sz w:val="24"/>
          <w:szCs w:val="24"/>
        </w:rPr>
        <w:t>池，在混凝</w:t>
      </w:r>
      <w:r>
        <w:rPr>
          <w:rFonts w:hint="eastAsia" w:ascii="Times New Roman" w:hAnsi="Times New Roman" w:cs="Times New Roman"/>
          <w:sz w:val="24"/>
          <w:szCs w:val="24"/>
        </w:rPr>
        <w:t>沉淀</w:t>
      </w:r>
      <w:r>
        <w:rPr>
          <w:rFonts w:ascii="Times New Roman" w:hAnsi="Times New Roman" w:cs="Times New Roman"/>
          <w:sz w:val="24"/>
          <w:szCs w:val="24"/>
        </w:rPr>
        <w:t>池内投加PAC、PAM，加速水中微小悬浮物絮凝成大块絮状体，通过沉淀作用，降低水中污染物含量，</w:t>
      </w:r>
      <w:r>
        <w:rPr>
          <w:rFonts w:hint="eastAsia" w:ascii="Times New Roman" w:hAnsi="Times New Roman" w:cs="Times New Roman"/>
          <w:sz w:val="24"/>
          <w:szCs w:val="24"/>
        </w:rPr>
        <w:t>混凝</w:t>
      </w:r>
      <w:r>
        <w:rPr>
          <w:rFonts w:ascii="Times New Roman" w:hAnsi="Times New Roman" w:cs="Times New Roman"/>
          <w:sz w:val="24"/>
          <w:szCs w:val="24"/>
        </w:rPr>
        <w:t>沉淀池上清液自流至接触消毒池，在此</w:t>
      </w:r>
      <w:r>
        <w:rPr>
          <w:rFonts w:hint="eastAsia" w:ascii="Times New Roman" w:hAnsi="Times New Roman" w:cs="Times New Roman"/>
          <w:bCs/>
          <w:sz w:val="24"/>
          <w:szCs w:val="24"/>
        </w:rPr>
        <w:t>采取二氧化氯发生器</w:t>
      </w:r>
      <w:r>
        <w:rPr>
          <w:rFonts w:hint="eastAsia" w:ascii="Times New Roman" w:hAnsi="Times New Roman" w:cs="Times New Roman"/>
          <w:sz w:val="24"/>
          <w:szCs w:val="24"/>
        </w:rPr>
        <w:t>消毒</w:t>
      </w:r>
      <w:r>
        <w:rPr>
          <w:rFonts w:ascii="Times New Roman" w:hAnsi="Times New Roman" w:cs="Times New Roman"/>
          <w:sz w:val="24"/>
          <w:szCs w:val="24"/>
        </w:rPr>
        <w:t>，</w:t>
      </w:r>
      <w:r>
        <w:rPr>
          <w:rFonts w:hint="eastAsia" w:ascii="Times New Roman" w:hAnsi="Times New Roman" w:cs="Times New Roman"/>
          <w:sz w:val="24"/>
          <w:szCs w:val="24"/>
        </w:rPr>
        <w:t>接触</w:t>
      </w:r>
      <w:r>
        <w:rPr>
          <w:rFonts w:ascii="Times New Roman" w:hAnsi="Times New Roman" w:cs="Times New Roman"/>
          <w:sz w:val="24"/>
          <w:szCs w:val="24"/>
        </w:rPr>
        <w:t>消毒池出水排入城市污水管网。医院污水在处理过程中产生的污泥因污泥量不大可排入化粪池进行贮存，通过投加</w:t>
      </w:r>
      <w:r>
        <w:rPr>
          <w:rFonts w:hint="eastAsia" w:ascii="Times New Roman" w:hAnsi="Times New Roman" w:cs="Times New Roman"/>
          <w:sz w:val="24"/>
          <w:szCs w:val="24"/>
        </w:rPr>
        <w:t>生</w:t>
      </w:r>
      <w:r>
        <w:rPr>
          <w:rFonts w:ascii="Times New Roman" w:hAnsi="Times New Roman" w:cs="Times New Roman"/>
          <w:sz w:val="24"/>
          <w:szCs w:val="24"/>
        </w:rPr>
        <w:t>石灰进行消毒后定期清掏并运送至医疗废弃物集中处置</w:t>
      </w:r>
      <w:r>
        <w:rPr>
          <w:rFonts w:hint="eastAsia" w:ascii="Times New Roman" w:hAnsi="Times New Roman" w:cs="Times New Roman"/>
          <w:sz w:val="24"/>
          <w:szCs w:val="24"/>
        </w:rPr>
        <w:t>中心统一处置</w:t>
      </w:r>
      <w:r>
        <w:rPr>
          <w:rFonts w:ascii="Times New Roman" w:hAnsi="Times New Roman" w:cs="Times New Roman"/>
          <w:sz w:val="24"/>
          <w:szCs w:val="24"/>
        </w:rPr>
        <w:t>。</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sz w:val="24"/>
          <w:szCs w:val="24"/>
        </w:rPr>
        <w:t>为保证医院外排污水达到《医疗机构水污染物排放标准》（GB18466-2005）表2中预处理标准要求</w:t>
      </w:r>
      <w:r>
        <w:rPr>
          <w:rFonts w:hint="eastAsia" w:ascii="Times New Roman" w:hAnsi="Times New Roman" w:cs="Times New Roman"/>
          <w:sz w:val="24"/>
          <w:szCs w:val="24"/>
        </w:rPr>
        <w:t>，同时</w:t>
      </w:r>
      <w:r>
        <w:rPr>
          <w:rFonts w:ascii="Times New Roman" w:hAnsi="Times New Roman" w:cs="Times New Roman"/>
          <w:sz w:val="24"/>
          <w:szCs w:val="24"/>
        </w:rPr>
        <w:t>考虑后期预留发展规模，本项目拟建一座处理能力为</w:t>
      </w:r>
      <w:r>
        <w:rPr>
          <w:rFonts w:hint="eastAsia"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0m</w:t>
      </w:r>
      <w:r>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/d的污水处理站</w:t>
      </w:r>
      <w:r>
        <w:rPr>
          <w:rFonts w:hint="eastAsia" w:ascii="Times New Roman" w:hAnsi="Times New Roman" w:cs="Times New Roman"/>
          <w:color w:val="000000" w:themeColor="text1"/>
          <w:sz w:val="24"/>
          <w:szCs w:val="24"/>
        </w:rPr>
        <w:t>。处理后外排污水中各污染物排放浓度为COD150 mg/L、SS40 mg/L、氨氮15 mg/L、总氮28 mg/L、总磷5.0mg/L、粪大肠菌群23MPN/L、动植物油10 mg/L，</w:t>
      </w:r>
      <w:r>
        <w:rPr>
          <w:rFonts w:ascii="Times New Roman" w:hAnsi="Times New Roman" w:cs="Times New Roman"/>
          <w:color w:val="000000" w:themeColor="text1"/>
          <w:sz w:val="24"/>
          <w:szCs w:val="24"/>
        </w:rPr>
        <w:t>处理</w:t>
      </w:r>
      <w:r>
        <w:rPr>
          <w:rFonts w:hint="eastAsia" w:ascii="Times New Roman" w:hAnsi="Times New Roman" w:cs="Times New Roman"/>
          <w:color w:val="000000" w:themeColor="text1"/>
          <w:sz w:val="24"/>
          <w:szCs w:val="24"/>
        </w:rPr>
        <w:t>后废水水质</w:t>
      </w:r>
      <w:r>
        <w:rPr>
          <w:rFonts w:ascii="Times New Roman" w:hAnsi="Times New Roman" w:cs="Times New Roman"/>
          <w:color w:val="000000" w:themeColor="text1"/>
          <w:sz w:val="24"/>
          <w:szCs w:val="24"/>
        </w:rPr>
        <w:t>达到</w:t>
      </w:r>
      <w:r>
        <w:rPr>
          <w:rFonts w:hint="eastAsia" w:ascii="Times New Roman" w:hAnsi="Times New Roman" w:cs="Times New Roman"/>
          <w:color w:val="000000" w:themeColor="text1"/>
          <w:sz w:val="24"/>
          <w:szCs w:val="24"/>
        </w:rPr>
        <w:t>《医疗机构水污染物排放标准》（GB18466-2005）表2预处理标准，同时满足银定庄污水处理厂进水水质要求。</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（3）废水治理措施可行性分析</w:t>
      </w:r>
    </w:p>
    <w:p>
      <w:pPr>
        <w:spacing w:line="360" w:lineRule="auto"/>
        <w:ind w:firstLine="482" w:firstLineChars="200"/>
        <w:jc w:val="center"/>
        <w:rPr>
          <w:rFonts w:ascii="Times New Roman" w:hAnsi="Times New Roman" w:cs="Times New Roman"/>
          <w:b/>
          <w:color w:val="FF0000"/>
          <w:sz w:val="24"/>
          <w:szCs w:val="24"/>
        </w:rPr>
      </w:pPr>
      <w:r>
        <w:rPr>
          <w:rFonts w:ascii="Times New Roman" w:cs="Times New Roman" w:hAnsiTheme="minorEastAsia"/>
          <w:b/>
          <w:color w:val="000000" w:themeColor="text1"/>
          <w:sz w:val="24"/>
          <w:szCs w:val="24"/>
        </w:rPr>
        <w:t>表</w:t>
      </w:r>
      <w:r>
        <w:rPr>
          <w:rFonts w:ascii="Times New Roman" w:hAnsi="Times New Roman" w:cs="Times New Roman"/>
          <w:b/>
          <w:color w:val="000000" w:themeColor="text1"/>
          <w:sz w:val="24"/>
          <w:szCs w:val="24"/>
        </w:rPr>
        <w:t xml:space="preserve">6-1    </w:t>
      </w:r>
      <w:r>
        <w:rPr>
          <w:rFonts w:ascii="Times New Roman" w:cs="Times New Roman" w:hAnsiTheme="minorEastAsia"/>
          <w:b/>
          <w:color w:val="000000" w:themeColor="text1"/>
          <w:sz w:val="24"/>
          <w:szCs w:val="24"/>
        </w:rPr>
        <w:t>污水站</w:t>
      </w:r>
      <w:r>
        <w:rPr>
          <w:rFonts w:ascii="Times New Roman" w:cs="Times New Roman"/>
          <w:b/>
          <w:color w:val="000000" w:themeColor="text1"/>
          <w:sz w:val="24"/>
          <w:szCs w:val="24"/>
        </w:rPr>
        <w:t>各工段去除效率一览表</w:t>
      </w:r>
    </w:p>
    <w:tbl>
      <w:tblPr>
        <w:tblStyle w:val="27"/>
        <w:tblW w:w="8522" w:type="dxa"/>
        <w:tblInd w:w="0" w:type="dxa"/>
        <w:tblLayout w:type="fixed"/>
        <w:tblCellMar>
          <w:top w:w="0" w:type="dxa"/>
          <w:left w:w="108" w:type="dxa"/>
          <w:bottom w:w="0" w:type="dxa"/>
          <w:right w:w="108" w:type="dxa"/>
        </w:tblCellMar>
      </w:tblPr>
      <w:tblGrid>
        <w:gridCol w:w="1147"/>
        <w:gridCol w:w="1946"/>
        <w:gridCol w:w="1433"/>
        <w:gridCol w:w="2095"/>
        <w:gridCol w:w="1901"/>
      </w:tblGrid>
      <w:tr>
        <w:tblPrEx>
          <w:tblLayout w:type="fixed"/>
          <w:tblCellMar>
            <w:top w:w="0" w:type="dxa"/>
            <w:left w:w="108" w:type="dxa"/>
            <w:bottom w:w="0" w:type="dxa"/>
            <w:right w:w="108" w:type="dxa"/>
          </w:tblCellMar>
        </w:tblPrEx>
        <w:trPr>
          <w:trHeight w:val="284" w:hRule="atLeast"/>
        </w:trPr>
        <w:tc>
          <w:tcPr>
            <w:tcW w:w="1147"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cs="Times New Roman"/>
                <w:bCs/>
                <w:color w:val="000000" w:themeColor="text1"/>
                <w:kern w:val="0"/>
                <w:szCs w:val="21"/>
              </w:rPr>
              <w:t>指标</w:t>
            </w:r>
          </w:p>
        </w:tc>
        <w:tc>
          <w:tcPr>
            <w:tcW w:w="1946" w:type="dxa"/>
            <w:tcBorders>
              <w:top w:val="single" w:color="auto" w:sz="4" w:space="0"/>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cs="Times New Roman"/>
                <w:bCs/>
                <w:color w:val="000000" w:themeColor="text1"/>
                <w:kern w:val="0"/>
                <w:szCs w:val="21"/>
              </w:rPr>
              <w:t>　</w:t>
            </w:r>
          </w:p>
        </w:tc>
        <w:tc>
          <w:tcPr>
            <w:tcW w:w="1433"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cs="Times New Roman"/>
                <w:bCs/>
                <w:color w:val="000000" w:themeColor="text1"/>
                <w:kern w:val="0"/>
                <w:szCs w:val="21"/>
              </w:rPr>
              <w:t>化粪池+格栅</w:t>
            </w:r>
          </w:p>
        </w:tc>
        <w:tc>
          <w:tcPr>
            <w:tcW w:w="2095" w:type="dxa"/>
            <w:tcBorders>
              <w:top w:val="single" w:color="auto" w:sz="4" w:space="0"/>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cs="Times New Roman"/>
                <w:bCs/>
                <w:color w:val="000000" w:themeColor="text1"/>
                <w:kern w:val="0"/>
                <w:szCs w:val="21"/>
              </w:rPr>
              <w:t>混凝沉淀</w:t>
            </w:r>
          </w:p>
        </w:tc>
        <w:tc>
          <w:tcPr>
            <w:tcW w:w="1901"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cs="Times New Roman"/>
                <w:bCs/>
                <w:color w:val="000000" w:themeColor="text1"/>
                <w:kern w:val="0"/>
                <w:szCs w:val="21"/>
              </w:rPr>
              <w:t>接触消毒</w:t>
            </w:r>
          </w:p>
        </w:tc>
      </w:tr>
      <w:tr>
        <w:tblPrEx>
          <w:tblLayout w:type="fixed"/>
          <w:tblCellMar>
            <w:top w:w="0" w:type="dxa"/>
            <w:left w:w="108" w:type="dxa"/>
            <w:bottom w:w="0" w:type="dxa"/>
            <w:right w:w="108" w:type="dxa"/>
          </w:tblCellMar>
        </w:tblPrEx>
        <w:trPr>
          <w:trHeight w:val="284" w:hRule="atLeast"/>
        </w:trPr>
        <w:tc>
          <w:tcPr>
            <w:tcW w:w="1147" w:type="dxa"/>
            <w:vMerge w:val="restart"/>
            <w:tcBorders>
              <w:top w:val="nil"/>
              <w:left w:val="single" w:color="auto" w:sz="4" w:space="0"/>
              <w:bottom w:val="single" w:color="000000"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hAnsi="Times New Roman" w:cs="Times New Roman"/>
                <w:bCs/>
                <w:color w:val="000000" w:themeColor="text1"/>
                <w:kern w:val="0"/>
                <w:szCs w:val="21"/>
              </w:rPr>
              <w:t>COD</w:t>
            </w:r>
          </w:p>
        </w:tc>
        <w:tc>
          <w:tcPr>
            <w:tcW w:w="1946"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cs="Times New Roman"/>
                <w:bCs/>
                <w:color w:val="000000" w:themeColor="text1"/>
                <w:kern w:val="0"/>
                <w:szCs w:val="21"/>
              </w:rPr>
              <w:t>进水（</w:t>
            </w:r>
            <w:r>
              <w:rPr>
                <w:rFonts w:ascii="Times New Roman" w:hAnsi="Times New Roman" w:cs="Times New Roman"/>
                <w:bCs/>
                <w:color w:val="000000" w:themeColor="text1"/>
                <w:kern w:val="0"/>
                <w:szCs w:val="21"/>
              </w:rPr>
              <w:t>mg/L</w:t>
            </w:r>
            <w:r>
              <w:rPr>
                <w:rFonts w:ascii="Times New Roman" w:cs="Times New Roman"/>
                <w:bCs/>
                <w:color w:val="000000" w:themeColor="text1"/>
                <w:kern w:val="0"/>
                <w:szCs w:val="21"/>
              </w:rPr>
              <w:t>）</w:t>
            </w:r>
          </w:p>
        </w:tc>
        <w:tc>
          <w:tcPr>
            <w:tcW w:w="1433"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380</w:t>
            </w:r>
          </w:p>
        </w:tc>
        <w:tc>
          <w:tcPr>
            <w:tcW w:w="2095"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361</w:t>
            </w:r>
          </w:p>
        </w:tc>
        <w:tc>
          <w:tcPr>
            <w:tcW w:w="1901"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200</w:t>
            </w:r>
          </w:p>
        </w:tc>
      </w:tr>
      <w:tr>
        <w:tblPrEx>
          <w:tblLayout w:type="fixed"/>
          <w:tblCellMar>
            <w:top w:w="0" w:type="dxa"/>
            <w:left w:w="108" w:type="dxa"/>
            <w:bottom w:w="0" w:type="dxa"/>
            <w:right w:w="108" w:type="dxa"/>
          </w:tblCellMar>
        </w:tblPrEx>
        <w:trPr>
          <w:trHeight w:val="284" w:hRule="atLeast"/>
        </w:trPr>
        <w:tc>
          <w:tcPr>
            <w:tcW w:w="1147" w:type="dxa"/>
            <w:vMerge w:val="continue"/>
            <w:tcBorders>
              <w:top w:val="nil"/>
              <w:left w:val="single" w:color="auto" w:sz="4" w:space="0"/>
              <w:bottom w:val="single" w:color="000000" w:sz="4" w:space="0"/>
              <w:right w:val="single" w:color="auto" w:sz="4" w:space="0"/>
            </w:tcBorders>
            <w:vAlign w:val="center"/>
          </w:tcPr>
          <w:p>
            <w:pPr>
              <w:widowControl/>
              <w:spacing w:line="300" w:lineRule="exact"/>
              <w:jc w:val="left"/>
              <w:rPr>
                <w:rFonts w:ascii="Times New Roman" w:hAnsi="Times New Roman" w:cs="Times New Roman"/>
                <w:bCs/>
                <w:color w:val="000000" w:themeColor="text1"/>
                <w:kern w:val="0"/>
                <w:szCs w:val="21"/>
              </w:rPr>
            </w:pPr>
          </w:p>
        </w:tc>
        <w:tc>
          <w:tcPr>
            <w:tcW w:w="1946"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cs="Times New Roman"/>
                <w:bCs/>
                <w:color w:val="000000" w:themeColor="text1"/>
                <w:kern w:val="0"/>
                <w:szCs w:val="21"/>
              </w:rPr>
              <w:t>出水（</w:t>
            </w:r>
            <w:r>
              <w:rPr>
                <w:rFonts w:ascii="Times New Roman" w:hAnsi="Times New Roman" w:cs="Times New Roman"/>
                <w:bCs/>
                <w:color w:val="000000" w:themeColor="text1"/>
                <w:kern w:val="0"/>
                <w:szCs w:val="21"/>
              </w:rPr>
              <w:t>mg/L</w:t>
            </w:r>
            <w:r>
              <w:rPr>
                <w:rFonts w:ascii="Times New Roman" w:cs="Times New Roman"/>
                <w:bCs/>
                <w:color w:val="000000" w:themeColor="text1"/>
                <w:kern w:val="0"/>
                <w:szCs w:val="21"/>
              </w:rPr>
              <w:t>）</w:t>
            </w:r>
          </w:p>
        </w:tc>
        <w:tc>
          <w:tcPr>
            <w:tcW w:w="1433"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361</w:t>
            </w:r>
          </w:p>
        </w:tc>
        <w:tc>
          <w:tcPr>
            <w:tcW w:w="2095"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200</w:t>
            </w:r>
          </w:p>
        </w:tc>
        <w:tc>
          <w:tcPr>
            <w:tcW w:w="1901"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200</w:t>
            </w:r>
          </w:p>
        </w:tc>
      </w:tr>
      <w:tr>
        <w:tblPrEx>
          <w:tblLayout w:type="fixed"/>
          <w:tblCellMar>
            <w:top w:w="0" w:type="dxa"/>
            <w:left w:w="108" w:type="dxa"/>
            <w:bottom w:w="0" w:type="dxa"/>
            <w:right w:w="108" w:type="dxa"/>
          </w:tblCellMar>
        </w:tblPrEx>
        <w:trPr>
          <w:trHeight w:val="284" w:hRule="atLeast"/>
        </w:trPr>
        <w:tc>
          <w:tcPr>
            <w:tcW w:w="1147" w:type="dxa"/>
            <w:vMerge w:val="continue"/>
            <w:tcBorders>
              <w:top w:val="nil"/>
              <w:left w:val="single" w:color="auto" w:sz="4" w:space="0"/>
              <w:bottom w:val="single" w:color="000000" w:sz="4" w:space="0"/>
              <w:right w:val="single" w:color="auto" w:sz="4" w:space="0"/>
            </w:tcBorders>
            <w:vAlign w:val="center"/>
          </w:tcPr>
          <w:p>
            <w:pPr>
              <w:widowControl/>
              <w:spacing w:line="300" w:lineRule="exact"/>
              <w:jc w:val="left"/>
              <w:rPr>
                <w:rFonts w:ascii="Times New Roman" w:hAnsi="Times New Roman" w:cs="Times New Roman"/>
                <w:bCs/>
                <w:color w:val="000000" w:themeColor="text1"/>
                <w:kern w:val="0"/>
                <w:szCs w:val="21"/>
              </w:rPr>
            </w:pPr>
          </w:p>
        </w:tc>
        <w:tc>
          <w:tcPr>
            <w:tcW w:w="1946"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cs="Times New Roman"/>
                <w:bCs/>
                <w:color w:val="000000" w:themeColor="text1"/>
                <w:kern w:val="0"/>
                <w:szCs w:val="21"/>
              </w:rPr>
              <w:t>去除率（％）</w:t>
            </w:r>
          </w:p>
        </w:tc>
        <w:tc>
          <w:tcPr>
            <w:tcW w:w="1433"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hAnsi="Times New Roman" w:cs="Times New Roman"/>
                <w:bCs/>
                <w:color w:val="000000" w:themeColor="text1"/>
                <w:kern w:val="0"/>
                <w:szCs w:val="21"/>
              </w:rPr>
              <w:t>5%</w:t>
            </w:r>
          </w:p>
        </w:tc>
        <w:tc>
          <w:tcPr>
            <w:tcW w:w="2095"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44.6</w:t>
            </w:r>
            <w:r>
              <w:rPr>
                <w:rFonts w:ascii="Times New Roman" w:hAnsi="Times New Roman" w:cs="Times New Roman"/>
                <w:bCs/>
                <w:color w:val="000000" w:themeColor="text1"/>
                <w:kern w:val="0"/>
                <w:szCs w:val="21"/>
              </w:rPr>
              <w:t>%</w:t>
            </w:r>
          </w:p>
        </w:tc>
        <w:tc>
          <w:tcPr>
            <w:tcW w:w="1901"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0%</w:t>
            </w:r>
          </w:p>
        </w:tc>
      </w:tr>
      <w:tr>
        <w:tblPrEx>
          <w:tblLayout w:type="fixed"/>
          <w:tblCellMar>
            <w:top w:w="0" w:type="dxa"/>
            <w:left w:w="108" w:type="dxa"/>
            <w:bottom w:w="0" w:type="dxa"/>
            <w:right w:w="108" w:type="dxa"/>
          </w:tblCellMar>
        </w:tblPrEx>
        <w:trPr>
          <w:trHeight w:val="284" w:hRule="atLeast"/>
        </w:trPr>
        <w:tc>
          <w:tcPr>
            <w:tcW w:w="1147" w:type="dxa"/>
            <w:vMerge w:val="restart"/>
            <w:tcBorders>
              <w:top w:val="nil"/>
              <w:left w:val="single" w:color="auto" w:sz="4" w:space="0"/>
              <w:bottom w:val="single" w:color="000000"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hAnsi="Times New Roman" w:cs="Times New Roman"/>
                <w:bCs/>
                <w:color w:val="000000" w:themeColor="text1"/>
                <w:kern w:val="0"/>
                <w:szCs w:val="21"/>
              </w:rPr>
              <w:t>SS</w:t>
            </w:r>
          </w:p>
        </w:tc>
        <w:tc>
          <w:tcPr>
            <w:tcW w:w="1946"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cs="Times New Roman"/>
                <w:bCs/>
                <w:color w:val="000000" w:themeColor="text1"/>
                <w:kern w:val="0"/>
                <w:szCs w:val="21"/>
              </w:rPr>
              <w:t>进水（</w:t>
            </w:r>
            <w:r>
              <w:rPr>
                <w:rFonts w:ascii="Times New Roman" w:hAnsi="Times New Roman" w:cs="Times New Roman"/>
                <w:bCs/>
                <w:color w:val="000000" w:themeColor="text1"/>
                <w:kern w:val="0"/>
                <w:szCs w:val="21"/>
              </w:rPr>
              <w:t>mg/L</w:t>
            </w:r>
            <w:r>
              <w:rPr>
                <w:rFonts w:ascii="Times New Roman" w:cs="Times New Roman"/>
                <w:bCs/>
                <w:color w:val="000000" w:themeColor="text1"/>
                <w:kern w:val="0"/>
                <w:szCs w:val="21"/>
              </w:rPr>
              <w:t>）</w:t>
            </w:r>
          </w:p>
        </w:tc>
        <w:tc>
          <w:tcPr>
            <w:tcW w:w="1433"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hAnsi="Times New Roman" w:cs="Times New Roman"/>
                <w:bCs/>
                <w:color w:val="000000" w:themeColor="text1"/>
                <w:kern w:val="0"/>
                <w:szCs w:val="21"/>
              </w:rPr>
              <w:t>200</w:t>
            </w:r>
          </w:p>
        </w:tc>
        <w:tc>
          <w:tcPr>
            <w:tcW w:w="2095"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hAnsi="Times New Roman" w:cs="Times New Roman"/>
                <w:bCs/>
                <w:color w:val="000000" w:themeColor="text1"/>
                <w:kern w:val="0"/>
                <w:szCs w:val="21"/>
              </w:rPr>
              <w:t>1</w:t>
            </w:r>
            <w:r>
              <w:rPr>
                <w:rFonts w:hint="eastAsia" w:ascii="Times New Roman" w:hAnsi="Times New Roman" w:cs="Times New Roman"/>
                <w:bCs/>
                <w:color w:val="000000" w:themeColor="text1"/>
                <w:kern w:val="0"/>
                <w:szCs w:val="21"/>
              </w:rPr>
              <w:t>8</w:t>
            </w:r>
            <w:r>
              <w:rPr>
                <w:rFonts w:ascii="Times New Roman" w:hAnsi="Times New Roman" w:cs="Times New Roman"/>
                <w:bCs/>
                <w:color w:val="000000" w:themeColor="text1"/>
                <w:kern w:val="0"/>
                <w:szCs w:val="21"/>
              </w:rPr>
              <w:t xml:space="preserve">0 </w:t>
            </w:r>
          </w:p>
        </w:tc>
        <w:tc>
          <w:tcPr>
            <w:tcW w:w="1901"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50</w:t>
            </w:r>
          </w:p>
        </w:tc>
      </w:tr>
      <w:tr>
        <w:tblPrEx>
          <w:tblLayout w:type="fixed"/>
          <w:tblCellMar>
            <w:top w:w="0" w:type="dxa"/>
            <w:left w:w="108" w:type="dxa"/>
            <w:bottom w:w="0" w:type="dxa"/>
            <w:right w:w="108" w:type="dxa"/>
          </w:tblCellMar>
        </w:tblPrEx>
        <w:trPr>
          <w:trHeight w:val="284" w:hRule="atLeast"/>
        </w:trPr>
        <w:tc>
          <w:tcPr>
            <w:tcW w:w="1147" w:type="dxa"/>
            <w:vMerge w:val="continue"/>
            <w:tcBorders>
              <w:top w:val="nil"/>
              <w:left w:val="single" w:color="auto" w:sz="4" w:space="0"/>
              <w:bottom w:val="single" w:color="000000" w:sz="4" w:space="0"/>
              <w:right w:val="single" w:color="auto" w:sz="4" w:space="0"/>
            </w:tcBorders>
            <w:vAlign w:val="center"/>
          </w:tcPr>
          <w:p>
            <w:pPr>
              <w:widowControl/>
              <w:spacing w:line="300" w:lineRule="exact"/>
              <w:jc w:val="left"/>
              <w:rPr>
                <w:rFonts w:ascii="Times New Roman" w:hAnsi="Times New Roman" w:cs="Times New Roman"/>
                <w:bCs/>
                <w:color w:val="000000" w:themeColor="text1"/>
                <w:kern w:val="0"/>
                <w:szCs w:val="21"/>
              </w:rPr>
            </w:pPr>
          </w:p>
        </w:tc>
        <w:tc>
          <w:tcPr>
            <w:tcW w:w="1946"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cs="Times New Roman"/>
                <w:bCs/>
                <w:color w:val="000000" w:themeColor="text1"/>
                <w:kern w:val="0"/>
                <w:szCs w:val="21"/>
              </w:rPr>
              <w:t>出水（</w:t>
            </w:r>
            <w:r>
              <w:rPr>
                <w:rFonts w:ascii="Times New Roman" w:hAnsi="Times New Roman" w:cs="Times New Roman"/>
                <w:bCs/>
                <w:color w:val="000000" w:themeColor="text1"/>
                <w:kern w:val="0"/>
                <w:szCs w:val="21"/>
              </w:rPr>
              <w:t>mg/L</w:t>
            </w:r>
            <w:r>
              <w:rPr>
                <w:rFonts w:ascii="Times New Roman" w:cs="Times New Roman"/>
                <w:bCs/>
                <w:color w:val="000000" w:themeColor="text1"/>
                <w:kern w:val="0"/>
                <w:szCs w:val="21"/>
              </w:rPr>
              <w:t>）</w:t>
            </w:r>
          </w:p>
        </w:tc>
        <w:tc>
          <w:tcPr>
            <w:tcW w:w="1433"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180</w:t>
            </w:r>
          </w:p>
        </w:tc>
        <w:tc>
          <w:tcPr>
            <w:tcW w:w="2095"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50</w:t>
            </w:r>
          </w:p>
        </w:tc>
        <w:tc>
          <w:tcPr>
            <w:tcW w:w="1901"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50</w:t>
            </w:r>
          </w:p>
        </w:tc>
      </w:tr>
      <w:tr>
        <w:tblPrEx>
          <w:tblLayout w:type="fixed"/>
          <w:tblCellMar>
            <w:top w:w="0" w:type="dxa"/>
            <w:left w:w="108" w:type="dxa"/>
            <w:bottom w:w="0" w:type="dxa"/>
            <w:right w:w="108" w:type="dxa"/>
          </w:tblCellMar>
        </w:tblPrEx>
        <w:trPr>
          <w:trHeight w:val="284" w:hRule="atLeast"/>
        </w:trPr>
        <w:tc>
          <w:tcPr>
            <w:tcW w:w="1147" w:type="dxa"/>
            <w:vMerge w:val="continue"/>
            <w:tcBorders>
              <w:top w:val="nil"/>
              <w:left w:val="single" w:color="auto" w:sz="4" w:space="0"/>
              <w:bottom w:val="single" w:color="000000" w:sz="4" w:space="0"/>
              <w:right w:val="single" w:color="auto" w:sz="4" w:space="0"/>
            </w:tcBorders>
            <w:vAlign w:val="center"/>
          </w:tcPr>
          <w:p>
            <w:pPr>
              <w:widowControl/>
              <w:spacing w:line="300" w:lineRule="exact"/>
              <w:jc w:val="left"/>
              <w:rPr>
                <w:rFonts w:ascii="Times New Roman" w:hAnsi="Times New Roman" w:cs="Times New Roman"/>
                <w:bCs/>
                <w:color w:val="000000" w:themeColor="text1"/>
                <w:kern w:val="0"/>
                <w:szCs w:val="21"/>
              </w:rPr>
            </w:pPr>
          </w:p>
        </w:tc>
        <w:tc>
          <w:tcPr>
            <w:tcW w:w="1946"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cs="Times New Roman"/>
                <w:bCs/>
                <w:color w:val="000000" w:themeColor="text1"/>
                <w:kern w:val="0"/>
                <w:szCs w:val="21"/>
              </w:rPr>
              <w:t>去除率（％）</w:t>
            </w:r>
          </w:p>
        </w:tc>
        <w:tc>
          <w:tcPr>
            <w:tcW w:w="1433"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10</w:t>
            </w:r>
            <w:r>
              <w:rPr>
                <w:rFonts w:ascii="Times New Roman" w:hAnsi="Times New Roman" w:cs="Times New Roman"/>
                <w:bCs/>
                <w:color w:val="000000" w:themeColor="text1"/>
                <w:kern w:val="0"/>
                <w:szCs w:val="21"/>
              </w:rPr>
              <w:t>%</w:t>
            </w:r>
          </w:p>
        </w:tc>
        <w:tc>
          <w:tcPr>
            <w:tcW w:w="2095"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77.8</w:t>
            </w:r>
            <w:r>
              <w:rPr>
                <w:rFonts w:ascii="Times New Roman" w:hAnsi="Times New Roman" w:cs="Times New Roman"/>
                <w:bCs/>
                <w:color w:val="000000" w:themeColor="text1"/>
                <w:kern w:val="0"/>
                <w:szCs w:val="21"/>
              </w:rPr>
              <w:t>%</w:t>
            </w:r>
          </w:p>
        </w:tc>
        <w:tc>
          <w:tcPr>
            <w:tcW w:w="1901"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hAnsi="Times New Roman" w:cs="Times New Roman"/>
                <w:bCs/>
                <w:color w:val="000000" w:themeColor="text1"/>
                <w:kern w:val="0"/>
                <w:szCs w:val="21"/>
              </w:rPr>
              <w:t>0%</w:t>
            </w:r>
          </w:p>
        </w:tc>
      </w:tr>
      <w:tr>
        <w:tblPrEx>
          <w:tblLayout w:type="fixed"/>
          <w:tblCellMar>
            <w:top w:w="0" w:type="dxa"/>
            <w:left w:w="108" w:type="dxa"/>
            <w:bottom w:w="0" w:type="dxa"/>
            <w:right w:w="108" w:type="dxa"/>
          </w:tblCellMar>
        </w:tblPrEx>
        <w:trPr>
          <w:trHeight w:val="284" w:hRule="atLeast"/>
        </w:trPr>
        <w:tc>
          <w:tcPr>
            <w:tcW w:w="1147" w:type="dxa"/>
            <w:vMerge w:val="restart"/>
            <w:tcBorders>
              <w:top w:val="nil"/>
              <w:left w:val="single" w:color="auto" w:sz="4" w:space="0"/>
              <w:bottom w:val="single" w:color="000000"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cs="Times New Roman"/>
                <w:bCs/>
                <w:color w:val="000000" w:themeColor="text1"/>
                <w:kern w:val="0"/>
                <w:szCs w:val="21"/>
              </w:rPr>
              <w:t>氨氮</w:t>
            </w:r>
          </w:p>
        </w:tc>
        <w:tc>
          <w:tcPr>
            <w:tcW w:w="1946"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cs="Times New Roman"/>
                <w:bCs/>
                <w:color w:val="000000" w:themeColor="text1"/>
                <w:kern w:val="0"/>
                <w:szCs w:val="21"/>
              </w:rPr>
              <w:t>进水（</w:t>
            </w:r>
            <w:r>
              <w:rPr>
                <w:rFonts w:ascii="Times New Roman" w:hAnsi="Times New Roman" w:cs="Times New Roman"/>
                <w:bCs/>
                <w:color w:val="000000" w:themeColor="text1"/>
                <w:kern w:val="0"/>
                <w:szCs w:val="21"/>
              </w:rPr>
              <w:t>mg/L</w:t>
            </w:r>
            <w:r>
              <w:rPr>
                <w:rFonts w:ascii="Times New Roman" w:cs="Times New Roman"/>
                <w:bCs/>
                <w:color w:val="000000" w:themeColor="text1"/>
                <w:kern w:val="0"/>
                <w:szCs w:val="21"/>
              </w:rPr>
              <w:t>）</w:t>
            </w:r>
          </w:p>
        </w:tc>
        <w:tc>
          <w:tcPr>
            <w:tcW w:w="1433"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40</w:t>
            </w:r>
          </w:p>
        </w:tc>
        <w:tc>
          <w:tcPr>
            <w:tcW w:w="2095"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40</w:t>
            </w:r>
          </w:p>
        </w:tc>
        <w:tc>
          <w:tcPr>
            <w:tcW w:w="1901"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20</w:t>
            </w:r>
          </w:p>
        </w:tc>
      </w:tr>
      <w:tr>
        <w:tblPrEx>
          <w:tblLayout w:type="fixed"/>
          <w:tblCellMar>
            <w:top w:w="0" w:type="dxa"/>
            <w:left w:w="108" w:type="dxa"/>
            <w:bottom w:w="0" w:type="dxa"/>
            <w:right w:w="108" w:type="dxa"/>
          </w:tblCellMar>
        </w:tblPrEx>
        <w:trPr>
          <w:trHeight w:val="284" w:hRule="atLeast"/>
        </w:trPr>
        <w:tc>
          <w:tcPr>
            <w:tcW w:w="1147" w:type="dxa"/>
            <w:vMerge w:val="continue"/>
            <w:tcBorders>
              <w:top w:val="nil"/>
              <w:left w:val="single" w:color="auto" w:sz="4" w:space="0"/>
              <w:bottom w:val="single" w:color="000000" w:sz="4" w:space="0"/>
              <w:right w:val="single" w:color="auto" w:sz="4" w:space="0"/>
            </w:tcBorders>
            <w:vAlign w:val="center"/>
          </w:tcPr>
          <w:p>
            <w:pPr>
              <w:widowControl/>
              <w:spacing w:line="300" w:lineRule="exact"/>
              <w:jc w:val="left"/>
              <w:rPr>
                <w:rFonts w:ascii="Times New Roman" w:hAnsi="Times New Roman" w:cs="Times New Roman"/>
                <w:bCs/>
                <w:color w:val="000000" w:themeColor="text1"/>
                <w:kern w:val="0"/>
                <w:szCs w:val="21"/>
              </w:rPr>
            </w:pPr>
          </w:p>
        </w:tc>
        <w:tc>
          <w:tcPr>
            <w:tcW w:w="1946"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cs="Times New Roman"/>
                <w:bCs/>
                <w:color w:val="000000" w:themeColor="text1"/>
                <w:kern w:val="0"/>
                <w:szCs w:val="21"/>
              </w:rPr>
              <w:t>出水（</w:t>
            </w:r>
            <w:r>
              <w:rPr>
                <w:rFonts w:ascii="Times New Roman" w:hAnsi="Times New Roman" w:cs="Times New Roman"/>
                <w:bCs/>
                <w:color w:val="000000" w:themeColor="text1"/>
                <w:kern w:val="0"/>
                <w:szCs w:val="21"/>
              </w:rPr>
              <w:t>mg/L</w:t>
            </w:r>
            <w:r>
              <w:rPr>
                <w:rFonts w:ascii="Times New Roman" w:cs="Times New Roman"/>
                <w:bCs/>
                <w:color w:val="000000" w:themeColor="text1"/>
                <w:kern w:val="0"/>
                <w:szCs w:val="21"/>
              </w:rPr>
              <w:t>）</w:t>
            </w:r>
          </w:p>
        </w:tc>
        <w:tc>
          <w:tcPr>
            <w:tcW w:w="1433"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hAnsi="Times New Roman" w:cs="Times New Roman"/>
                <w:bCs/>
                <w:color w:val="000000" w:themeColor="text1"/>
                <w:kern w:val="0"/>
                <w:szCs w:val="21"/>
              </w:rPr>
              <w:t>4</w:t>
            </w:r>
            <w:r>
              <w:rPr>
                <w:rFonts w:hint="eastAsia" w:ascii="Times New Roman" w:hAnsi="Times New Roman" w:cs="Times New Roman"/>
                <w:bCs/>
                <w:color w:val="000000" w:themeColor="text1"/>
                <w:kern w:val="0"/>
                <w:szCs w:val="21"/>
              </w:rPr>
              <w:t>0</w:t>
            </w:r>
          </w:p>
        </w:tc>
        <w:tc>
          <w:tcPr>
            <w:tcW w:w="2095"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20</w:t>
            </w:r>
          </w:p>
        </w:tc>
        <w:tc>
          <w:tcPr>
            <w:tcW w:w="1901"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20</w:t>
            </w:r>
            <w:r>
              <w:rPr>
                <w:rFonts w:ascii="Times New Roman" w:hAnsi="Times New Roman" w:cs="Times New Roman"/>
                <w:bCs/>
                <w:color w:val="000000" w:themeColor="text1"/>
                <w:kern w:val="0"/>
                <w:szCs w:val="21"/>
              </w:rPr>
              <w:t xml:space="preserve"> </w:t>
            </w:r>
          </w:p>
        </w:tc>
      </w:tr>
      <w:tr>
        <w:tblPrEx>
          <w:tblLayout w:type="fixed"/>
          <w:tblCellMar>
            <w:top w:w="0" w:type="dxa"/>
            <w:left w:w="108" w:type="dxa"/>
            <w:bottom w:w="0" w:type="dxa"/>
            <w:right w:w="108" w:type="dxa"/>
          </w:tblCellMar>
        </w:tblPrEx>
        <w:trPr>
          <w:trHeight w:val="284" w:hRule="atLeast"/>
        </w:trPr>
        <w:tc>
          <w:tcPr>
            <w:tcW w:w="1147" w:type="dxa"/>
            <w:vMerge w:val="continue"/>
            <w:tcBorders>
              <w:top w:val="nil"/>
              <w:left w:val="single" w:color="auto" w:sz="4" w:space="0"/>
              <w:bottom w:val="single" w:color="000000" w:sz="4" w:space="0"/>
              <w:right w:val="single" w:color="auto" w:sz="4" w:space="0"/>
            </w:tcBorders>
            <w:vAlign w:val="center"/>
          </w:tcPr>
          <w:p>
            <w:pPr>
              <w:widowControl/>
              <w:spacing w:line="300" w:lineRule="exact"/>
              <w:jc w:val="left"/>
              <w:rPr>
                <w:rFonts w:ascii="Times New Roman" w:hAnsi="Times New Roman" w:cs="Times New Roman"/>
                <w:bCs/>
                <w:color w:val="000000" w:themeColor="text1"/>
                <w:kern w:val="0"/>
                <w:szCs w:val="21"/>
              </w:rPr>
            </w:pPr>
          </w:p>
        </w:tc>
        <w:tc>
          <w:tcPr>
            <w:tcW w:w="1946"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cs="Times New Roman"/>
                <w:bCs/>
                <w:color w:val="000000" w:themeColor="text1"/>
                <w:kern w:val="0"/>
                <w:szCs w:val="21"/>
              </w:rPr>
              <w:t>去除率（％）</w:t>
            </w:r>
          </w:p>
        </w:tc>
        <w:tc>
          <w:tcPr>
            <w:tcW w:w="1433"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hAnsi="Times New Roman" w:cs="Times New Roman"/>
                <w:bCs/>
                <w:color w:val="000000" w:themeColor="text1"/>
                <w:kern w:val="0"/>
                <w:szCs w:val="21"/>
              </w:rPr>
              <w:t>0%</w:t>
            </w:r>
          </w:p>
        </w:tc>
        <w:tc>
          <w:tcPr>
            <w:tcW w:w="2095"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50</w:t>
            </w:r>
            <w:r>
              <w:rPr>
                <w:rFonts w:ascii="Times New Roman" w:hAnsi="Times New Roman" w:cs="Times New Roman"/>
                <w:bCs/>
                <w:color w:val="000000" w:themeColor="text1"/>
                <w:kern w:val="0"/>
                <w:szCs w:val="21"/>
              </w:rPr>
              <w:t>%</w:t>
            </w:r>
          </w:p>
        </w:tc>
        <w:tc>
          <w:tcPr>
            <w:tcW w:w="1901"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hAnsi="Times New Roman" w:cs="Times New Roman"/>
                <w:bCs/>
                <w:color w:val="000000" w:themeColor="text1"/>
                <w:kern w:val="0"/>
                <w:szCs w:val="21"/>
              </w:rPr>
              <w:t>0%</w:t>
            </w:r>
          </w:p>
        </w:tc>
      </w:tr>
      <w:tr>
        <w:tblPrEx>
          <w:tblLayout w:type="fixed"/>
          <w:tblCellMar>
            <w:top w:w="0" w:type="dxa"/>
            <w:left w:w="108" w:type="dxa"/>
            <w:bottom w:w="0" w:type="dxa"/>
            <w:right w:w="108" w:type="dxa"/>
          </w:tblCellMar>
        </w:tblPrEx>
        <w:trPr>
          <w:trHeight w:val="284" w:hRule="atLeast"/>
        </w:trPr>
        <w:tc>
          <w:tcPr>
            <w:tcW w:w="1147" w:type="dxa"/>
            <w:vMerge w:val="restart"/>
            <w:tcBorders>
              <w:top w:val="nil"/>
              <w:left w:val="single" w:color="auto" w:sz="4" w:space="0"/>
              <w:bottom w:val="single" w:color="000000"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hAnsi="Times New Roman" w:cs="Times New Roman"/>
                <w:bCs/>
                <w:color w:val="000000" w:themeColor="text1"/>
                <w:kern w:val="0"/>
                <w:szCs w:val="21"/>
              </w:rPr>
              <w:t>TN</w:t>
            </w:r>
          </w:p>
        </w:tc>
        <w:tc>
          <w:tcPr>
            <w:tcW w:w="1946"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cs="Times New Roman"/>
                <w:bCs/>
                <w:color w:val="000000" w:themeColor="text1"/>
                <w:kern w:val="0"/>
                <w:szCs w:val="21"/>
              </w:rPr>
              <w:t>进水（</w:t>
            </w:r>
            <w:r>
              <w:rPr>
                <w:rFonts w:ascii="Times New Roman" w:hAnsi="Times New Roman" w:cs="Times New Roman"/>
                <w:bCs/>
                <w:color w:val="000000" w:themeColor="text1"/>
                <w:kern w:val="0"/>
                <w:szCs w:val="21"/>
              </w:rPr>
              <w:t>mg/L</w:t>
            </w:r>
            <w:r>
              <w:rPr>
                <w:rFonts w:ascii="Times New Roman" w:cs="Times New Roman"/>
                <w:bCs/>
                <w:color w:val="000000" w:themeColor="text1"/>
                <w:kern w:val="0"/>
                <w:szCs w:val="21"/>
              </w:rPr>
              <w:t>）</w:t>
            </w:r>
          </w:p>
        </w:tc>
        <w:tc>
          <w:tcPr>
            <w:tcW w:w="1433"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55</w:t>
            </w:r>
          </w:p>
        </w:tc>
        <w:tc>
          <w:tcPr>
            <w:tcW w:w="2095"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55</w:t>
            </w:r>
          </w:p>
        </w:tc>
        <w:tc>
          <w:tcPr>
            <w:tcW w:w="1901"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30</w:t>
            </w:r>
          </w:p>
        </w:tc>
      </w:tr>
      <w:tr>
        <w:tblPrEx>
          <w:tblLayout w:type="fixed"/>
          <w:tblCellMar>
            <w:top w:w="0" w:type="dxa"/>
            <w:left w:w="108" w:type="dxa"/>
            <w:bottom w:w="0" w:type="dxa"/>
            <w:right w:w="108" w:type="dxa"/>
          </w:tblCellMar>
        </w:tblPrEx>
        <w:trPr>
          <w:trHeight w:val="284" w:hRule="atLeast"/>
        </w:trPr>
        <w:tc>
          <w:tcPr>
            <w:tcW w:w="1147" w:type="dxa"/>
            <w:vMerge w:val="continue"/>
            <w:tcBorders>
              <w:top w:val="nil"/>
              <w:left w:val="single" w:color="auto" w:sz="4" w:space="0"/>
              <w:bottom w:val="single" w:color="000000" w:sz="4" w:space="0"/>
              <w:right w:val="single" w:color="auto" w:sz="4" w:space="0"/>
            </w:tcBorders>
            <w:vAlign w:val="center"/>
          </w:tcPr>
          <w:p>
            <w:pPr>
              <w:widowControl/>
              <w:spacing w:line="300" w:lineRule="exact"/>
              <w:jc w:val="left"/>
              <w:rPr>
                <w:rFonts w:ascii="Times New Roman" w:hAnsi="Times New Roman" w:cs="Times New Roman"/>
                <w:bCs/>
                <w:color w:val="000000" w:themeColor="text1"/>
                <w:kern w:val="0"/>
                <w:szCs w:val="21"/>
              </w:rPr>
            </w:pPr>
          </w:p>
        </w:tc>
        <w:tc>
          <w:tcPr>
            <w:tcW w:w="1946"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cs="Times New Roman"/>
                <w:bCs/>
                <w:color w:val="000000" w:themeColor="text1"/>
                <w:kern w:val="0"/>
                <w:szCs w:val="21"/>
              </w:rPr>
              <w:t>出水（</w:t>
            </w:r>
            <w:r>
              <w:rPr>
                <w:rFonts w:ascii="Times New Roman" w:hAnsi="Times New Roman" w:cs="Times New Roman"/>
                <w:bCs/>
                <w:color w:val="000000" w:themeColor="text1"/>
                <w:kern w:val="0"/>
                <w:szCs w:val="21"/>
              </w:rPr>
              <w:t>mg/L</w:t>
            </w:r>
            <w:r>
              <w:rPr>
                <w:rFonts w:ascii="Times New Roman" w:cs="Times New Roman"/>
                <w:bCs/>
                <w:color w:val="000000" w:themeColor="text1"/>
                <w:kern w:val="0"/>
                <w:szCs w:val="21"/>
              </w:rPr>
              <w:t>）</w:t>
            </w:r>
          </w:p>
        </w:tc>
        <w:tc>
          <w:tcPr>
            <w:tcW w:w="1433"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55</w:t>
            </w:r>
          </w:p>
        </w:tc>
        <w:tc>
          <w:tcPr>
            <w:tcW w:w="2095"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30</w:t>
            </w:r>
          </w:p>
        </w:tc>
        <w:tc>
          <w:tcPr>
            <w:tcW w:w="1901"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30</w:t>
            </w:r>
          </w:p>
        </w:tc>
      </w:tr>
      <w:tr>
        <w:tblPrEx>
          <w:tblLayout w:type="fixed"/>
          <w:tblCellMar>
            <w:top w:w="0" w:type="dxa"/>
            <w:left w:w="108" w:type="dxa"/>
            <w:bottom w:w="0" w:type="dxa"/>
            <w:right w:w="108" w:type="dxa"/>
          </w:tblCellMar>
        </w:tblPrEx>
        <w:trPr>
          <w:trHeight w:val="284" w:hRule="atLeast"/>
        </w:trPr>
        <w:tc>
          <w:tcPr>
            <w:tcW w:w="1147" w:type="dxa"/>
            <w:vMerge w:val="continue"/>
            <w:tcBorders>
              <w:top w:val="nil"/>
              <w:left w:val="single" w:color="auto" w:sz="4" w:space="0"/>
              <w:bottom w:val="single" w:color="000000" w:sz="4" w:space="0"/>
              <w:right w:val="single" w:color="auto" w:sz="4" w:space="0"/>
            </w:tcBorders>
            <w:vAlign w:val="center"/>
          </w:tcPr>
          <w:p>
            <w:pPr>
              <w:widowControl/>
              <w:spacing w:line="300" w:lineRule="exact"/>
              <w:jc w:val="left"/>
              <w:rPr>
                <w:rFonts w:ascii="Times New Roman" w:hAnsi="Times New Roman" w:cs="Times New Roman"/>
                <w:bCs/>
                <w:color w:val="000000" w:themeColor="text1"/>
                <w:kern w:val="0"/>
                <w:szCs w:val="21"/>
              </w:rPr>
            </w:pPr>
          </w:p>
        </w:tc>
        <w:tc>
          <w:tcPr>
            <w:tcW w:w="1946"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cs="Times New Roman"/>
                <w:bCs/>
                <w:color w:val="000000" w:themeColor="text1"/>
                <w:kern w:val="0"/>
                <w:szCs w:val="21"/>
              </w:rPr>
              <w:t>去除率（％）</w:t>
            </w:r>
          </w:p>
        </w:tc>
        <w:tc>
          <w:tcPr>
            <w:tcW w:w="1433"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hAnsi="Times New Roman" w:cs="Times New Roman"/>
                <w:bCs/>
                <w:color w:val="000000" w:themeColor="text1"/>
                <w:kern w:val="0"/>
                <w:szCs w:val="21"/>
              </w:rPr>
              <w:t>0%</w:t>
            </w:r>
          </w:p>
        </w:tc>
        <w:tc>
          <w:tcPr>
            <w:tcW w:w="2095"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45.5</w:t>
            </w:r>
            <w:r>
              <w:rPr>
                <w:rFonts w:ascii="Times New Roman" w:hAnsi="Times New Roman" w:cs="Times New Roman"/>
                <w:bCs/>
                <w:color w:val="000000" w:themeColor="text1"/>
                <w:kern w:val="0"/>
                <w:szCs w:val="21"/>
              </w:rPr>
              <w:t>%</w:t>
            </w:r>
          </w:p>
        </w:tc>
        <w:tc>
          <w:tcPr>
            <w:tcW w:w="1901"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hAnsi="Times New Roman" w:cs="Times New Roman"/>
                <w:bCs/>
                <w:color w:val="000000" w:themeColor="text1"/>
                <w:kern w:val="0"/>
                <w:szCs w:val="21"/>
              </w:rPr>
              <w:t>0%</w:t>
            </w:r>
          </w:p>
        </w:tc>
      </w:tr>
      <w:tr>
        <w:tblPrEx>
          <w:tblLayout w:type="fixed"/>
          <w:tblCellMar>
            <w:top w:w="0" w:type="dxa"/>
            <w:left w:w="108" w:type="dxa"/>
            <w:bottom w:w="0" w:type="dxa"/>
            <w:right w:w="108" w:type="dxa"/>
          </w:tblCellMar>
        </w:tblPrEx>
        <w:trPr>
          <w:trHeight w:val="284" w:hRule="atLeast"/>
        </w:trPr>
        <w:tc>
          <w:tcPr>
            <w:tcW w:w="1147" w:type="dxa"/>
            <w:vMerge w:val="restart"/>
            <w:tcBorders>
              <w:top w:val="nil"/>
              <w:left w:val="single" w:color="auto" w:sz="4" w:space="0"/>
              <w:bottom w:val="single" w:color="000000"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cs="Times New Roman"/>
                <w:bCs/>
                <w:color w:val="000000" w:themeColor="text1"/>
                <w:kern w:val="0"/>
                <w:szCs w:val="21"/>
              </w:rPr>
              <w:t>总磷</w:t>
            </w:r>
          </w:p>
        </w:tc>
        <w:tc>
          <w:tcPr>
            <w:tcW w:w="1946"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cs="Times New Roman"/>
                <w:bCs/>
                <w:color w:val="000000" w:themeColor="text1"/>
                <w:kern w:val="0"/>
                <w:szCs w:val="21"/>
              </w:rPr>
              <w:t>进水（</w:t>
            </w:r>
            <w:r>
              <w:rPr>
                <w:rFonts w:ascii="Times New Roman" w:hAnsi="Times New Roman" w:cs="Times New Roman"/>
                <w:bCs/>
                <w:color w:val="000000" w:themeColor="text1"/>
                <w:kern w:val="0"/>
                <w:szCs w:val="21"/>
              </w:rPr>
              <w:t>mg/L</w:t>
            </w:r>
            <w:r>
              <w:rPr>
                <w:rFonts w:ascii="Times New Roman" w:cs="Times New Roman"/>
                <w:bCs/>
                <w:color w:val="000000" w:themeColor="text1"/>
                <w:kern w:val="0"/>
                <w:szCs w:val="21"/>
              </w:rPr>
              <w:t>）</w:t>
            </w:r>
          </w:p>
        </w:tc>
        <w:tc>
          <w:tcPr>
            <w:tcW w:w="1433"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hAnsi="Times New Roman" w:cs="Times New Roman"/>
                <w:bCs/>
                <w:color w:val="000000" w:themeColor="text1"/>
                <w:kern w:val="0"/>
                <w:szCs w:val="21"/>
              </w:rPr>
              <w:t>8</w:t>
            </w:r>
          </w:p>
        </w:tc>
        <w:tc>
          <w:tcPr>
            <w:tcW w:w="2095"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hAnsi="Times New Roman" w:cs="Times New Roman"/>
                <w:bCs/>
                <w:color w:val="000000" w:themeColor="text1"/>
                <w:kern w:val="0"/>
                <w:szCs w:val="21"/>
              </w:rPr>
              <w:t xml:space="preserve">8.0 </w:t>
            </w:r>
          </w:p>
        </w:tc>
        <w:tc>
          <w:tcPr>
            <w:tcW w:w="1901"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5.0</w:t>
            </w:r>
          </w:p>
        </w:tc>
      </w:tr>
      <w:tr>
        <w:tblPrEx>
          <w:tblLayout w:type="fixed"/>
          <w:tblCellMar>
            <w:top w:w="0" w:type="dxa"/>
            <w:left w:w="108" w:type="dxa"/>
            <w:bottom w:w="0" w:type="dxa"/>
            <w:right w:w="108" w:type="dxa"/>
          </w:tblCellMar>
        </w:tblPrEx>
        <w:trPr>
          <w:trHeight w:val="284" w:hRule="atLeast"/>
        </w:trPr>
        <w:tc>
          <w:tcPr>
            <w:tcW w:w="1147" w:type="dxa"/>
            <w:vMerge w:val="continue"/>
            <w:tcBorders>
              <w:top w:val="nil"/>
              <w:left w:val="single" w:color="auto" w:sz="4" w:space="0"/>
              <w:bottom w:val="single" w:color="000000" w:sz="4" w:space="0"/>
              <w:right w:val="single" w:color="auto" w:sz="4" w:space="0"/>
            </w:tcBorders>
            <w:vAlign w:val="center"/>
          </w:tcPr>
          <w:p>
            <w:pPr>
              <w:widowControl/>
              <w:spacing w:line="300" w:lineRule="exact"/>
              <w:jc w:val="left"/>
              <w:rPr>
                <w:rFonts w:ascii="Times New Roman" w:hAnsi="Times New Roman" w:cs="Times New Roman"/>
                <w:bCs/>
                <w:color w:val="000000" w:themeColor="text1"/>
                <w:kern w:val="0"/>
                <w:szCs w:val="21"/>
              </w:rPr>
            </w:pPr>
          </w:p>
        </w:tc>
        <w:tc>
          <w:tcPr>
            <w:tcW w:w="1946"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cs="Times New Roman"/>
                <w:bCs/>
                <w:color w:val="000000" w:themeColor="text1"/>
                <w:kern w:val="0"/>
                <w:szCs w:val="21"/>
              </w:rPr>
              <w:t>出水（</w:t>
            </w:r>
            <w:r>
              <w:rPr>
                <w:rFonts w:ascii="Times New Roman" w:hAnsi="Times New Roman" w:cs="Times New Roman"/>
                <w:bCs/>
                <w:color w:val="000000" w:themeColor="text1"/>
                <w:kern w:val="0"/>
                <w:szCs w:val="21"/>
              </w:rPr>
              <w:t>mg/L</w:t>
            </w:r>
            <w:r>
              <w:rPr>
                <w:rFonts w:ascii="Times New Roman" w:cs="Times New Roman"/>
                <w:bCs/>
                <w:color w:val="000000" w:themeColor="text1"/>
                <w:kern w:val="0"/>
                <w:szCs w:val="21"/>
              </w:rPr>
              <w:t>）</w:t>
            </w:r>
          </w:p>
        </w:tc>
        <w:tc>
          <w:tcPr>
            <w:tcW w:w="1433"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hAnsi="Times New Roman" w:cs="Times New Roman"/>
                <w:bCs/>
                <w:color w:val="000000" w:themeColor="text1"/>
                <w:kern w:val="0"/>
                <w:szCs w:val="21"/>
              </w:rPr>
              <w:t>8</w:t>
            </w:r>
          </w:p>
        </w:tc>
        <w:tc>
          <w:tcPr>
            <w:tcW w:w="2095"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5.0</w:t>
            </w:r>
          </w:p>
        </w:tc>
        <w:tc>
          <w:tcPr>
            <w:tcW w:w="1901"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5.0</w:t>
            </w:r>
          </w:p>
        </w:tc>
      </w:tr>
      <w:tr>
        <w:tblPrEx>
          <w:tblLayout w:type="fixed"/>
          <w:tblCellMar>
            <w:top w:w="0" w:type="dxa"/>
            <w:left w:w="108" w:type="dxa"/>
            <w:bottom w:w="0" w:type="dxa"/>
            <w:right w:w="108" w:type="dxa"/>
          </w:tblCellMar>
        </w:tblPrEx>
        <w:trPr>
          <w:trHeight w:val="284" w:hRule="atLeast"/>
        </w:trPr>
        <w:tc>
          <w:tcPr>
            <w:tcW w:w="1147" w:type="dxa"/>
            <w:vMerge w:val="continue"/>
            <w:tcBorders>
              <w:top w:val="nil"/>
              <w:left w:val="single" w:color="auto" w:sz="4" w:space="0"/>
              <w:bottom w:val="single" w:color="000000" w:sz="4" w:space="0"/>
              <w:right w:val="single" w:color="auto" w:sz="4" w:space="0"/>
            </w:tcBorders>
            <w:vAlign w:val="center"/>
          </w:tcPr>
          <w:p>
            <w:pPr>
              <w:widowControl/>
              <w:spacing w:line="300" w:lineRule="exact"/>
              <w:jc w:val="left"/>
              <w:rPr>
                <w:rFonts w:ascii="Times New Roman" w:hAnsi="Times New Roman" w:cs="Times New Roman"/>
                <w:bCs/>
                <w:color w:val="000000" w:themeColor="text1"/>
                <w:kern w:val="0"/>
                <w:szCs w:val="21"/>
              </w:rPr>
            </w:pPr>
          </w:p>
        </w:tc>
        <w:tc>
          <w:tcPr>
            <w:tcW w:w="1946"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cs="Times New Roman"/>
                <w:bCs/>
                <w:color w:val="000000" w:themeColor="text1"/>
                <w:kern w:val="0"/>
                <w:szCs w:val="21"/>
              </w:rPr>
              <w:t>去除率（％）</w:t>
            </w:r>
          </w:p>
        </w:tc>
        <w:tc>
          <w:tcPr>
            <w:tcW w:w="1433"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hAnsi="Times New Roman" w:cs="Times New Roman"/>
                <w:bCs/>
                <w:color w:val="000000" w:themeColor="text1"/>
                <w:kern w:val="0"/>
                <w:szCs w:val="21"/>
              </w:rPr>
              <w:t>0%</w:t>
            </w:r>
          </w:p>
        </w:tc>
        <w:tc>
          <w:tcPr>
            <w:tcW w:w="2095"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hint="eastAsia" w:ascii="Times New Roman" w:hAnsi="Times New Roman" w:cs="Times New Roman"/>
                <w:bCs/>
                <w:color w:val="000000" w:themeColor="text1"/>
                <w:kern w:val="0"/>
                <w:szCs w:val="21"/>
              </w:rPr>
              <w:t>37.5</w:t>
            </w:r>
            <w:r>
              <w:rPr>
                <w:rFonts w:ascii="Times New Roman" w:hAnsi="Times New Roman" w:cs="Times New Roman"/>
                <w:bCs/>
                <w:color w:val="000000" w:themeColor="text1"/>
                <w:kern w:val="0"/>
                <w:szCs w:val="21"/>
              </w:rPr>
              <w:t>%</w:t>
            </w:r>
          </w:p>
        </w:tc>
        <w:tc>
          <w:tcPr>
            <w:tcW w:w="1901" w:type="dxa"/>
            <w:tcBorders>
              <w:top w:val="nil"/>
              <w:left w:val="nil"/>
              <w:bottom w:val="single" w:color="auto" w:sz="4" w:space="0"/>
              <w:right w:val="single" w:color="auto" w:sz="4" w:space="0"/>
            </w:tcBorders>
            <w:noWrap/>
            <w:vAlign w:val="center"/>
          </w:tcPr>
          <w:p>
            <w:pPr>
              <w:widowControl/>
              <w:spacing w:line="300" w:lineRule="exact"/>
              <w:jc w:val="center"/>
              <w:rPr>
                <w:rFonts w:ascii="Times New Roman" w:hAnsi="Times New Roman" w:cs="Times New Roman"/>
                <w:bCs/>
                <w:color w:val="000000" w:themeColor="text1"/>
                <w:kern w:val="0"/>
                <w:szCs w:val="21"/>
              </w:rPr>
            </w:pPr>
            <w:r>
              <w:rPr>
                <w:rFonts w:ascii="Times New Roman" w:hAnsi="Times New Roman" w:cs="Times New Roman"/>
                <w:bCs/>
                <w:color w:val="000000" w:themeColor="text1"/>
                <w:kern w:val="0"/>
                <w:szCs w:val="21"/>
              </w:rPr>
              <w:t>0%</w:t>
            </w:r>
          </w:p>
        </w:tc>
      </w:tr>
    </w:tbl>
    <w:p>
      <w:pPr>
        <w:spacing w:line="360" w:lineRule="auto"/>
        <w:ind w:firstLine="480" w:firstLineChars="200"/>
        <w:rPr>
          <w:rFonts w:ascii="Times New Roman" w:hAnsi="Times New Roman" w:cs="Times New Roman"/>
          <w:sz w:val="24"/>
          <w:szCs w:val="24"/>
        </w:rPr>
      </w:pPr>
      <w:r>
        <w:rPr>
          <w:rFonts w:hint="eastAsia" w:cs="Times New Roman" w:asciiTheme="minorEastAsia" w:hAnsiTheme="minorEastAsia"/>
          <w:sz w:val="24"/>
          <w:szCs w:val="24"/>
        </w:rPr>
        <w:t>①</w:t>
      </w:r>
      <w:r>
        <w:rPr>
          <w:rFonts w:hint="eastAsia" w:ascii="Times New Roman" w:hAnsi="Times New Roman" w:cs="Times New Roman"/>
          <w:sz w:val="24"/>
          <w:szCs w:val="24"/>
        </w:rPr>
        <w:t>废水设计处理能力</w:t>
      </w:r>
      <w:r>
        <w:rPr>
          <w:rFonts w:hint="eastAsia" w:ascii="Times New Roman" w:hAnsi="Times New Roman" w:cs="Times New Roman"/>
          <w:color w:val="000000" w:themeColor="text1"/>
          <w:sz w:val="24"/>
          <w:szCs w:val="24"/>
        </w:rPr>
        <w:t>（500</w:t>
      </w:r>
      <w:r>
        <w:rPr>
          <w:rFonts w:ascii="Times New Roman" w:hAnsi="Times New Roman" w:cs="Times New Roman"/>
          <w:color w:val="000000" w:themeColor="text1"/>
          <w:sz w:val="24"/>
          <w:szCs w:val="24"/>
        </w:rPr>
        <w:t xml:space="preserve"> m</w:t>
      </w:r>
      <w:r>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/d</w:t>
      </w:r>
      <w:r>
        <w:rPr>
          <w:rFonts w:hint="eastAsia" w:ascii="Times New Roman" w:hAnsi="Times New Roman" w:cs="Times New Roman"/>
          <w:color w:val="000000" w:themeColor="text1"/>
          <w:sz w:val="24"/>
          <w:szCs w:val="24"/>
        </w:rPr>
        <w:t>）大于废水</w:t>
      </w:r>
      <w:r>
        <w:rPr>
          <w:rFonts w:ascii="Times New Roman" w:hAnsi="Times New Roman" w:cs="Times New Roman"/>
          <w:color w:val="000000" w:themeColor="text1"/>
          <w:sz w:val="24"/>
          <w:szCs w:val="24"/>
        </w:rPr>
        <w:t>排放量</w:t>
      </w:r>
      <w:r>
        <w:rPr>
          <w:rFonts w:hint="eastAsia" w:ascii="Times New Roman" w:hAnsi="Times New Roman" w:cs="Times New Roman"/>
          <w:color w:val="000000" w:themeColor="text1"/>
          <w:sz w:val="24"/>
          <w:szCs w:val="24"/>
        </w:rPr>
        <w:t>（395.686</w:t>
      </w:r>
      <w:r>
        <w:rPr>
          <w:rFonts w:ascii="Times New Roman" w:hAnsi="Times New Roman" w:cs="Times New Roman"/>
          <w:color w:val="000000" w:themeColor="text1"/>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w:t>
      </w:r>
      <w:r>
        <w:rPr>
          <w:rFonts w:hint="eastAsia" w:ascii="Times New Roman" w:hAnsi="Times New Roman" w:cs="Times New Roman"/>
          <w:sz w:val="24"/>
          <w:szCs w:val="24"/>
        </w:rPr>
        <w:t>），因此可以满足废水处理要求。</w:t>
      </w:r>
    </w:p>
    <w:p>
      <w:pPr>
        <w:spacing w:line="360" w:lineRule="auto"/>
        <w:ind w:firstLine="480" w:firstLineChars="200"/>
        <w:rPr>
          <w:rFonts w:ascii="Times New Roman" w:hAnsi="Times New Roman" w:cs="Times New Roman"/>
          <w:sz w:val="24"/>
          <w:szCs w:val="24"/>
        </w:rPr>
      </w:pPr>
      <w:r>
        <w:rPr>
          <w:rFonts w:hint="eastAsia" w:cs="Times New Roman" w:asciiTheme="minorEastAsia" w:hAnsiTheme="minorEastAsia"/>
          <w:sz w:val="24"/>
          <w:szCs w:val="24"/>
        </w:rPr>
        <w:t>②</w:t>
      </w:r>
      <w:r>
        <w:rPr>
          <w:rFonts w:hint="eastAsia" w:ascii="Times New Roman" w:hAnsi="Times New Roman" w:cs="Times New Roman"/>
          <w:sz w:val="24"/>
          <w:szCs w:val="24"/>
        </w:rPr>
        <w:t>出水水质符合</w:t>
      </w:r>
      <w:r>
        <w:rPr>
          <w:rFonts w:ascii="Times New Roman" w:hAnsi="Times New Roman" w:cs="Times New Roman"/>
          <w:sz w:val="24"/>
          <w:szCs w:val="24"/>
        </w:rPr>
        <w:t>《医疗机构水污染物排放标准》（GB18466-2005）表2中预处理标准要求，同时也满足保定市</w:t>
      </w:r>
      <w:r>
        <w:rPr>
          <w:rFonts w:hint="eastAsia" w:ascii="Times New Roman" w:hAnsi="Times New Roman" w:cs="Times New Roman"/>
          <w:sz w:val="24"/>
          <w:szCs w:val="24"/>
        </w:rPr>
        <w:t>银定庄</w:t>
      </w:r>
      <w:r>
        <w:rPr>
          <w:rFonts w:ascii="Times New Roman" w:hAnsi="Times New Roman" w:cs="Times New Roman"/>
          <w:sz w:val="24"/>
          <w:szCs w:val="24"/>
        </w:rPr>
        <w:t>污水处理厂进水水质要求，</w:t>
      </w:r>
      <w:r>
        <w:rPr>
          <w:rFonts w:hint="eastAsia" w:ascii="Times New Roman" w:hAnsi="Times New Roman" w:cs="Times New Roman"/>
          <w:sz w:val="24"/>
          <w:szCs w:val="24"/>
        </w:rPr>
        <w:t>不会对银定庄污水处理厂造成冲击，可</w:t>
      </w:r>
      <w:r>
        <w:rPr>
          <w:rFonts w:ascii="Times New Roman" w:hAnsi="Times New Roman" w:cs="Times New Roman"/>
          <w:sz w:val="24"/>
          <w:szCs w:val="24"/>
        </w:rPr>
        <w:t>排入市政污水管网。</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综上所述，废水处理设施可以满足本项目废水处理要求，处理后废水</w:t>
      </w:r>
      <w:r>
        <w:rPr>
          <w:rFonts w:ascii="Times New Roman" w:hAnsi="Times New Roman" w:cs="Times New Roman"/>
          <w:sz w:val="24"/>
          <w:szCs w:val="24"/>
        </w:rPr>
        <w:t>可实现达标排放，因此</w:t>
      </w:r>
      <w:r>
        <w:rPr>
          <w:rFonts w:hint="eastAsia" w:ascii="Times New Roman" w:hAnsi="Times New Roman" w:cs="Times New Roman"/>
          <w:sz w:val="24"/>
          <w:szCs w:val="24"/>
        </w:rPr>
        <w:t>本</w:t>
      </w:r>
      <w:r>
        <w:rPr>
          <w:rFonts w:ascii="Times New Roman" w:hAnsi="Times New Roman" w:cs="Times New Roman"/>
          <w:sz w:val="24"/>
          <w:szCs w:val="24"/>
        </w:rPr>
        <w:t>项目采用的废水治理措施可行。</w:t>
      </w:r>
    </w:p>
    <w:p>
      <w:pPr>
        <w:pStyle w:val="3"/>
        <w:spacing w:before="0" w:after="0" w:line="360" w:lineRule="auto"/>
        <w:rPr>
          <w:rFonts w:ascii="Times New Roman" w:hAnsi="Times New Roman" w:cs="Times New Roman"/>
          <w:color w:val="000000" w:themeColor="text1"/>
          <w:sz w:val="28"/>
          <w:szCs w:val="28"/>
        </w:rPr>
      </w:pPr>
      <w:bookmarkStart w:id="37" w:name="_Toc13725362"/>
      <w:r>
        <w:rPr>
          <w:rFonts w:hint="eastAsia" w:ascii="Times New Roman" w:hAnsi="Times New Roman" w:cs="Times New Roman"/>
          <w:color w:val="000000" w:themeColor="text1"/>
          <w:sz w:val="28"/>
          <w:szCs w:val="28"/>
        </w:rPr>
        <w:t>6.3地下水防渗措施可行性论证</w:t>
      </w:r>
      <w:bookmarkEnd w:id="37"/>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为防止污水通过渗漏污染地下水，建设单位拟对污水管道采用新型防渗性能良好的UPVC管材，减少管道接口。污水处理站各构筑物均采用钢筋混凝土结构，其中消毒接触池在钢筋混凝土表面做玻璃钢防腐技术，防渗层渗透系数小于</w:t>
      </w:r>
      <w:r>
        <w:rPr>
          <w:rFonts w:ascii="Times New Roman" w:hAnsi="Times New Roman" w:cs="Times New Roman"/>
          <w:sz w:val="24"/>
          <w:szCs w:val="24"/>
        </w:rPr>
        <w:t>10</w:t>
      </w:r>
      <w:r>
        <w:rPr>
          <w:rFonts w:ascii="Times New Roman" w:hAnsi="Times New Roman" w:cs="Times New Roman"/>
          <w:sz w:val="24"/>
          <w:szCs w:val="24"/>
          <w:vertAlign w:val="superscript"/>
        </w:rPr>
        <w:t>-</w:t>
      </w:r>
      <w:r>
        <w:rPr>
          <w:rFonts w:hint="eastAsia" w:ascii="Times New Roman" w:hAnsi="Times New Roman" w:cs="Times New Roman"/>
          <w:sz w:val="24"/>
          <w:szCs w:val="24"/>
          <w:vertAlign w:val="superscript"/>
        </w:rPr>
        <w:t>10</w:t>
      </w:r>
      <w:r>
        <w:rPr>
          <w:rFonts w:ascii="Times New Roman" w:hAnsi="Times New Roman" w:cs="Times New Roman"/>
          <w:sz w:val="24"/>
          <w:szCs w:val="24"/>
        </w:rPr>
        <w:t>cm/s。</w:t>
      </w:r>
      <w:r>
        <w:rPr>
          <w:rFonts w:hint="eastAsia" w:ascii="Times New Roman" w:hAnsi="Times New Roman" w:cs="Times New Roman"/>
          <w:sz w:val="24"/>
          <w:szCs w:val="24"/>
        </w:rPr>
        <w:t>各构筑物均达到防渗要求。项目运行期、员工日常生活过程中应加强管理，设专人定期检查污水设施及排污管道，发现破损、渗漏处应及时修理。使其对地下水的污染影响减小到最低的限度。因此，项目防渗措施可行。</w:t>
      </w:r>
    </w:p>
    <w:p>
      <w:pPr>
        <w:pStyle w:val="3"/>
        <w:spacing w:before="0" w:after="0" w:line="360" w:lineRule="auto"/>
        <w:rPr>
          <w:rFonts w:ascii="Times New Roman" w:hAnsi="Times New Roman" w:cs="Times New Roman"/>
          <w:sz w:val="28"/>
          <w:szCs w:val="28"/>
        </w:rPr>
      </w:pPr>
      <w:bookmarkStart w:id="38" w:name="_Toc13725363"/>
      <w:r>
        <w:rPr>
          <w:rFonts w:ascii="Times New Roman" w:hAnsi="Times New Roman" w:cs="Times New Roman"/>
          <w:sz w:val="28"/>
          <w:szCs w:val="28"/>
        </w:rPr>
        <w:t>6.</w:t>
      </w:r>
      <w:r>
        <w:rPr>
          <w:rFonts w:hint="eastAsia" w:ascii="Times New Roman" w:hAnsi="Times New Roman" w:cs="Times New Roman"/>
          <w:sz w:val="28"/>
          <w:szCs w:val="28"/>
        </w:rPr>
        <w:t>4</w:t>
      </w:r>
      <w:r>
        <w:rPr>
          <w:rFonts w:ascii="Times New Roman" w:hAnsi="Times New Roman" w:cs="Times New Roman"/>
          <w:sz w:val="28"/>
          <w:szCs w:val="28"/>
        </w:rPr>
        <w:t>噪声治理措施及其可行性论证</w:t>
      </w:r>
      <w:bookmarkEnd w:id="38"/>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本项目运营期间噪声污染源主要是</w:t>
      </w:r>
      <w:r>
        <w:rPr>
          <w:rFonts w:ascii="Times New Roman" w:hAnsi="Times New Roman" w:cs="Times New Roman"/>
          <w:bCs/>
          <w:sz w:val="24"/>
          <w:szCs w:val="24"/>
        </w:rPr>
        <w:t>污水处理站水泵和</w:t>
      </w:r>
      <w:r>
        <w:rPr>
          <w:rFonts w:hint="eastAsia" w:ascii="Times New Roman" w:hAnsi="Times New Roman" w:cs="Times New Roman"/>
          <w:bCs/>
          <w:sz w:val="24"/>
          <w:szCs w:val="24"/>
        </w:rPr>
        <w:t>中央空调</w:t>
      </w:r>
      <w:r>
        <w:rPr>
          <w:rFonts w:ascii="Times New Roman" w:hAnsi="Times New Roman" w:cs="Times New Roman"/>
          <w:bCs/>
          <w:sz w:val="24"/>
          <w:szCs w:val="24"/>
        </w:rPr>
        <w:t>冷却塔、风机噪声，</w:t>
      </w:r>
      <w:r>
        <w:rPr>
          <w:rFonts w:ascii="Times New Roman" w:hAnsi="Times New Roman" w:cs="Times New Roman"/>
          <w:sz w:val="24"/>
          <w:szCs w:val="24"/>
        </w:rPr>
        <w:t>源强8</w:t>
      </w:r>
      <w:r>
        <w:rPr>
          <w:rFonts w:hint="eastAsia" w:ascii="Times New Roman" w:hAnsi="Times New Roman" w:cs="Times New Roman"/>
          <w:sz w:val="24"/>
          <w:szCs w:val="24"/>
        </w:rPr>
        <w:t>0</w:t>
      </w:r>
      <w:r>
        <w:rPr>
          <w:rFonts w:ascii="Times New Roman" w:hAnsi="Times New Roman" w:cs="Times New Roman"/>
          <w:sz w:val="24"/>
          <w:szCs w:val="24"/>
        </w:rPr>
        <w:t>～</w:t>
      </w:r>
      <w:r>
        <w:rPr>
          <w:rFonts w:hint="eastAsia" w:ascii="Times New Roman" w:hAnsi="Times New Roman" w:cs="Times New Roman"/>
          <w:sz w:val="24"/>
          <w:szCs w:val="24"/>
        </w:rPr>
        <w:t>85</w:t>
      </w:r>
      <w:r>
        <w:rPr>
          <w:rFonts w:ascii="Times New Roman" w:hAnsi="Times New Roman" w:cs="Times New Roman"/>
          <w:sz w:val="24"/>
          <w:szCs w:val="24"/>
        </w:rPr>
        <w:t>dB（A）。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为了</w:t>
      </w:r>
      <w:r>
        <w:rPr>
          <w:rFonts w:hint="eastAsia" w:ascii="Times New Roman" w:hAnsi="Times New Roman" w:cs="Times New Roman"/>
          <w:sz w:val="24"/>
          <w:szCs w:val="24"/>
        </w:rPr>
        <w:t>有效</w:t>
      </w:r>
      <w:r>
        <w:rPr>
          <w:rFonts w:ascii="Times New Roman" w:hAnsi="Times New Roman" w:cs="Times New Roman"/>
          <w:sz w:val="24"/>
          <w:szCs w:val="24"/>
        </w:rPr>
        <w:t>控制噪声污染，污水处理站水泵</w:t>
      </w:r>
      <w:r>
        <w:rPr>
          <w:rFonts w:hint="eastAsia" w:ascii="Times New Roman" w:hAnsi="Times New Roman" w:cs="Times New Roman"/>
          <w:sz w:val="24"/>
          <w:szCs w:val="24"/>
        </w:rPr>
        <w:t>置于</w:t>
      </w:r>
      <w:r>
        <w:rPr>
          <w:rFonts w:ascii="Times New Roman" w:hAnsi="Times New Roman" w:cs="Times New Roman"/>
          <w:sz w:val="24"/>
          <w:szCs w:val="24"/>
        </w:rPr>
        <w:t>地下，</w:t>
      </w:r>
      <w:r>
        <w:rPr>
          <w:rFonts w:ascii="Times New Roman" w:hAnsi="Times New Roman" w:cs="Times New Roman"/>
          <w:bCs/>
          <w:sz w:val="24"/>
          <w:szCs w:val="24"/>
        </w:rPr>
        <w:t>选用消声性能好的建筑材料，</w:t>
      </w:r>
      <w:r>
        <w:rPr>
          <w:rFonts w:ascii="Times New Roman" w:hAnsi="Times New Roman" w:cs="Times New Roman"/>
          <w:sz w:val="24"/>
          <w:szCs w:val="24"/>
        </w:rPr>
        <w:t>并采取设置基础减振等隔声、降噪措施</w:t>
      </w:r>
      <w:r>
        <w:rPr>
          <w:rFonts w:ascii="Times New Roman" w:hAnsi="Times New Roman" w:cs="Times New Roman"/>
          <w:bCs/>
          <w:sz w:val="24"/>
          <w:szCs w:val="24"/>
        </w:rPr>
        <w:t>；冷却风机采取</w:t>
      </w:r>
      <w:r>
        <w:rPr>
          <w:rFonts w:ascii="Times New Roman" w:hAnsi="Times New Roman" w:cs="Times New Roman"/>
          <w:sz w:val="24"/>
          <w:szCs w:val="24"/>
        </w:rPr>
        <w:t>设置基础减振</w:t>
      </w:r>
      <w:r>
        <w:rPr>
          <w:rFonts w:hint="eastAsia" w:ascii="Times New Roman" w:hAnsi="Times New Roman" w:cs="Times New Roman"/>
          <w:sz w:val="24"/>
          <w:szCs w:val="24"/>
        </w:rPr>
        <w:t>、</w:t>
      </w:r>
      <w:r>
        <w:rPr>
          <w:rFonts w:ascii="Times New Roman" w:hAnsi="Times New Roman" w:cs="Times New Roman"/>
          <w:sz w:val="24"/>
          <w:szCs w:val="24"/>
        </w:rPr>
        <w:t>进出口加消音器</w:t>
      </w:r>
      <w:r>
        <w:rPr>
          <w:rFonts w:hint="eastAsia" w:ascii="Times New Roman" w:hAnsi="Times New Roman" w:cs="Times New Roman"/>
          <w:sz w:val="24"/>
          <w:szCs w:val="24"/>
        </w:rPr>
        <w:t>、</w:t>
      </w:r>
      <w:r>
        <w:rPr>
          <w:rFonts w:ascii="Times New Roman" w:hAnsi="Times New Roman" w:cs="Times New Roman"/>
          <w:sz w:val="24"/>
          <w:szCs w:val="24"/>
        </w:rPr>
        <w:t>用软管连接</w:t>
      </w:r>
      <w:r>
        <w:rPr>
          <w:rFonts w:ascii="Times New Roman" w:hAnsi="Times New Roman" w:cs="Times New Roman"/>
          <w:bCs/>
          <w:sz w:val="24"/>
          <w:szCs w:val="24"/>
        </w:rPr>
        <w:t>等隔声降噪措施</w:t>
      </w:r>
      <w:r>
        <w:rPr>
          <w:rFonts w:hint="eastAsia" w:ascii="Times New Roman" w:hAnsi="Times New Roman" w:cs="Times New Roman"/>
          <w:bCs/>
          <w:sz w:val="24"/>
          <w:szCs w:val="24"/>
        </w:rPr>
        <w:t>；</w:t>
      </w:r>
      <w:r>
        <w:rPr>
          <w:rFonts w:ascii="Times New Roman" w:hAnsi="Times New Roman" w:cs="Times New Roman"/>
          <w:bCs/>
          <w:sz w:val="24"/>
          <w:szCs w:val="24"/>
        </w:rPr>
        <w:t>选用低噪声冷却塔，在冷却塔进风百叶口和排风口加装消声器，对冷却塔进行基础减</w:t>
      </w:r>
      <w:r>
        <w:rPr>
          <w:rFonts w:hint="eastAsia" w:ascii="Times New Roman" w:hAnsi="Times New Roman" w:cs="Times New Roman"/>
          <w:bCs/>
          <w:sz w:val="24"/>
          <w:szCs w:val="24"/>
        </w:rPr>
        <w:t>振</w:t>
      </w:r>
      <w:r>
        <w:rPr>
          <w:rFonts w:ascii="Times New Roman" w:hAnsi="Times New Roman" w:cs="Times New Roman"/>
          <w:bCs/>
          <w:sz w:val="24"/>
          <w:szCs w:val="24"/>
        </w:rPr>
        <w:t>，受水盘水面铺设聚胺脂多孔泡沫塑料垫</w:t>
      </w:r>
      <w:r>
        <w:rPr>
          <w:rFonts w:hint="eastAsia" w:ascii="Times New Roman" w:hAnsi="Times New Roman" w:cs="Times New Roman"/>
          <w:bCs/>
          <w:sz w:val="24"/>
          <w:szCs w:val="24"/>
        </w:rPr>
        <w:t>。</w:t>
      </w:r>
      <w:r>
        <w:rPr>
          <w:rFonts w:ascii="Times New Roman" w:hAnsi="Times New Roman" w:cs="Times New Roman"/>
          <w:sz w:val="24"/>
          <w:szCs w:val="24"/>
        </w:rPr>
        <w:t>采取上述措施后，噪声源声级降至5</w:t>
      </w:r>
      <w:r>
        <w:rPr>
          <w:rFonts w:hint="eastAsia" w:ascii="Times New Roman" w:hAnsi="Times New Roman" w:cs="Times New Roman"/>
          <w:sz w:val="24"/>
          <w:szCs w:val="24"/>
        </w:rPr>
        <w:t>0</w:t>
      </w:r>
      <w:r>
        <w:rPr>
          <w:rFonts w:ascii="Times New Roman" w:hAnsi="Times New Roman" w:cs="Times New Roman"/>
          <w:sz w:val="24"/>
          <w:szCs w:val="24"/>
        </w:rPr>
        <w:t>dB（A）。</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隔声：是把一个噪声源或是把需要安静的场所封闭在</w:t>
      </w:r>
      <w:r>
        <w:rPr>
          <w:rFonts w:hint="eastAsia" w:ascii="Times New Roman" w:hAnsi="Times New Roman" w:cs="Times New Roman"/>
          <w:sz w:val="24"/>
          <w:szCs w:val="24"/>
        </w:rPr>
        <w:t>一定</w:t>
      </w:r>
      <w:r>
        <w:rPr>
          <w:rFonts w:ascii="Times New Roman" w:hAnsi="Times New Roman" w:cs="Times New Roman"/>
          <w:sz w:val="24"/>
          <w:szCs w:val="24"/>
        </w:rPr>
        <w:t>的空间中，与周围环境隔绝起来，一般噪声值可降低20-25dB(A)，具有投资少</w:t>
      </w:r>
      <w:r>
        <w:rPr>
          <w:rFonts w:hint="eastAsia" w:ascii="Times New Roman" w:hAnsi="Times New Roman" w:cs="Times New Roman"/>
          <w:sz w:val="24"/>
          <w:szCs w:val="24"/>
        </w:rPr>
        <w:t>、</w:t>
      </w:r>
      <w:r>
        <w:rPr>
          <w:rFonts w:ascii="Times New Roman" w:hAnsi="Times New Roman" w:cs="Times New Roman"/>
          <w:sz w:val="24"/>
          <w:szCs w:val="24"/>
        </w:rPr>
        <w:t>管理费用低的特点，因此是许多工厂控制噪声最有效的措施之一。</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消声器：是一种允许气流通过使声能衰减的装置，一般安装在空气动力设备（如空压机）的气流通道上，可降低设备噪声15~35dB（A），并且有结构简单、使用寿命长，便于安装的特点。</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经采取上述控制措施后，噪声源强可降低20~35dB(A)，</w:t>
      </w:r>
      <w:r>
        <w:rPr>
          <w:rFonts w:hint="eastAsia" w:ascii="Times New Roman" w:hAnsi="Times New Roman" w:cs="Times New Roman"/>
          <w:sz w:val="24"/>
          <w:szCs w:val="24"/>
        </w:rPr>
        <w:t>再经距离衰减，</w:t>
      </w:r>
      <w:r>
        <w:rPr>
          <w:rFonts w:ascii="Times New Roman" w:hAnsi="Times New Roman" w:cs="Times New Roman"/>
          <w:sz w:val="24"/>
          <w:szCs w:val="24"/>
        </w:rPr>
        <w:t>项</w:t>
      </w:r>
      <w:r>
        <w:rPr>
          <w:rFonts w:hint="eastAsia" w:ascii="Times New Roman" w:hAnsi="Times New Roman" w:cs="Times New Roman"/>
          <w:sz w:val="24"/>
          <w:szCs w:val="24"/>
        </w:rPr>
        <w:t>北侧边界</w:t>
      </w:r>
      <w:r>
        <w:rPr>
          <w:rFonts w:ascii="Times New Roman" w:hAnsi="Times New Roman" w:cs="Times New Roman"/>
          <w:sz w:val="24"/>
          <w:szCs w:val="24"/>
        </w:rPr>
        <w:t>噪声可以达到《工业企业厂界环境噪声排放标准》（GB12348-2008）</w:t>
      </w:r>
      <w:r>
        <w:rPr>
          <w:rFonts w:hint="eastAsia" w:ascii="Times New Roman" w:hAnsi="Times New Roman" w:cs="Times New Roman"/>
          <w:sz w:val="24"/>
          <w:szCs w:val="24"/>
        </w:rPr>
        <w:t>4</w:t>
      </w:r>
      <w:r>
        <w:rPr>
          <w:rFonts w:ascii="Times New Roman" w:hAnsi="Times New Roman" w:cs="Times New Roman"/>
          <w:sz w:val="24"/>
          <w:szCs w:val="24"/>
        </w:rPr>
        <w:t>类</w:t>
      </w:r>
      <w:r>
        <w:rPr>
          <w:rFonts w:hint="eastAsia" w:ascii="Times New Roman" w:hAnsi="Times New Roman" w:cs="Times New Roman"/>
          <w:sz w:val="24"/>
          <w:szCs w:val="24"/>
        </w:rPr>
        <w:t>标准</w:t>
      </w:r>
      <w:r>
        <w:rPr>
          <w:rFonts w:ascii="Times New Roman" w:hAnsi="Times New Roman" w:cs="Times New Roman"/>
          <w:sz w:val="24"/>
          <w:szCs w:val="24"/>
        </w:rPr>
        <w:t>，</w:t>
      </w:r>
      <w:r>
        <w:rPr>
          <w:rFonts w:hint="eastAsia" w:ascii="Times New Roman" w:hAnsi="Times New Roman" w:cs="Times New Roman"/>
          <w:sz w:val="24"/>
          <w:szCs w:val="24"/>
        </w:rPr>
        <w:t>其他</w:t>
      </w:r>
      <w:r>
        <w:rPr>
          <w:rFonts w:ascii="Times New Roman" w:hAnsi="Times New Roman" w:cs="Times New Roman"/>
          <w:sz w:val="24"/>
          <w:szCs w:val="24"/>
        </w:rPr>
        <w:t>边界可达到《工业企业厂界环境噪声排放标准》（GB12348-2008）</w:t>
      </w:r>
      <w:r>
        <w:rPr>
          <w:rFonts w:hint="eastAsia" w:ascii="Times New Roman" w:hAnsi="Times New Roman" w:cs="Times New Roman"/>
          <w:sz w:val="24"/>
          <w:szCs w:val="24"/>
        </w:rPr>
        <w:t>1</w:t>
      </w:r>
      <w:r>
        <w:rPr>
          <w:rFonts w:ascii="Times New Roman" w:hAnsi="Times New Roman" w:cs="Times New Roman"/>
          <w:sz w:val="24"/>
          <w:szCs w:val="24"/>
        </w:rPr>
        <w:t>类标准，</w:t>
      </w:r>
      <w:r>
        <w:rPr>
          <w:rFonts w:hint="eastAsia" w:ascii="Times New Roman" w:hAnsi="Times New Roman" w:cs="Times New Roman"/>
          <w:sz w:val="24"/>
          <w:szCs w:val="24"/>
        </w:rPr>
        <w:t>且对声环境敏感点的贡献值较小，不会影响其正常工作和生活。</w:t>
      </w:r>
      <w:r>
        <w:rPr>
          <w:rFonts w:ascii="Times New Roman" w:hAnsi="Times New Roman" w:cs="Times New Roman"/>
          <w:sz w:val="24"/>
          <w:szCs w:val="24"/>
        </w:rPr>
        <w:t>上述分析结果表明，本项目噪声防治措施可行。</w:t>
      </w:r>
    </w:p>
    <w:p>
      <w:pPr>
        <w:pStyle w:val="3"/>
        <w:spacing w:before="0" w:after="0" w:line="360" w:lineRule="auto"/>
        <w:rPr>
          <w:rFonts w:ascii="Times New Roman" w:hAnsi="Times New Roman" w:cs="Times New Roman"/>
          <w:sz w:val="28"/>
          <w:szCs w:val="28"/>
        </w:rPr>
      </w:pPr>
      <w:bookmarkStart w:id="39" w:name="_Toc13725364"/>
      <w:r>
        <w:rPr>
          <w:rFonts w:ascii="Times New Roman" w:hAnsi="Times New Roman" w:cs="Times New Roman"/>
          <w:sz w:val="28"/>
          <w:szCs w:val="28"/>
        </w:rPr>
        <w:t>6.</w:t>
      </w:r>
      <w:r>
        <w:rPr>
          <w:rFonts w:hint="eastAsia" w:ascii="Times New Roman" w:hAnsi="Times New Roman" w:cs="Times New Roman"/>
          <w:sz w:val="28"/>
          <w:szCs w:val="28"/>
        </w:rPr>
        <w:t>5</w:t>
      </w:r>
      <w:r>
        <w:rPr>
          <w:rFonts w:ascii="Times New Roman" w:hAnsi="Times New Roman" w:cs="Times New Roman"/>
          <w:sz w:val="28"/>
          <w:szCs w:val="28"/>
        </w:rPr>
        <w:t>固体废物处置措施及其可行性论证</w:t>
      </w:r>
      <w:bookmarkEnd w:id="39"/>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本项目产生的固废主要为污水站及化粪池污泥、医疗废物、生活垃圾、药渣、</w:t>
      </w:r>
      <w:r>
        <w:rPr>
          <w:rFonts w:ascii="Times New Roman" w:hAnsi="Times New Roman" w:cs="Times New Roman"/>
          <w:bCs/>
          <w:color w:val="000000" w:themeColor="text1"/>
          <w:sz w:val="24"/>
          <w:szCs w:val="24"/>
        </w:rPr>
        <w:t>COD</w:t>
      </w:r>
      <w:r>
        <w:rPr>
          <w:rFonts w:hint="eastAsia" w:ascii="Times New Roman" w:hAnsi="Times New Roman" w:cs="Times New Roman"/>
          <w:bCs/>
          <w:color w:val="000000" w:themeColor="text1"/>
          <w:sz w:val="24"/>
          <w:szCs w:val="24"/>
        </w:rPr>
        <w:t>、氨氮在线监测仪产生的废液。</w:t>
      </w:r>
    </w:p>
    <w:p>
      <w:pPr>
        <w:pStyle w:val="50"/>
        <w:numPr>
          <w:ilvl w:val="0"/>
          <w:numId w:val="12"/>
        </w:numPr>
        <w:spacing w:line="360" w:lineRule="auto"/>
        <w:ind w:firstLineChars="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生活垃圾产生量为273.75t/a，定期由环卫部门统一收集处置。</w:t>
      </w:r>
    </w:p>
    <w:p>
      <w:pPr>
        <w:pStyle w:val="50"/>
        <w:numPr>
          <w:ilvl w:val="0"/>
          <w:numId w:val="12"/>
        </w:numPr>
        <w:spacing w:line="360" w:lineRule="auto"/>
        <w:ind w:firstLineChars="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煎药室煎药过程药渣产生量为0.5</w:t>
      </w:r>
      <w:r>
        <w:rPr>
          <w:rFonts w:hint="eastAsia" w:ascii="宋体" w:hAnsi="宋体" w:eastAsia="宋体" w:cs="Times New Roman"/>
          <w:color w:val="000000" w:themeColor="text1"/>
          <w:kern w:val="0"/>
          <w:sz w:val="24"/>
          <w:szCs w:val="24"/>
          <w:u w:color="000000"/>
        </w:rPr>
        <w:t xml:space="preserve"> </w:t>
      </w:r>
      <w:r>
        <w:rPr>
          <w:rFonts w:hint="eastAsia" w:ascii="Times New Roman" w:hAnsi="Times New Roman" w:cs="Times New Roman"/>
          <w:bCs/>
          <w:color w:val="000000" w:themeColor="text1"/>
          <w:sz w:val="24"/>
          <w:szCs w:val="24"/>
        </w:rPr>
        <w:t>t/a，定期由环卫部门统一收集处置。</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（3）</w:t>
      </w:r>
      <w:r>
        <w:rPr>
          <w:rFonts w:ascii="Times New Roman" w:hAnsi="Times New Roman" w:cs="Times New Roman"/>
          <w:bCs/>
          <w:color w:val="000000" w:themeColor="text1"/>
          <w:sz w:val="24"/>
          <w:szCs w:val="24"/>
        </w:rPr>
        <w:t>COD、氨氮在线监测仪产生的废液</w:t>
      </w:r>
      <w:r>
        <w:rPr>
          <w:rFonts w:hint="eastAsia" w:ascii="Times New Roman" w:hAnsi="Times New Roman" w:cs="Times New Roman"/>
          <w:bCs/>
          <w:color w:val="000000" w:themeColor="text1"/>
          <w:sz w:val="24"/>
          <w:szCs w:val="24"/>
        </w:rPr>
        <w:t>产生量为0.5 t/a，存放在医疗废物暂存间，定期交由有资质单位统一处理。</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color w:val="000000" w:themeColor="text1"/>
          <w:sz w:val="24"/>
          <w:szCs w:val="24"/>
        </w:rPr>
        <w:t>（4）</w:t>
      </w:r>
      <w:r>
        <w:rPr>
          <w:rFonts w:hint="eastAsia" w:ascii="Times New Roman" w:hAnsi="Times New Roman" w:cs="Times New Roman"/>
          <w:bCs/>
          <w:color w:val="000000" w:themeColor="text1"/>
          <w:sz w:val="24"/>
          <w:szCs w:val="24"/>
        </w:rPr>
        <w:t>污水处理站、化粪池、格栅及污泥池产生的污泥</w:t>
      </w:r>
      <w:r>
        <w:rPr>
          <w:rFonts w:ascii="Times New Roman" w:hAnsi="Times New Roman" w:cs="Times New Roman"/>
          <w:bCs/>
          <w:color w:val="000000" w:themeColor="text1"/>
          <w:sz w:val="24"/>
          <w:szCs w:val="24"/>
        </w:rPr>
        <w:t>属危险废物，</w:t>
      </w:r>
      <w:r>
        <w:rPr>
          <w:rFonts w:hint="eastAsia" w:ascii="Times New Roman" w:hAnsi="Times New Roman" w:cs="Times New Roman"/>
          <w:bCs/>
          <w:color w:val="000000" w:themeColor="text1"/>
          <w:sz w:val="24"/>
          <w:szCs w:val="24"/>
        </w:rPr>
        <w:t>采用二氧化氯发生器消毒后，定期清掏、脱水，由有资质单位统一处理。</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医疗废物属危险废物，各类医疗废物依据其性质在发生场所就地分类收集后，放入标明适当颜色或标识的</w:t>
      </w:r>
      <w:r>
        <w:rPr>
          <w:rFonts w:hint="eastAsia" w:ascii="Times New Roman" w:hAnsi="Times New Roman" w:cs="Times New Roman"/>
          <w:color w:val="000000" w:themeColor="text1"/>
          <w:sz w:val="24"/>
          <w:szCs w:val="24"/>
        </w:rPr>
        <w:t>防渗漏、防锐器穿透的专用包装物或者密闭的容器内</w:t>
      </w:r>
      <w:r>
        <w:rPr>
          <w:rFonts w:ascii="Times New Roman" w:hAnsi="Times New Roman" w:cs="Times New Roman"/>
          <w:color w:val="000000" w:themeColor="text1"/>
          <w:sz w:val="24"/>
          <w:szCs w:val="24"/>
        </w:rPr>
        <w:t>，在装满3/4时封袋，先集中存放在医疗废物暂存库，后定期用专用车运到</w:t>
      </w:r>
      <w:r>
        <w:rPr>
          <w:rFonts w:hint="eastAsia" w:ascii="Times New Roman" w:hAnsi="Times New Roman" w:cs="Times New Roman"/>
          <w:color w:val="000000" w:themeColor="text1"/>
          <w:sz w:val="24"/>
          <w:szCs w:val="24"/>
        </w:rPr>
        <w:t>有资质单位</w:t>
      </w:r>
      <w:r>
        <w:rPr>
          <w:rFonts w:ascii="Times New Roman" w:hAnsi="Times New Roman" w:cs="Times New Roman"/>
          <w:color w:val="000000" w:themeColor="text1"/>
          <w:sz w:val="24"/>
          <w:szCs w:val="24"/>
        </w:rPr>
        <w:t>统一</w:t>
      </w:r>
      <w:r>
        <w:rPr>
          <w:rFonts w:hint="eastAsia" w:ascii="Times New Roman" w:hAnsi="Times New Roman" w:cs="Times New Roman"/>
          <w:color w:val="000000" w:themeColor="text1"/>
          <w:sz w:val="24"/>
          <w:szCs w:val="24"/>
        </w:rPr>
        <w:t>处置</w:t>
      </w:r>
      <w:r>
        <w:rPr>
          <w:rFonts w:ascii="Times New Roman" w:hAnsi="Times New Roman" w:cs="Times New Roman"/>
          <w:color w:val="000000" w:themeColor="text1"/>
          <w:sz w:val="24"/>
          <w:szCs w:val="24"/>
        </w:rPr>
        <w:t>。</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鉴于医疗</w:t>
      </w:r>
      <w:r>
        <w:rPr>
          <w:rFonts w:hint="eastAsia" w:ascii="Times New Roman" w:hAnsi="Times New Roman" w:cs="Times New Roman"/>
          <w:color w:val="000000" w:themeColor="text1"/>
          <w:sz w:val="24"/>
          <w:szCs w:val="24"/>
        </w:rPr>
        <w:t>废物</w:t>
      </w:r>
      <w:r>
        <w:rPr>
          <w:rFonts w:ascii="Times New Roman" w:hAnsi="Times New Roman" w:cs="Times New Roman"/>
          <w:color w:val="000000" w:themeColor="text1"/>
          <w:sz w:val="24"/>
          <w:szCs w:val="24"/>
        </w:rPr>
        <w:t>的危害性，为保证项目产生的医疗废物得到有效处置，避免对周围环境造成不良影响，本项目具体采取如下的措施进行防范：</w:t>
      </w:r>
    </w:p>
    <w:p>
      <w:pPr>
        <w:pStyle w:val="50"/>
        <w:numPr>
          <w:ilvl w:val="0"/>
          <w:numId w:val="13"/>
        </w:numPr>
        <w:spacing w:line="360" w:lineRule="auto"/>
        <w:ind w:firstLineChars="0"/>
        <w:rPr>
          <w:rFonts w:cs="Times New Roman" w:asciiTheme="minorEastAsia" w:hAnsiTheme="minorEastAsia"/>
          <w:color w:val="000000" w:themeColor="text1"/>
          <w:sz w:val="24"/>
          <w:szCs w:val="24"/>
        </w:rPr>
      </w:pPr>
      <w:r>
        <w:rPr>
          <w:rFonts w:cs="Times New Roman" w:asciiTheme="minorEastAsia" w:hAnsiTheme="minorEastAsia"/>
          <w:color w:val="000000" w:themeColor="text1"/>
          <w:sz w:val="24"/>
          <w:szCs w:val="24"/>
        </w:rPr>
        <w:t>医疗</w:t>
      </w:r>
      <w:r>
        <w:rPr>
          <w:rFonts w:hint="eastAsia" w:cs="Times New Roman" w:asciiTheme="minorEastAsia" w:hAnsiTheme="minorEastAsia"/>
          <w:color w:val="000000" w:themeColor="text1"/>
          <w:sz w:val="24"/>
          <w:szCs w:val="24"/>
        </w:rPr>
        <w:t>废物</w:t>
      </w:r>
      <w:r>
        <w:rPr>
          <w:rFonts w:cs="Times New Roman" w:asciiTheme="minorEastAsia" w:hAnsiTheme="minorEastAsia"/>
          <w:color w:val="000000" w:themeColor="text1"/>
          <w:sz w:val="24"/>
          <w:szCs w:val="24"/>
        </w:rPr>
        <w:t>的收集</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科学的分类是消除污染、无害化处置的保证，要采用专用容器，明确各类废弃物标识，分类包装，分类堆放，并本着及时、方便、安全、快捷的原则，进行收集。感染性废物、病理性废物、损伤性废物、药物性废物及化学性废物不能混合收集；放入包装物或者容器内的感染性废物、病理性废物、损伤性废物不得取出。各类医疗废物在发生场所就地分类收集后，放入标明适当颜色或标识的防渗漏、防锐器穿透的专用包装物或者密闭的容器内，当盛装的医疗废物达到包装物或者容器的3/4时，应当使用有效的封口方式，使包装物或者容器的封口紧实、严密。</w:t>
      </w:r>
    </w:p>
    <w:p>
      <w:pPr>
        <w:spacing w:line="360" w:lineRule="auto"/>
        <w:ind w:firstLine="480" w:firstLineChars="200"/>
        <w:rPr>
          <w:rFonts w:cs="Times New Roman" w:asciiTheme="minorEastAsia" w:hAnsiTheme="minorEastAsia"/>
          <w:color w:val="000000" w:themeColor="text1"/>
          <w:sz w:val="24"/>
          <w:szCs w:val="24"/>
        </w:rPr>
      </w:pPr>
      <w:r>
        <w:rPr>
          <w:rFonts w:hint="eastAsia" w:cs="Times New Roman" w:asciiTheme="minorEastAsia" w:hAnsiTheme="minorEastAsia"/>
          <w:color w:val="000000" w:themeColor="text1"/>
          <w:sz w:val="24"/>
          <w:szCs w:val="24"/>
        </w:rPr>
        <w:t>②</w:t>
      </w:r>
      <w:r>
        <w:rPr>
          <w:rFonts w:cs="Times New Roman" w:asciiTheme="minorEastAsia" w:hAnsiTheme="minorEastAsia"/>
          <w:color w:val="000000" w:themeColor="text1"/>
          <w:sz w:val="24"/>
          <w:szCs w:val="24"/>
        </w:rPr>
        <w:t>医疗</w:t>
      </w:r>
      <w:r>
        <w:rPr>
          <w:rFonts w:hint="eastAsia" w:cs="Times New Roman" w:asciiTheme="minorEastAsia" w:hAnsiTheme="minorEastAsia"/>
          <w:color w:val="000000" w:themeColor="text1"/>
          <w:sz w:val="24"/>
          <w:szCs w:val="24"/>
        </w:rPr>
        <w:t>废物</w:t>
      </w:r>
      <w:r>
        <w:rPr>
          <w:rFonts w:cs="Times New Roman" w:asciiTheme="minorEastAsia" w:hAnsiTheme="minorEastAsia"/>
          <w:color w:val="000000" w:themeColor="text1"/>
          <w:sz w:val="24"/>
          <w:szCs w:val="24"/>
        </w:rPr>
        <w:t>的暂存</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医疗废物暂存库与生活垃圾存放地分开，有防雨淋的装置，地基高度应确保设施内不受雨洪冲击或浸泡，与医疗区和人员活动密集区隔开，有严密的封闭措施，设专人管理，有防鼠、防蚊蝇、防蟑螂、防盗以及预防儿童接触等安全措施；地面和1.0米高的墙裙进行防渗处理，地面有良好的排水性能，库房外设有供水龙头，避免阳光直射，有良好的通风设备和照明条件；库房内张贴“禁止吸烟、饮食”的警示标识；库房外明显处设置危险废物和医疗废物的警示标识；每天在废物清运之后消毒清洗；尽量做到日产日清，确实不能做到日产日清的，且最高气温高于25</w:t>
      </w:r>
      <w:r>
        <w:rPr>
          <w:rFonts w:hint="eastAsia" w:ascii="宋体" w:hAnsi="宋体" w:eastAsia="宋体" w:cs="宋体"/>
          <w:color w:val="000000" w:themeColor="text1"/>
          <w:sz w:val="24"/>
          <w:szCs w:val="24"/>
        </w:rPr>
        <w:t>℃</w:t>
      </w:r>
      <w:r>
        <w:rPr>
          <w:rFonts w:ascii="Times New Roman" w:hAnsi="Times New Roman" w:cs="Times New Roman"/>
          <w:color w:val="000000" w:themeColor="text1"/>
          <w:sz w:val="24"/>
          <w:szCs w:val="24"/>
        </w:rPr>
        <w:t>时，将医疗废物低温暂时贮存，暂时贮存温度低于20</w:t>
      </w:r>
      <w:r>
        <w:rPr>
          <w:rFonts w:hint="eastAsia" w:ascii="宋体" w:hAnsi="宋体" w:eastAsia="宋体" w:cs="宋体"/>
          <w:color w:val="000000" w:themeColor="text1"/>
          <w:sz w:val="24"/>
          <w:szCs w:val="24"/>
        </w:rPr>
        <w:t>℃</w:t>
      </w:r>
      <w:r>
        <w:rPr>
          <w:rFonts w:ascii="Times New Roman" w:hAnsi="Times New Roman" w:cs="Times New Roman"/>
          <w:color w:val="000000" w:themeColor="text1"/>
          <w:sz w:val="24"/>
          <w:szCs w:val="24"/>
        </w:rPr>
        <w:t>，时间最长不超过48小时。</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由于本项目只处理院区域范围内的医疗废物，日处理量不大且运输时间很短，医疗</w:t>
      </w:r>
      <w:r>
        <w:rPr>
          <w:rFonts w:hint="eastAsia" w:ascii="Times New Roman" w:hAnsi="Times New Roman" w:cs="Times New Roman"/>
          <w:color w:val="000000" w:themeColor="text1"/>
          <w:sz w:val="24"/>
          <w:szCs w:val="24"/>
        </w:rPr>
        <w:t>废物</w:t>
      </w:r>
      <w:r>
        <w:rPr>
          <w:rFonts w:ascii="Times New Roman" w:hAnsi="Times New Roman" w:cs="Times New Roman"/>
          <w:color w:val="000000" w:themeColor="text1"/>
          <w:sz w:val="24"/>
          <w:szCs w:val="24"/>
        </w:rPr>
        <w:t>随到随处理，因此经妥善收集、封存后的</w:t>
      </w:r>
      <w:r>
        <w:rPr>
          <w:rFonts w:hint="eastAsia" w:ascii="Times New Roman" w:hAnsi="Times New Roman" w:cs="Times New Roman"/>
          <w:color w:val="000000" w:themeColor="text1"/>
          <w:sz w:val="24"/>
          <w:szCs w:val="24"/>
        </w:rPr>
        <w:t>医疗废物</w:t>
      </w:r>
      <w:r>
        <w:rPr>
          <w:rFonts w:ascii="Times New Roman" w:hAnsi="Times New Roman" w:cs="Times New Roman"/>
          <w:color w:val="000000" w:themeColor="text1"/>
          <w:sz w:val="24"/>
          <w:szCs w:val="24"/>
        </w:rPr>
        <w:t>在医疗废物暂存库暂存的方式是可行的。</w:t>
      </w:r>
    </w:p>
    <w:p>
      <w:pPr>
        <w:spacing w:line="360" w:lineRule="auto"/>
        <w:ind w:firstLine="480" w:firstLineChars="200"/>
        <w:rPr>
          <w:rFonts w:cs="Times New Roman" w:asciiTheme="minorEastAsia" w:hAnsiTheme="minorEastAsia"/>
          <w:color w:val="000000" w:themeColor="text1"/>
          <w:sz w:val="24"/>
          <w:szCs w:val="24"/>
        </w:rPr>
      </w:pPr>
      <w:r>
        <w:rPr>
          <w:rFonts w:hint="eastAsia" w:cs="Times New Roman" w:asciiTheme="minorEastAsia" w:hAnsiTheme="minorEastAsia"/>
          <w:color w:val="000000" w:themeColor="text1"/>
          <w:sz w:val="24"/>
          <w:szCs w:val="24"/>
        </w:rPr>
        <w:t>③</w:t>
      </w:r>
      <w:r>
        <w:rPr>
          <w:rFonts w:cs="Times New Roman" w:asciiTheme="minorEastAsia" w:hAnsiTheme="minorEastAsia"/>
          <w:color w:val="000000" w:themeColor="text1"/>
          <w:sz w:val="24"/>
          <w:szCs w:val="24"/>
        </w:rPr>
        <w:t>医疗</w:t>
      </w:r>
      <w:r>
        <w:rPr>
          <w:rFonts w:hint="eastAsia" w:cs="Times New Roman" w:asciiTheme="minorEastAsia" w:hAnsiTheme="minorEastAsia"/>
          <w:color w:val="000000" w:themeColor="text1"/>
          <w:sz w:val="24"/>
          <w:szCs w:val="24"/>
        </w:rPr>
        <w:t>废物</w:t>
      </w:r>
      <w:r>
        <w:rPr>
          <w:rFonts w:cs="Times New Roman" w:asciiTheme="minorEastAsia" w:hAnsiTheme="minorEastAsia"/>
          <w:color w:val="000000" w:themeColor="text1"/>
          <w:sz w:val="24"/>
          <w:szCs w:val="24"/>
        </w:rPr>
        <w:t>的</w:t>
      </w:r>
      <w:r>
        <w:rPr>
          <w:rFonts w:hint="eastAsia" w:cs="Times New Roman" w:asciiTheme="minorEastAsia" w:hAnsiTheme="minorEastAsia"/>
          <w:color w:val="000000" w:themeColor="text1"/>
          <w:sz w:val="24"/>
          <w:szCs w:val="24"/>
        </w:rPr>
        <w:t>交接</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医院和处置单位每次交接医疗废物必须共同填写《危险废物转移联单》（医疗废物专用），分别保存。</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在采取上述防治措施后，固体废物全部得到了妥善处置，固体废物防治措施</w:t>
      </w:r>
      <w:r>
        <w:rPr>
          <w:rFonts w:hint="eastAsia" w:ascii="Times New Roman" w:hAnsi="Times New Roman" w:cs="Times New Roman"/>
          <w:color w:val="000000" w:themeColor="text1"/>
          <w:sz w:val="24"/>
          <w:szCs w:val="24"/>
        </w:rPr>
        <w:t>是</w:t>
      </w:r>
      <w:r>
        <w:rPr>
          <w:rFonts w:ascii="Times New Roman" w:hAnsi="Times New Roman" w:cs="Times New Roman"/>
          <w:color w:val="000000" w:themeColor="text1"/>
          <w:sz w:val="24"/>
          <w:szCs w:val="24"/>
        </w:rPr>
        <w:t>可行的。</w:t>
      </w:r>
    </w:p>
    <w:p>
      <w:pPr>
        <w:pStyle w:val="3"/>
        <w:spacing w:before="0" w:after="0" w:line="360" w:lineRule="auto"/>
        <w:rPr>
          <w:rFonts w:ascii="Times New Roman" w:hAnsi="Times New Roman" w:cs="Times New Roman"/>
          <w:color w:val="000000" w:themeColor="text1"/>
          <w:sz w:val="28"/>
          <w:szCs w:val="28"/>
        </w:rPr>
      </w:pPr>
      <w:bookmarkStart w:id="40" w:name="_Toc13725365"/>
      <w:r>
        <w:rPr>
          <w:rFonts w:hint="eastAsia" w:ascii="Times New Roman" w:hAnsi="Times New Roman" w:cs="Times New Roman"/>
          <w:color w:val="000000" w:themeColor="text1"/>
          <w:sz w:val="28"/>
          <w:szCs w:val="28"/>
        </w:rPr>
        <w:t>6.6环保设施投资情况</w:t>
      </w:r>
      <w:bookmarkEnd w:id="40"/>
    </w:p>
    <w:p/>
    <w:p/>
    <w:p/>
    <w:p/>
    <w:p/>
    <w:p/>
    <w:p/>
    <w:p/>
    <w:p/>
    <w:p/>
    <w:p/>
    <w:p/>
    <w:p/>
    <w:p/>
    <w:p/>
    <w:p/>
    <w:p/>
    <w:p/>
    <w:p/>
    <w:p/>
    <w:p/>
    <w:p/>
    <w:p/>
    <w:p>
      <w:pPr>
        <w:tabs>
          <w:tab w:val="left" w:pos="3451"/>
        </w:tabs>
        <w:spacing w:line="500" w:lineRule="exact"/>
        <w:jc w:val="center"/>
        <w:rPr>
          <w:rFonts w:ascii="Times New Roman" w:hAnsi="Times New Roman" w:cs="Times New Roman" w:eastAsiaTheme="majorEastAsia"/>
          <w:b/>
          <w:sz w:val="24"/>
        </w:rPr>
      </w:pPr>
      <w:r>
        <w:rPr>
          <w:rFonts w:ascii="Times New Roman" w:hAnsi="Times New Roman" w:cs="Times New Roman" w:eastAsiaTheme="majorEastAsia"/>
          <w:b/>
          <w:sz w:val="24"/>
        </w:rPr>
        <w:t>表6-</w:t>
      </w:r>
      <w:r>
        <w:rPr>
          <w:rFonts w:hint="eastAsia" w:ascii="Times New Roman" w:hAnsi="Times New Roman" w:cs="Times New Roman" w:eastAsiaTheme="majorEastAsia"/>
          <w:b/>
          <w:sz w:val="24"/>
        </w:rPr>
        <w:t>1</w:t>
      </w:r>
      <w:r>
        <w:rPr>
          <w:rFonts w:ascii="Times New Roman" w:hAnsi="Times New Roman" w:cs="Times New Roman" w:eastAsiaTheme="majorEastAsia"/>
          <w:b/>
          <w:sz w:val="24"/>
        </w:rPr>
        <w:t xml:space="preserve">  环保投资估算表       单位：万元</w:t>
      </w:r>
    </w:p>
    <w:tbl>
      <w:tblPr>
        <w:tblStyle w:val="27"/>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0"/>
        <w:gridCol w:w="569"/>
        <w:gridCol w:w="675"/>
        <w:gridCol w:w="1452"/>
        <w:gridCol w:w="3829"/>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570" w:type="dxa"/>
            <w:tcMar>
              <w:left w:w="0" w:type="dxa"/>
              <w:right w:w="0" w:type="dxa"/>
            </w:tcMar>
            <w:vAlign w:val="center"/>
          </w:tcPr>
          <w:p>
            <w:pPr>
              <w:pStyle w:val="45"/>
              <w:spacing w:line="340" w:lineRule="exact"/>
              <w:ind w:firstLine="0" w:firstLineChars="0"/>
              <w:contextualSpacing/>
              <w:jc w:val="center"/>
              <w:rPr>
                <w:rFonts w:ascii="Times New Roman"/>
                <w:bCs/>
                <w:color w:val="000000" w:themeColor="text1"/>
                <w:kern w:val="0"/>
                <w:sz w:val="21"/>
                <w:szCs w:val="21"/>
              </w:rPr>
            </w:pPr>
            <w:r>
              <w:rPr>
                <w:rFonts w:ascii="Times New Roman"/>
                <w:bCs/>
                <w:color w:val="000000" w:themeColor="text1"/>
                <w:kern w:val="0"/>
                <w:sz w:val="21"/>
                <w:szCs w:val="21"/>
              </w:rPr>
              <w:t>序号</w:t>
            </w:r>
          </w:p>
        </w:tc>
        <w:tc>
          <w:tcPr>
            <w:tcW w:w="2696" w:type="dxa"/>
            <w:gridSpan w:val="3"/>
            <w:tcMar>
              <w:left w:w="0" w:type="dxa"/>
              <w:right w:w="0" w:type="dxa"/>
            </w:tcMar>
            <w:vAlign w:val="center"/>
          </w:tcPr>
          <w:p>
            <w:pPr>
              <w:pStyle w:val="45"/>
              <w:spacing w:line="340" w:lineRule="exact"/>
              <w:ind w:firstLine="0" w:firstLineChars="0"/>
              <w:contextualSpacing/>
              <w:jc w:val="center"/>
              <w:rPr>
                <w:rFonts w:ascii="Times New Roman"/>
                <w:bCs/>
                <w:color w:val="000000" w:themeColor="text1"/>
                <w:kern w:val="0"/>
                <w:sz w:val="21"/>
                <w:szCs w:val="21"/>
              </w:rPr>
            </w:pPr>
            <w:r>
              <w:rPr>
                <w:rFonts w:ascii="Times New Roman"/>
                <w:bCs/>
                <w:color w:val="000000" w:themeColor="text1"/>
                <w:kern w:val="0"/>
                <w:sz w:val="21"/>
                <w:szCs w:val="21"/>
              </w:rPr>
              <w:t>类别</w:t>
            </w:r>
          </w:p>
        </w:tc>
        <w:tc>
          <w:tcPr>
            <w:tcW w:w="3829" w:type="dxa"/>
            <w:tcMar>
              <w:left w:w="0" w:type="dxa"/>
              <w:right w:w="0" w:type="dxa"/>
            </w:tcMar>
            <w:vAlign w:val="center"/>
          </w:tcPr>
          <w:p>
            <w:pPr>
              <w:pStyle w:val="45"/>
              <w:spacing w:line="340" w:lineRule="exact"/>
              <w:ind w:firstLine="0" w:firstLineChars="0"/>
              <w:contextualSpacing/>
              <w:jc w:val="center"/>
              <w:rPr>
                <w:rFonts w:ascii="Times New Roman"/>
                <w:bCs/>
                <w:color w:val="000000" w:themeColor="text1"/>
                <w:kern w:val="0"/>
                <w:sz w:val="21"/>
                <w:szCs w:val="21"/>
              </w:rPr>
            </w:pPr>
            <w:r>
              <w:rPr>
                <w:rFonts w:ascii="Times New Roman"/>
                <w:bCs/>
                <w:color w:val="000000" w:themeColor="text1"/>
                <w:kern w:val="0"/>
                <w:sz w:val="21"/>
                <w:szCs w:val="21"/>
              </w:rPr>
              <w:t>内容</w:t>
            </w:r>
          </w:p>
        </w:tc>
        <w:tc>
          <w:tcPr>
            <w:tcW w:w="1221" w:type="dxa"/>
            <w:tcMar>
              <w:left w:w="0" w:type="dxa"/>
              <w:right w:w="0" w:type="dxa"/>
            </w:tcMar>
            <w:vAlign w:val="center"/>
          </w:tcPr>
          <w:p>
            <w:pPr>
              <w:pStyle w:val="45"/>
              <w:spacing w:line="340" w:lineRule="exact"/>
              <w:ind w:firstLine="0" w:firstLineChars="0"/>
              <w:contextualSpacing/>
              <w:jc w:val="center"/>
              <w:rPr>
                <w:rFonts w:ascii="Times New Roman"/>
                <w:bCs/>
                <w:color w:val="000000" w:themeColor="text1"/>
                <w:kern w:val="0"/>
                <w:sz w:val="21"/>
                <w:szCs w:val="21"/>
              </w:rPr>
            </w:pPr>
            <w:r>
              <w:rPr>
                <w:rFonts w:ascii="Times New Roman"/>
                <w:bCs/>
                <w:color w:val="000000" w:themeColor="text1"/>
                <w:kern w:val="0"/>
                <w:sz w:val="21"/>
                <w:szCs w:val="21"/>
              </w:rPr>
              <w:t>投资估算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83" w:hRule="atLeast"/>
        </w:trPr>
        <w:tc>
          <w:tcPr>
            <w:tcW w:w="570" w:type="dxa"/>
            <w:vMerge w:val="restart"/>
            <w:tcMar>
              <w:left w:w="0" w:type="dxa"/>
              <w:right w:w="0" w:type="dxa"/>
            </w:tcMar>
            <w:vAlign w:val="center"/>
          </w:tcPr>
          <w:p>
            <w:pPr>
              <w:pStyle w:val="45"/>
              <w:spacing w:line="340" w:lineRule="exact"/>
              <w:ind w:firstLine="0" w:firstLineChars="0"/>
              <w:contextualSpacing/>
              <w:jc w:val="center"/>
              <w:rPr>
                <w:rFonts w:ascii="Times New Roman"/>
                <w:bCs/>
                <w:color w:val="000000" w:themeColor="text1"/>
                <w:kern w:val="0"/>
                <w:sz w:val="21"/>
                <w:szCs w:val="21"/>
              </w:rPr>
            </w:pPr>
            <w:r>
              <w:rPr>
                <w:rFonts w:ascii="Times New Roman"/>
                <w:bCs/>
                <w:color w:val="000000" w:themeColor="text1"/>
                <w:kern w:val="0"/>
                <w:sz w:val="21"/>
                <w:szCs w:val="21"/>
              </w:rPr>
              <w:t>1</w:t>
            </w:r>
          </w:p>
        </w:tc>
        <w:tc>
          <w:tcPr>
            <w:tcW w:w="569" w:type="dxa"/>
            <w:vMerge w:val="restart"/>
            <w:tcMar>
              <w:left w:w="0" w:type="dxa"/>
              <w:right w:w="0" w:type="dxa"/>
            </w:tcMar>
            <w:vAlign w:val="center"/>
          </w:tcPr>
          <w:p>
            <w:pPr>
              <w:pStyle w:val="45"/>
              <w:spacing w:line="340" w:lineRule="exact"/>
              <w:ind w:firstLine="0" w:firstLineChars="0"/>
              <w:contextualSpacing/>
              <w:jc w:val="center"/>
              <w:rPr>
                <w:rFonts w:ascii="Times New Roman"/>
                <w:bCs/>
                <w:color w:val="000000" w:themeColor="text1"/>
                <w:kern w:val="0"/>
                <w:sz w:val="21"/>
                <w:szCs w:val="21"/>
              </w:rPr>
            </w:pPr>
            <w:r>
              <w:rPr>
                <w:rFonts w:ascii="Times New Roman"/>
                <w:bCs/>
                <w:color w:val="000000" w:themeColor="text1"/>
                <w:kern w:val="0"/>
                <w:sz w:val="21"/>
                <w:szCs w:val="21"/>
              </w:rPr>
              <w:t>废气治理</w:t>
            </w:r>
          </w:p>
        </w:tc>
        <w:tc>
          <w:tcPr>
            <w:tcW w:w="2127" w:type="dxa"/>
            <w:gridSpan w:val="2"/>
            <w:vAlign w:val="center"/>
          </w:tcPr>
          <w:p>
            <w:pPr>
              <w:pStyle w:val="39"/>
              <w:spacing w:line="240" w:lineRule="auto"/>
              <w:rPr>
                <w:color w:val="000000" w:themeColor="text1"/>
                <w:szCs w:val="21"/>
              </w:rPr>
            </w:pPr>
            <w:r>
              <w:rPr>
                <w:rFonts w:hint="eastAsia"/>
                <w:color w:val="000000" w:themeColor="text1"/>
                <w:szCs w:val="21"/>
              </w:rPr>
              <w:t>污水处理站恶臭气体</w:t>
            </w:r>
          </w:p>
        </w:tc>
        <w:tc>
          <w:tcPr>
            <w:tcW w:w="3829" w:type="dxa"/>
            <w:tcMar>
              <w:left w:w="0" w:type="dxa"/>
              <w:right w:w="0" w:type="dxa"/>
            </w:tcMar>
            <w:vAlign w:val="center"/>
          </w:tcPr>
          <w:p>
            <w:pPr>
              <w:pStyle w:val="39"/>
              <w:rPr>
                <w:color w:val="000000" w:themeColor="text1"/>
                <w:szCs w:val="21"/>
              </w:rPr>
            </w:pPr>
            <w:r>
              <w:rPr>
                <w:rFonts w:hint="eastAsia"/>
                <w:color w:val="000000" w:themeColor="text1"/>
                <w:szCs w:val="21"/>
              </w:rPr>
              <w:t>通过集气管道</w:t>
            </w:r>
            <w:r>
              <w:rPr>
                <w:color w:val="000000" w:themeColor="text1"/>
                <w:szCs w:val="21"/>
              </w:rPr>
              <w:t>+</w:t>
            </w:r>
            <w:r>
              <w:rPr>
                <w:rFonts w:hint="eastAsia"/>
                <w:color w:val="000000" w:themeColor="text1"/>
                <w:szCs w:val="21"/>
              </w:rPr>
              <w:t>水喷淋装置</w:t>
            </w:r>
            <w:r>
              <w:rPr>
                <w:color w:val="000000" w:themeColor="text1"/>
                <w:szCs w:val="21"/>
              </w:rPr>
              <w:t>+UV</w:t>
            </w:r>
            <w:r>
              <w:rPr>
                <w:rFonts w:hint="eastAsia"/>
                <w:color w:val="000000" w:themeColor="text1"/>
                <w:szCs w:val="21"/>
              </w:rPr>
              <w:t>紫外线光解净化器</w:t>
            </w:r>
            <w:r>
              <w:rPr>
                <w:color w:val="000000" w:themeColor="text1"/>
                <w:szCs w:val="21"/>
              </w:rPr>
              <w:t>+1</w:t>
            </w:r>
            <w:r>
              <w:rPr>
                <w:rFonts w:hint="eastAsia"/>
                <w:color w:val="000000" w:themeColor="text1"/>
                <w:szCs w:val="21"/>
              </w:rPr>
              <w:t>根</w:t>
            </w:r>
            <w:r>
              <w:rPr>
                <w:color w:val="000000" w:themeColor="text1"/>
                <w:szCs w:val="21"/>
              </w:rPr>
              <w:t>15m</w:t>
            </w:r>
            <w:r>
              <w:rPr>
                <w:rFonts w:hint="eastAsia"/>
                <w:color w:val="000000" w:themeColor="text1"/>
                <w:szCs w:val="21"/>
              </w:rPr>
              <w:t>高排气筒。</w:t>
            </w:r>
          </w:p>
        </w:tc>
        <w:tc>
          <w:tcPr>
            <w:tcW w:w="1221" w:type="dxa"/>
            <w:vMerge w:val="restart"/>
            <w:tcMar>
              <w:left w:w="0" w:type="dxa"/>
              <w:right w:w="0" w:type="dxa"/>
            </w:tcMar>
            <w:vAlign w:val="center"/>
          </w:tcPr>
          <w:p>
            <w:pPr>
              <w:spacing w:line="340" w:lineRule="exact"/>
              <w:contextualSpacing/>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16" w:hRule="atLeast"/>
        </w:trPr>
        <w:tc>
          <w:tcPr>
            <w:tcW w:w="570" w:type="dxa"/>
            <w:vMerge w:val="continue"/>
            <w:tcMar>
              <w:left w:w="0" w:type="dxa"/>
              <w:right w:w="0" w:type="dxa"/>
            </w:tcMar>
            <w:vAlign w:val="center"/>
          </w:tcPr>
          <w:p>
            <w:pPr>
              <w:pStyle w:val="45"/>
              <w:spacing w:line="340" w:lineRule="exact"/>
              <w:ind w:firstLine="0" w:firstLineChars="0"/>
              <w:contextualSpacing/>
              <w:jc w:val="center"/>
              <w:rPr>
                <w:rFonts w:ascii="Times New Roman"/>
                <w:bCs/>
                <w:color w:val="000000" w:themeColor="text1"/>
                <w:kern w:val="0"/>
                <w:sz w:val="21"/>
                <w:szCs w:val="21"/>
              </w:rPr>
            </w:pPr>
          </w:p>
        </w:tc>
        <w:tc>
          <w:tcPr>
            <w:tcW w:w="569" w:type="dxa"/>
            <w:vMerge w:val="continue"/>
            <w:tcMar>
              <w:left w:w="0" w:type="dxa"/>
              <w:right w:w="0" w:type="dxa"/>
            </w:tcMar>
            <w:vAlign w:val="center"/>
          </w:tcPr>
          <w:p>
            <w:pPr>
              <w:pStyle w:val="45"/>
              <w:spacing w:line="340" w:lineRule="exact"/>
              <w:ind w:firstLine="0" w:firstLineChars="0"/>
              <w:contextualSpacing/>
              <w:jc w:val="center"/>
              <w:rPr>
                <w:rFonts w:ascii="Times New Roman"/>
                <w:bCs/>
                <w:color w:val="000000" w:themeColor="text1"/>
                <w:kern w:val="0"/>
                <w:sz w:val="21"/>
                <w:szCs w:val="21"/>
              </w:rPr>
            </w:pPr>
          </w:p>
        </w:tc>
        <w:tc>
          <w:tcPr>
            <w:tcW w:w="2127" w:type="dxa"/>
            <w:gridSpan w:val="2"/>
            <w:vAlign w:val="center"/>
          </w:tcPr>
          <w:p>
            <w:pPr>
              <w:pStyle w:val="39"/>
              <w:spacing w:line="240" w:lineRule="auto"/>
              <w:rPr>
                <w:color w:val="000000" w:themeColor="text1"/>
                <w:szCs w:val="21"/>
              </w:rPr>
            </w:pPr>
            <w:r>
              <w:rPr>
                <w:rFonts w:hint="eastAsia"/>
                <w:color w:val="000000" w:themeColor="text1"/>
                <w:szCs w:val="21"/>
              </w:rPr>
              <w:t>煎药恶臭气体</w:t>
            </w:r>
          </w:p>
        </w:tc>
        <w:tc>
          <w:tcPr>
            <w:tcW w:w="3829" w:type="dxa"/>
            <w:tcMar>
              <w:left w:w="0" w:type="dxa"/>
              <w:right w:w="0" w:type="dxa"/>
            </w:tcMar>
            <w:vAlign w:val="center"/>
          </w:tcPr>
          <w:p>
            <w:pPr>
              <w:pStyle w:val="39"/>
              <w:rPr>
                <w:color w:val="000000" w:themeColor="text1"/>
                <w:szCs w:val="21"/>
              </w:rPr>
            </w:pPr>
            <w:r>
              <w:rPr>
                <w:rFonts w:hint="eastAsia"/>
                <w:color w:val="000000" w:themeColor="text1"/>
                <w:szCs w:val="21"/>
              </w:rPr>
              <w:t>煎药设备煎药过程密闭，及时通风，无组织排放。</w:t>
            </w:r>
          </w:p>
        </w:tc>
        <w:tc>
          <w:tcPr>
            <w:tcW w:w="1221" w:type="dxa"/>
            <w:vMerge w:val="continue"/>
            <w:tcMar>
              <w:left w:w="0" w:type="dxa"/>
              <w:right w:w="0" w:type="dxa"/>
            </w:tcMar>
            <w:vAlign w:val="center"/>
          </w:tcPr>
          <w:p>
            <w:pPr>
              <w:spacing w:line="340" w:lineRule="exact"/>
              <w:contextualSpacing/>
              <w:jc w:val="center"/>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570" w:type="dxa"/>
            <w:vMerge w:val="continue"/>
            <w:tcMar>
              <w:left w:w="0" w:type="dxa"/>
              <w:right w:w="0" w:type="dxa"/>
            </w:tcMar>
            <w:vAlign w:val="center"/>
          </w:tcPr>
          <w:p>
            <w:pPr>
              <w:pStyle w:val="45"/>
              <w:spacing w:line="340" w:lineRule="exact"/>
              <w:ind w:firstLine="0" w:firstLineChars="0"/>
              <w:contextualSpacing/>
              <w:jc w:val="center"/>
              <w:rPr>
                <w:rFonts w:ascii="Times New Roman"/>
                <w:bCs/>
                <w:color w:val="000000" w:themeColor="text1"/>
                <w:kern w:val="0"/>
                <w:sz w:val="21"/>
                <w:szCs w:val="21"/>
              </w:rPr>
            </w:pPr>
          </w:p>
        </w:tc>
        <w:tc>
          <w:tcPr>
            <w:tcW w:w="569" w:type="dxa"/>
            <w:vMerge w:val="continue"/>
            <w:tcMar>
              <w:left w:w="0" w:type="dxa"/>
              <w:right w:w="0" w:type="dxa"/>
            </w:tcMar>
            <w:vAlign w:val="center"/>
          </w:tcPr>
          <w:p>
            <w:pPr>
              <w:pStyle w:val="45"/>
              <w:spacing w:line="340" w:lineRule="exact"/>
              <w:ind w:firstLine="0" w:firstLineChars="0"/>
              <w:contextualSpacing/>
              <w:jc w:val="center"/>
              <w:rPr>
                <w:rFonts w:ascii="Times New Roman"/>
                <w:bCs/>
                <w:color w:val="000000" w:themeColor="text1"/>
                <w:kern w:val="0"/>
                <w:sz w:val="21"/>
                <w:szCs w:val="21"/>
              </w:rPr>
            </w:pPr>
          </w:p>
        </w:tc>
        <w:tc>
          <w:tcPr>
            <w:tcW w:w="2127" w:type="dxa"/>
            <w:gridSpan w:val="2"/>
            <w:vAlign w:val="center"/>
          </w:tcPr>
          <w:p>
            <w:pPr>
              <w:pStyle w:val="39"/>
              <w:spacing w:line="240" w:lineRule="auto"/>
              <w:rPr>
                <w:color w:val="000000" w:themeColor="text1"/>
                <w:szCs w:val="21"/>
              </w:rPr>
            </w:pPr>
            <w:r>
              <w:rPr>
                <w:rFonts w:hint="eastAsia"/>
                <w:color w:val="000000" w:themeColor="text1"/>
                <w:szCs w:val="21"/>
              </w:rPr>
              <w:t>食堂油烟</w:t>
            </w:r>
          </w:p>
        </w:tc>
        <w:tc>
          <w:tcPr>
            <w:tcW w:w="3829" w:type="dxa"/>
            <w:tcMar>
              <w:left w:w="0" w:type="dxa"/>
              <w:right w:w="0" w:type="dxa"/>
            </w:tcMar>
            <w:vAlign w:val="center"/>
          </w:tcPr>
          <w:p>
            <w:pPr>
              <w:pStyle w:val="39"/>
              <w:spacing w:line="240" w:lineRule="auto"/>
              <w:jc w:val="both"/>
              <w:rPr>
                <w:color w:val="000000" w:themeColor="text1"/>
                <w:szCs w:val="21"/>
              </w:rPr>
            </w:pPr>
            <w:r>
              <w:rPr>
                <w:rFonts w:hint="eastAsia"/>
                <w:color w:val="000000" w:themeColor="text1"/>
                <w:szCs w:val="21"/>
              </w:rPr>
              <w:t>安装油烟净化器进行治理后于食堂楼顶排放</w:t>
            </w:r>
          </w:p>
        </w:tc>
        <w:tc>
          <w:tcPr>
            <w:tcW w:w="1221" w:type="dxa"/>
            <w:vMerge w:val="continue"/>
            <w:tcMar>
              <w:left w:w="0" w:type="dxa"/>
              <w:right w:w="0" w:type="dxa"/>
            </w:tcMar>
            <w:vAlign w:val="center"/>
          </w:tcPr>
          <w:p>
            <w:pPr>
              <w:pStyle w:val="45"/>
              <w:ind w:firstLine="480"/>
              <w:rPr>
                <w:rFonts w:ascii="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570" w:type="dxa"/>
            <w:tcMar>
              <w:left w:w="0" w:type="dxa"/>
              <w:right w:w="0" w:type="dxa"/>
            </w:tcMar>
            <w:vAlign w:val="center"/>
          </w:tcPr>
          <w:p>
            <w:pPr>
              <w:pStyle w:val="45"/>
              <w:spacing w:line="340" w:lineRule="exact"/>
              <w:ind w:firstLine="0" w:firstLineChars="0"/>
              <w:contextualSpacing/>
              <w:jc w:val="center"/>
              <w:rPr>
                <w:rFonts w:ascii="Times New Roman"/>
                <w:bCs/>
                <w:color w:val="000000" w:themeColor="text1"/>
                <w:kern w:val="0"/>
                <w:sz w:val="21"/>
                <w:szCs w:val="21"/>
              </w:rPr>
            </w:pPr>
            <w:r>
              <w:rPr>
                <w:rFonts w:ascii="Times New Roman"/>
                <w:bCs/>
                <w:color w:val="000000" w:themeColor="text1"/>
                <w:kern w:val="0"/>
                <w:sz w:val="21"/>
                <w:szCs w:val="21"/>
              </w:rPr>
              <w:t>2</w:t>
            </w:r>
          </w:p>
        </w:tc>
        <w:tc>
          <w:tcPr>
            <w:tcW w:w="569" w:type="dxa"/>
            <w:tcMar>
              <w:left w:w="0" w:type="dxa"/>
              <w:right w:w="0" w:type="dxa"/>
            </w:tcMar>
            <w:vAlign w:val="center"/>
          </w:tcPr>
          <w:p>
            <w:pPr>
              <w:pStyle w:val="45"/>
              <w:spacing w:line="340" w:lineRule="exact"/>
              <w:ind w:firstLine="0" w:firstLineChars="0"/>
              <w:contextualSpacing/>
              <w:jc w:val="center"/>
              <w:rPr>
                <w:rFonts w:ascii="Times New Roman"/>
                <w:bCs/>
                <w:color w:val="000000" w:themeColor="text1"/>
                <w:kern w:val="0"/>
                <w:sz w:val="21"/>
                <w:szCs w:val="21"/>
              </w:rPr>
            </w:pPr>
            <w:r>
              <w:rPr>
                <w:rFonts w:ascii="Times New Roman"/>
                <w:bCs/>
                <w:color w:val="000000" w:themeColor="text1"/>
                <w:kern w:val="0"/>
                <w:sz w:val="21"/>
                <w:szCs w:val="21"/>
              </w:rPr>
              <w:t>废水处理</w:t>
            </w:r>
          </w:p>
        </w:tc>
        <w:tc>
          <w:tcPr>
            <w:tcW w:w="2127" w:type="dxa"/>
            <w:gridSpan w:val="2"/>
            <w:vAlign w:val="center"/>
          </w:tcPr>
          <w:p>
            <w:pPr>
              <w:pStyle w:val="39"/>
              <w:spacing w:line="240" w:lineRule="auto"/>
              <w:rPr>
                <w:color w:val="000000" w:themeColor="text1"/>
                <w:szCs w:val="21"/>
              </w:rPr>
            </w:pPr>
            <w:r>
              <w:rPr>
                <w:rFonts w:hint="eastAsia"/>
                <w:color w:val="000000" w:themeColor="text1"/>
                <w:szCs w:val="21"/>
              </w:rPr>
              <w:t>医疗废水、生活污水和食堂废水</w:t>
            </w:r>
          </w:p>
        </w:tc>
        <w:tc>
          <w:tcPr>
            <w:tcW w:w="3829" w:type="dxa"/>
            <w:tcMar>
              <w:left w:w="0" w:type="dxa"/>
              <w:right w:w="0" w:type="dxa"/>
            </w:tcMar>
            <w:vAlign w:val="center"/>
          </w:tcPr>
          <w:p>
            <w:pPr>
              <w:pStyle w:val="39"/>
              <w:spacing w:line="240" w:lineRule="auto"/>
              <w:rPr>
                <w:color w:val="000000" w:themeColor="text1"/>
                <w:szCs w:val="21"/>
              </w:rPr>
            </w:pPr>
            <w:r>
              <w:rPr>
                <w:color w:val="000000" w:themeColor="text1"/>
                <w:szCs w:val="21"/>
              </w:rPr>
              <w:t>食堂废水经隔油池</w:t>
            </w:r>
            <w:r>
              <w:rPr>
                <w:rFonts w:hint="eastAsia"/>
                <w:color w:val="000000" w:themeColor="text1"/>
                <w:szCs w:val="21"/>
              </w:rPr>
              <w:t>预处理后，与医疗废水、生活污水一并进入</w:t>
            </w:r>
            <w:r>
              <w:rPr>
                <w:color w:val="000000" w:themeColor="text1"/>
                <w:szCs w:val="21"/>
              </w:rPr>
              <w:t>化粪池处理后排入医院污水处理站处理，</w:t>
            </w:r>
            <w:r>
              <w:rPr>
                <w:rFonts w:hint="eastAsia"/>
                <w:color w:val="000000" w:themeColor="text1"/>
                <w:szCs w:val="21"/>
              </w:rPr>
              <w:t>最终排入银定庄污水处理厂。</w:t>
            </w:r>
          </w:p>
        </w:tc>
        <w:tc>
          <w:tcPr>
            <w:tcW w:w="1221" w:type="dxa"/>
            <w:tcMar>
              <w:left w:w="0" w:type="dxa"/>
              <w:right w:w="0" w:type="dxa"/>
            </w:tcMar>
            <w:vAlign w:val="center"/>
          </w:tcPr>
          <w:p>
            <w:pPr>
              <w:spacing w:line="340" w:lineRule="exact"/>
              <w:contextualSpacing/>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570" w:type="dxa"/>
            <w:tcMar>
              <w:left w:w="0" w:type="dxa"/>
              <w:right w:w="0" w:type="dxa"/>
            </w:tcMar>
            <w:vAlign w:val="center"/>
          </w:tcPr>
          <w:p>
            <w:pPr>
              <w:pStyle w:val="45"/>
              <w:spacing w:line="340" w:lineRule="exact"/>
              <w:ind w:firstLine="0" w:firstLineChars="0"/>
              <w:contextualSpacing/>
              <w:jc w:val="center"/>
              <w:rPr>
                <w:rFonts w:ascii="Times New Roman"/>
                <w:bCs/>
                <w:color w:val="000000" w:themeColor="text1"/>
                <w:kern w:val="0"/>
                <w:sz w:val="21"/>
                <w:szCs w:val="21"/>
              </w:rPr>
            </w:pPr>
            <w:r>
              <w:rPr>
                <w:rFonts w:ascii="Times New Roman"/>
                <w:bCs/>
                <w:color w:val="000000" w:themeColor="text1"/>
                <w:kern w:val="0"/>
                <w:sz w:val="21"/>
                <w:szCs w:val="21"/>
              </w:rPr>
              <w:t>3</w:t>
            </w:r>
          </w:p>
        </w:tc>
        <w:tc>
          <w:tcPr>
            <w:tcW w:w="569" w:type="dxa"/>
            <w:tcMar>
              <w:left w:w="0" w:type="dxa"/>
              <w:right w:w="0" w:type="dxa"/>
            </w:tcMar>
            <w:vAlign w:val="center"/>
          </w:tcPr>
          <w:p>
            <w:pPr>
              <w:pStyle w:val="45"/>
              <w:spacing w:line="340" w:lineRule="exact"/>
              <w:ind w:firstLine="0" w:firstLineChars="0"/>
              <w:contextualSpacing/>
              <w:jc w:val="center"/>
              <w:rPr>
                <w:rFonts w:ascii="Times New Roman"/>
                <w:bCs/>
                <w:color w:val="000000" w:themeColor="text1"/>
                <w:kern w:val="0"/>
                <w:sz w:val="21"/>
                <w:szCs w:val="21"/>
              </w:rPr>
            </w:pPr>
            <w:r>
              <w:rPr>
                <w:rFonts w:ascii="Times New Roman"/>
                <w:bCs/>
                <w:color w:val="000000" w:themeColor="text1"/>
                <w:kern w:val="0"/>
                <w:sz w:val="21"/>
                <w:szCs w:val="21"/>
              </w:rPr>
              <w:t>噪声防治</w:t>
            </w:r>
          </w:p>
        </w:tc>
        <w:tc>
          <w:tcPr>
            <w:tcW w:w="2127" w:type="dxa"/>
            <w:gridSpan w:val="2"/>
            <w:vAlign w:val="center"/>
          </w:tcPr>
          <w:p>
            <w:pPr>
              <w:pStyle w:val="39"/>
              <w:spacing w:line="240" w:lineRule="auto"/>
              <w:rPr>
                <w:color w:val="000000" w:themeColor="text1"/>
                <w:szCs w:val="21"/>
              </w:rPr>
            </w:pPr>
            <w:r>
              <w:rPr>
                <w:color w:val="000000" w:themeColor="text1"/>
                <w:szCs w:val="21"/>
              </w:rPr>
              <w:t>设备噪声</w:t>
            </w:r>
          </w:p>
        </w:tc>
        <w:tc>
          <w:tcPr>
            <w:tcW w:w="3829" w:type="dxa"/>
            <w:tcMar>
              <w:left w:w="0" w:type="dxa"/>
              <w:right w:w="0" w:type="dxa"/>
            </w:tcMar>
            <w:vAlign w:val="center"/>
          </w:tcPr>
          <w:p>
            <w:pPr>
              <w:pStyle w:val="39"/>
              <w:spacing w:line="240" w:lineRule="auto"/>
              <w:rPr>
                <w:color w:val="000000" w:themeColor="text1"/>
                <w:szCs w:val="21"/>
              </w:rPr>
            </w:pPr>
            <w:r>
              <w:rPr>
                <w:rFonts w:hint="eastAsia"/>
                <w:color w:val="000000" w:themeColor="text1"/>
                <w:szCs w:val="21"/>
              </w:rPr>
              <w:t>水泵、风机等设备选用低噪声设备，并设置减振基础，风机进出口软连接</w:t>
            </w:r>
          </w:p>
        </w:tc>
        <w:tc>
          <w:tcPr>
            <w:tcW w:w="1221" w:type="dxa"/>
            <w:tcMar>
              <w:left w:w="0" w:type="dxa"/>
              <w:right w:w="0" w:type="dxa"/>
            </w:tcMar>
            <w:vAlign w:val="center"/>
          </w:tcPr>
          <w:p>
            <w:pPr>
              <w:spacing w:line="340" w:lineRule="exact"/>
              <w:contextualSpacing/>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90" w:hRule="atLeast"/>
        </w:trPr>
        <w:tc>
          <w:tcPr>
            <w:tcW w:w="570" w:type="dxa"/>
            <w:vMerge w:val="restart"/>
            <w:tcMar>
              <w:left w:w="0" w:type="dxa"/>
              <w:right w:w="0" w:type="dxa"/>
            </w:tcMar>
            <w:vAlign w:val="center"/>
          </w:tcPr>
          <w:p>
            <w:pPr>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569" w:type="dxa"/>
            <w:vMerge w:val="restart"/>
            <w:tcMar>
              <w:left w:w="0" w:type="dxa"/>
              <w:right w:w="0" w:type="dxa"/>
            </w:tcMar>
            <w:vAlign w:val="center"/>
          </w:tcPr>
          <w:p>
            <w:pPr>
              <w:pStyle w:val="45"/>
              <w:spacing w:line="340" w:lineRule="exact"/>
              <w:ind w:firstLine="0" w:firstLineChars="0"/>
              <w:contextualSpacing/>
              <w:jc w:val="center"/>
              <w:rPr>
                <w:rFonts w:ascii="Times New Roman"/>
                <w:bCs/>
                <w:color w:val="000000" w:themeColor="text1"/>
                <w:kern w:val="0"/>
                <w:sz w:val="21"/>
                <w:szCs w:val="21"/>
              </w:rPr>
            </w:pPr>
            <w:r>
              <w:rPr>
                <w:rFonts w:ascii="Times New Roman"/>
                <w:bCs/>
                <w:color w:val="000000" w:themeColor="text1"/>
                <w:kern w:val="0"/>
                <w:sz w:val="21"/>
                <w:szCs w:val="21"/>
              </w:rPr>
              <w:t>固体废物处置</w:t>
            </w:r>
          </w:p>
        </w:tc>
        <w:tc>
          <w:tcPr>
            <w:tcW w:w="675" w:type="dxa"/>
            <w:vMerge w:val="restart"/>
            <w:vAlign w:val="center"/>
          </w:tcPr>
          <w:p>
            <w:pPr>
              <w:pStyle w:val="39"/>
              <w:spacing w:line="240" w:lineRule="auto"/>
              <w:rPr>
                <w:color w:val="000000" w:themeColor="text1"/>
                <w:szCs w:val="21"/>
              </w:rPr>
            </w:pPr>
            <w:r>
              <w:rPr>
                <w:color w:val="000000" w:themeColor="text1"/>
                <w:szCs w:val="21"/>
              </w:rPr>
              <w:t>一般</w:t>
            </w:r>
          </w:p>
          <w:p>
            <w:pPr>
              <w:pStyle w:val="39"/>
              <w:spacing w:line="240" w:lineRule="auto"/>
              <w:rPr>
                <w:color w:val="000000" w:themeColor="text1"/>
                <w:szCs w:val="21"/>
              </w:rPr>
            </w:pPr>
            <w:r>
              <w:rPr>
                <w:color w:val="000000" w:themeColor="text1"/>
                <w:szCs w:val="21"/>
              </w:rPr>
              <w:t>固废</w:t>
            </w:r>
          </w:p>
        </w:tc>
        <w:tc>
          <w:tcPr>
            <w:tcW w:w="1452" w:type="dxa"/>
            <w:vAlign w:val="center"/>
          </w:tcPr>
          <w:p>
            <w:pPr>
              <w:pStyle w:val="39"/>
              <w:spacing w:line="240" w:lineRule="auto"/>
              <w:rPr>
                <w:color w:val="000000" w:themeColor="text1"/>
                <w:szCs w:val="21"/>
              </w:rPr>
            </w:pPr>
            <w:r>
              <w:rPr>
                <w:rFonts w:hint="eastAsia"/>
                <w:color w:val="000000" w:themeColor="text1"/>
                <w:szCs w:val="21"/>
              </w:rPr>
              <w:t>职工生活</w:t>
            </w:r>
          </w:p>
          <w:p>
            <w:pPr>
              <w:pStyle w:val="39"/>
              <w:spacing w:line="240" w:lineRule="auto"/>
              <w:rPr>
                <w:color w:val="000000" w:themeColor="text1"/>
                <w:szCs w:val="21"/>
              </w:rPr>
            </w:pPr>
            <w:r>
              <w:rPr>
                <w:rFonts w:hint="eastAsia"/>
                <w:color w:val="000000" w:themeColor="text1"/>
                <w:szCs w:val="21"/>
              </w:rPr>
              <w:t>垃圾</w:t>
            </w:r>
          </w:p>
        </w:tc>
        <w:tc>
          <w:tcPr>
            <w:tcW w:w="3829" w:type="dxa"/>
            <w:tcMar>
              <w:left w:w="0" w:type="dxa"/>
              <w:right w:w="0" w:type="dxa"/>
            </w:tcMar>
            <w:vAlign w:val="center"/>
          </w:tcPr>
          <w:p>
            <w:pPr>
              <w:pStyle w:val="39"/>
              <w:spacing w:line="240" w:lineRule="auto"/>
              <w:rPr>
                <w:color w:val="000000" w:themeColor="text1"/>
                <w:szCs w:val="21"/>
              </w:rPr>
            </w:pPr>
            <w:r>
              <w:rPr>
                <w:rFonts w:hint="eastAsia"/>
                <w:color w:val="000000" w:themeColor="text1"/>
                <w:szCs w:val="21"/>
              </w:rPr>
              <w:t>由环卫部门统一收集处置</w:t>
            </w:r>
          </w:p>
        </w:tc>
        <w:tc>
          <w:tcPr>
            <w:tcW w:w="1221" w:type="dxa"/>
            <w:vMerge w:val="restart"/>
            <w:tcMar>
              <w:left w:w="0" w:type="dxa"/>
              <w:right w:w="0" w:type="dxa"/>
            </w:tcMar>
            <w:vAlign w:val="center"/>
          </w:tcPr>
          <w:p>
            <w:pPr>
              <w:spacing w:line="340" w:lineRule="exact"/>
              <w:contextualSpacing/>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90" w:hRule="atLeast"/>
        </w:trPr>
        <w:tc>
          <w:tcPr>
            <w:tcW w:w="570" w:type="dxa"/>
            <w:vMerge w:val="continue"/>
            <w:tcMar>
              <w:left w:w="0" w:type="dxa"/>
              <w:right w:w="0" w:type="dxa"/>
            </w:tcMar>
            <w:vAlign w:val="center"/>
          </w:tcPr>
          <w:p>
            <w:pPr>
              <w:jc w:val="center"/>
              <w:rPr>
                <w:rFonts w:ascii="Times New Roman" w:hAnsi="Times New Roman" w:cs="Times New Roman"/>
                <w:color w:val="000000" w:themeColor="text1"/>
              </w:rPr>
            </w:pPr>
          </w:p>
        </w:tc>
        <w:tc>
          <w:tcPr>
            <w:tcW w:w="569" w:type="dxa"/>
            <w:vMerge w:val="continue"/>
            <w:tcMar>
              <w:left w:w="0" w:type="dxa"/>
              <w:right w:w="0" w:type="dxa"/>
            </w:tcMar>
            <w:vAlign w:val="center"/>
          </w:tcPr>
          <w:p>
            <w:pPr>
              <w:pStyle w:val="45"/>
              <w:spacing w:line="340" w:lineRule="exact"/>
              <w:ind w:firstLine="0" w:firstLineChars="0"/>
              <w:contextualSpacing/>
              <w:jc w:val="center"/>
              <w:rPr>
                <w:rFonts w:ascii="Times New Roman"/>
                <w:bCs/>
                <w:color w:val="000000" w:themeColor="text1"/>
                <w:kern w:val="0"/>
                <w:sz w:val="21"/>
                <w:szCs w:val="21"/>
              </w:rPr>
            </w:pPr>
          </w:p>
        </w:tc>
        <w:tc>
          <w:tcPr>
            <w:tcW w:w="675" w:type="dxa"/>
            <w:vMerge w:val="continue"/>
            <w:vAlign w:val="center"/>
          </w:tcPr>
          <w:p>
            <w:pPr>
              <w:pStyle w:val="39"/>
              <w:spacing w:line="240" w:lineRule="auto"/>
              <w:rPr>
                <w:color w:val="000000" w:themeColor="text1"/>
                <w:szCs w:val="21"/>
              </w:rPr>
            </w:pPr>
          </w:p>
        </w:tc>
        <w:tc>
          <w:tcPr>
            <w:tcW w:w="1452" w:type="dxa"/>
            <w:vAlign w:val="center"/>
          </w:tcPr>
          <w:p>
            <w:pPr>
              <w:pStyle w:val="39"/>
              <w:spacing w:line="240" w:lineRule="auto"/>
              <w:rPr>
                <w:color w:val="000000" w:themeColor="text1"/>
                <w:szCs w:val="21"/>
              </w:rPr>
            </w:pPr>
            <w:r>
              <w:rPr>
                <w:rFonts w:hint="eastAsia"/>
                <w:color w:val="000000" w:themeColor="text1"/>
                <w:szCs w:val="21"/>
              </w:rPr>
              <w:t>药渣</w:t>
            </w:r>
          </w:p>
        </w:tc>
        <w:tc>
          <w:tcPr>
            <w:tcW w:w="3829" w:type="dxa"/>
            <w:tcMar>
              <w:left w:w="0" w:type="dxa"/>
              <w:right w:w="0" w:type="dxa"/>
            </w:tcMar>
            <w:vAlign w:val="center"/>
          </w:tcPr>
          <w:p>
            <w:pPr>
              <w:pStyle w:val="39"/>
              <w:spacing w:line="240" w:lineRule="auto"/>
              <w:rPr>
                <w:color w:val="000000" w:themeColor="text1"/>
                <w:szCs w:val="21"/>
              </w:rPr>
            </w:pPr>
            <w:r>
              <w:rPr>
                <w:rFonts w:hint="eastAsia"/>
                <w:color w:val="000000" w:themeColor="text1"/>
                <w:szCs w:val="21"/>
              </w:rPr>
              <w:t>由环卫部门统一收集处置</w:t>
            </w:r>
          </w:p>
        </w:tc>
        <w:tc>
          <w:tcPr>
            <w:tcW w:w="1221" w:type="dxa"/>
            <w:vMerge w:val="continue"/>
            <w:tcMar>
              <w:left w:w="0" w:type="dxa"/>
              <w:right w:w="0" w:type="dxa"/>
            </w:tcMar>
            <w:vAlign w:val="center"/>
          </w:tcPr>
          <w:p>
            <w:pPr>
              <w:spacing w:line="340" w:lineRule="exact"/>
              <w:contextualSpacing/>
              <w:jc w:val="center"/>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570" w:type="dxa"/>
            <w:vMerge w:val="continue"/>
            <w:tcMar>
              <w:left w:w="0" w:type="dxa"/>
              <w:right w:w="0" w:type="dxa"/>
            </w:tcMar>
          </w:tcPr>
          <w:p>
            <w:pPr>
              <w:rPr>
                <w:rFonts w:ascii="Times New Roman" w:hAnsi="Times New Roman" w:cs="Times New Roman"/>
                <w:color w:val="000000" w:themeColor="text1"/>
              </w:rPr>
            </w:pPr>
          </w:p>
        </w:tc>
        <w:tc>
          <w:tcPr>
            <w:tcW w:w="569" w:type="dxa"/>
            <w:vMerge w:val="continue"/>
            <w:tcMar>
              <w:left w:w="0" w:type="dxa"/>
              <w:right w:w="0" w:type="dxa"/>
            </w:tcMar>
            <w:vAlign w:val="center"/>
          </w:tcPr>
          <w:p>
            <w:pPr>
              <w:pStyle w:val="45"/>
              <w:spacing w:line="340" w:lineRule="exact"/>
              <w:ind w:firstLine="0" w:firstLineChars="0"/>
              <w:contextualSpacing/>
              <w:jc w:val="center"/>
              <w:rPr>
                <w:rFonts w:ascii="Times New Roman"/>
                <w:bCs/>
                <w:color w:val="000000" w:themeColor="text1"/>
                <w:kern w:val="0"/>
                <w:sz w:val="21"/>
                <w:szCs w:val="21"/>
              </w:rPr>
            </w:pPr>
          </w:p>
        </w:tc>
        <w:tc>
          <w:tcPr>
            <w:tcW w:w="675" w:type="dxa"/>
            <w:vMerge w:val="restart"/>
            <w:vAlign w:val="center"/>
          </w:tcPr>
          <w:p>
            <w:pPr>
              <w:pStyle w:val="39"/>
              <w:spacing w:line="240" w:lineRule="auto"/>
              <w:rPr>
                <w:color w:val="000000" w:themeColor="text1"/>
                <w:szCs w:val="21"/>
              </w:rPr>
            </w:pPr>
            <w:r>
              <w:rPr>
                <w:color w:val="000000" w:themeColor="text1"/>
                <w:szCs w:val="21"/>
              </w:rPr>
              <w:t>危险</w:t>
            </w:r>
          </w:p>
          <w:p>
            <w:pPr>
              <w:pStyle w:val="39"/>
              <w:spacing w:line="240" w:lineRule="auto"/>
              <w:rPr>
                <w:color w:val="000000" w:themeColor="text1"/>
                <w:szCs w:val="21"/>
              </w:rPr>
            </w:pPr>
            <w:r>
              <w:rPr>
                <w:color w:val="000000" w:themeColor="text1"/>
                <w:szCs w:val="21"/>
              </w:rPr>
              <w:t>废物</w:t>
            </w:r>
          </w:p>
        </w:tc>
        <w:tc>
          <w:tcPr>
            <w:tcW w:w="1452" w:type="dxa"/>
            <w:vAlign w:val="center"/>
          </w:tcPr>
          <w:p>
            <w:pPr>
              <w:pStyle w:val="39"/>
              <w:spacing w:line="240" w:lineRule="auto"/>
              <w:rPr>
                <w:color w:val="000000" w:themeColor="text1"/>
                <w:szCs w:val="21"/>
              </w:rPr>
            </w:pPr>
            <w:r>
              <w:rPr>
                <w:rFonts w:hint="eastAsia"/>
                <w:color w:val="000000" w:themeColor="text1"/>
                <w:szCs w:val="21"/>
              </w:rPr>
              <w:t>医疗废物</w:t>
            </w:r>
          </w:p>
        </w:tc>
        <w:tc>
          <w:tcPr>
            <w:tcW w:w="3829" w:type="dxa"/>
            <w:tcMar>
              <w:left w:w="0" w:type="dxa"/>
              <w:right w:w="0" w:type="dxa"/>
            </w:tcMar>
            <w:vAlign w:val="center"/>
          </w:tcPr>
          <w:p>
            <w:pPr>
              <w:pStyle w:val="39"/>
              <w:spacing w:line="240" w:lineRule="auto"/>
              <w:rPr>
                <w:color w:val="000000" w:themeColor="text1"/>
                <w:szCs w:val="21"/>
              </w:rPr>
            </w:pPr>
            <w:r>
              <w:rPr>
                <w:rFonts w:hint="eastAsia"/>
                <w:color w:val="000000" w:themeColor="text1"/>
                <w:szCs w:val="21"/>
              </w:rPr>
              <w:t>暂存于医疗废物暂存间，定期由有资质单位收集处置</w:t>
            </w:r>
          </w:p>
        </w:tc>
        <w:tc>
          <w:tcPr>
            <w:tcW w:w="1221" w:type="dxa"/>
            <w:vMerge w:val="continue"/>
            <w:tcMar>
              <w:left w:w="0" w:type="dxa"/>
              <w:right w:w="0" w:type="dxa"/>
            </w:tcMar>
            <w:vAlign w:val="center"/>
          </w:tcPr>
          <w:p>
            <w:pPr>
              <w:spacing w:line="340" w:lineRule="exact"/>
              <w:contextualSpacing/>
              <w:jc w:val="center"/>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570" w:type="dxa"/>
            <w:vMerge w:val="continue"/>
            <w:tcMar>
              <w:left w:w="0" w:type="dxa"/>
              <w:right w:w="0" w:type="dxa"/>
            </w:tcMar>
          </w:tcPr>
          <w:p>
            <w:pPr>
              <w:rPr>
                <w:rFonts w:ascii="Times New Roman" w:hAnsi="Times New Roman" w:cs="Times New Roman"/>
                <w:color w:val="000000" w:themeColor="text1"/>
              </w:rPr>
            </w:pPr>
          </w:p>
        </w:tc>
        <w:tc>
          <w:tcPr>
            <w:tcW w:w="569" w:type="dxa"/>
            <w:vMerge w:val="continue"/>
            <w:tcMar>
              <w:left w:w="0" w:type="dxa"/>
              <w:right w:w="0" w:type="dxa"/>
            </w:tcMar>
            <w:vAlign w:val="center"/>
          </w:tcPr>
          <w:p>
            <w:pPr>
              <w:pStyle w:val="45"/>
              <w:spacing w:line="340" w:lineRule="exact"/>
              <w:ind w:firstLine="0" w:firstLineChars="0"/>
              <w:contextualSpacing/>
              <w:jc w:val="center"/>
              <w:rPr>
                <w:rFonts w:ascii="Times New Roman"/>
                <w:bCs/>
                <w:color w:val="000000" w:themeColor="text1"/>
                <w:kern w:val="0"/>
                <w:sz w:val="21"/>
                <w:szCs w:val="21"/>
              </w:rPr>
            </w:pPr>
          </w:p>
        </w:tc>
        <w:tc>
          <w:tcPr>
            <w:tcW w:w="675" w:type="dxa"/>
            <w:vMerge w:val="continue"/>
            <w:vAlign w:val="center"/>
          </w:tcPr>
          <w:p>
            <w:pPr>
              <w:pStyle w:val="39"/>
              <w:spacing w:line="240" w:lineRule="auto"/>
              <w:rPr>
                <w:color w:val="000000" w:themeColor="text1"/>
                <w:szCs w:val="21"/>
              </w:rPr>
            </w:pPr>
          </w:p>
        </w:tc>
        <w:tc>
          <w:tcPr>
            <w:tcW w:w="1452" w:type="dxa"/>
            <w:vAlign w:val="center"/>
          </w:tcPr>
          <w:p>
            <w:pPr>
              <w:pStyle w:val="39"/>
              <w:spacing w:line="240" w:lineRule="auto"/>
              <w:rPr>
                <w:color w:val="000000" w:themeColor="text1"/>
                <w:szCs w:val="21"/>
              </w:rPr>
            </w:pPr>
            <w:r>
              <w:rPr>
                <w:rFonts w:hint="eastAsia"/>
                <w:color w:val="000000" w:themeColor="text1"/>
                <w:szCs w:val="21"/>
              </w:rPr>
              <w:t>污水站与化粪池污泥</w:t>
            </w:r>
          </w:p>
        </w:tc>
        <w:tc>
          <w:tcPr>
            <w:tcW w:w="3829" w:type="dxa"/>
            <w:tcMar>
              <w:left w:w="0" w:type="dxa"/>
              <w:right w:w="0" w:type="dxa"/>
            </w:tcMar>
            <w:vAlign w:val="center"/>
          </w:tcPr>
          <w:p>
            <w:pPr>
              <w:pStyle w:val="39"/>
              <w:spacing w:line="240" w:lineRule="auto"/>
              <w:rPr>
                <w:color w:val="000000" w:themeColor="text1"/>
                <w:szCs w:val="21"/>
              </w:rPr>
            </w:pPr>
            <w:r>
              <w:rPr>
                <w:rFonts w:hint="eastAsia"/>
                <w:color w:val="000000" w:themeColor="text1"/>
                <w:szCs w:val="21"/>
              </w:rPr>
              <w:t>与医疗废物一同交由有资质单位处理</w:t>
            </w:r>
          </w:p>
        </w:tc>
        <w:tc>
          <w:tcPr>
            <w:tcW w:w="1221" w:type="dxa"/>
            <w:vMerge w:val="continue"/>
            <w:tcMar>
              <w:left w:w="0" w:type="dxa"/>
              <w:right w:w="0" w:type="dxa"/>
            </w:tcMar>
            <w:vAlign w:val="center"/>
          </w:tcPr>
          <w:p>
            <w:pPr>
              <w:spacing w:line="340" w:lineRule="exact"/>
              <w:contextualSpacing/>
              <w:jc w:val="center"/>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570" w:type="dxa"/>
            <w:vMerge w:val="continue"/>
            <w:tcMar>
              <w:left w:w="0" w:type="dxa"/>
              <w:right w:w="0" w:type="dxa"/>
            </w:tcMar>
          </w:tcPr>
          <w:p>
            <w:pPr>
              <w:rPr>
                <w:rFonts w:ascii="Times New Roman" w:hAnsi="Times New Roman" w:cs="Times New Roman"/>
                <w:color w:val="000000" w:themeColor="text1"/>
              </w:rPr>
            </w:pPr>
          </w:p>
        </w:tc>
        <w:tc>
          <w:tcPr>
            <w:tcW w:w="569" w:type="dxa"/>
            <w:vMerge w:val="continue"/>
            <w:tcMar>
              <w:left w:w="0" w:type="dxa"/>
              <w:right w:w="0" w:type="dxa"/>
            </w:tcMar>
            <w:vAlign w:val="center"/>
          </w:tcPr>
          <w:p>
            <w:pPr>
              <w:pStyle w:val="45"/>
              <w:spacing w:line="340" w:lineRule="exact"/>
              <w:ind w:firstLine="0" w:firstLineChars="0"/>
              <w:contextualSpacing/>
              <w:jc w:val="center"/>
              <w:rPr>
                <w:rFonts w:ascii="Times New Roman"/>
                <w:bCs/>
                <w:color w:val="000000" w:themeColor="text1"/>
                <w:kern w:val="0"/>
                <w:sz w:val="21"/>
                <w:szCs w:val="21"/>
              </w:rPr>
            </w:pPr>
          </w:p>
        </w:tc>
        <w:tc>
          <w:tcPr>
            <w:tcW w:w="675" w:type="dxa"/>
            <w:vMerge w:val="continue"/>
            <w:vAlign w:val="center"/>
          </w:tcPr>
          <w:p>
            <w:pPr>
              <w:pStyle w:val="39"/>
              <w:spacing w:line="240" w:lineRule="auto"/>
              <w:rPr>
                <w:color w:val="000000" w:themeColor="text1"/>
                <w:szCs w:val="21"/>
              </w:rPr>
            </w:pPr>
          </w:p>
        </w:tc>
        <w:tc>
          <w:tcPr>
            <w:tcW w:w="1452" w:type="dxa"/>
            <w:vAlign w:val="center"/>
          </w:tcPr>
          <w:p>
            <w:pPr>
              <w:pStyle w:val="39"/>
              <w:spacing w:line="240" w:lineRule="auto"/>
              <w:rPr>
                <w:color w:val="000000" w:themeColor="text1"/>
                <w:szCs w:val="21"/>
              </w:rPr>
            </w:pPr>
            <w:r>
              <w:rPr>
                <w:bCs/>
                <w:color w:val="000000" w:themeColor="text1"/>
                <w:szCs w:val="21"/>
              </w:rPr>
              <w:t>COD、氨氮在线监测仪</w:t>
            </w:r>
            <w:r>
              <w:rPr>
                <w:rFonts w:hint="eastAsia"/>
                <w:bCs/>
                <w:color w:val="000000" w:themeColor="text1"/>
                <w:szCs w:val="21"/>
              </w:rPr>
              <w:t>废液</w:t>
            </w:r>
          </w:p>
        </w:tc>
        <w:tc>
          <w:tcPr>
            <w:tcW w:w="3829" w:type="dxa"/>
            <w:tcMar>
              <w:left w:w="0" w:type="dxa"/>
              <w:right w:w="0" w:type="dxa"/>
            </w:tcMar>
            <w:vAlign w:val="center"/>
          </w:tcPr>
          <w:p>
            <w:pPr>
              <w:pStyle w:val="39"/>
              <w:spacing w:line="240" w:lineRule="auto"/>
              <w:rPr>
                <w:color w:val="000000" w:themeColor="text1"/>
                <w:szCs w:val="21"/>
              </w:rPr>
            </w:pPr>
            <w:r>
              <w:rPr>
                <w:rFonts w:hint="eastAsia"/>
                <w:color w:val="000000" w:themeColor="text1"/>
                <w:szCs w:val="21"/>
              </w:rPr>
              <w:t>暂存于医疗废物暂存间，定期由有资质单位收集处置</w:t>
            </w:r>
          </w:p>
        </w:tc>
        <w:tc>
          <w:tcPr>
            <w:tcW w:w="1221" w:type="dxa"/>
            <w:vMerge w:val="continue"/>
            <w:tcMar>
              <w:left w:w="0" w:type="dxa"/>
              <w:right w:w="0" w:type="dxa"/>
            </w:tcMar>
            <w:vAlign w:val="center"/>
          </w:tcPr>
          <w:p>
            <w:pPr>
              <w:spacing w:line="340" w:lineRule="exact"/>
              <w:contextualSpacing/>
              <w:jc w:val="center"/>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570" w:type="dxa"/>
            <w:tcMar>
              <w:left w:w="0" w:type="dxa"/>
              <w:right w:w="0" w:type="dxa"/>
            </w:tcMar>
            <w:vAlign w:val="center"/>
          </w:tcPr>
          <w:p>
            <w:pPr>
              <w:pStyle w:val="45"/>
              <w:spacing w:line="340" w:lineRule="exact"/>
              <w:ind w:firstLine="0" w:firstLineChars="0"/>
              <w:contextualSpacing/>
              <w:jc w:val="center"/>
              <w:rPr>
                <w:rFonts w:ascii="Times New Roman"/>
                <w:bCs/>
                <w:color w:val="000000" w:themeColor="text1"/>
                <w:kern w:val="0"/>
                <w:sz w:val="21"/>
                <w:szCs w:val="21"/>
              </w:rPr>
            </w:pPr>
            <w:r>
              <w:rPr>
                <w:rFonts w:ascii="Times New Roman"/>
                <w:bCs/>
                <w:color w:val="000000" w:themeColor="text1"/>
                <w:kern w:val="0"/>
                <w:sz w:val="21"/>
                <w:szCs w:val="21"/>
              </w:rPr>
              <w:t>5</w:t>
            </w:r>
          </w:p>
        </w:tc>
        <w:tc>
          <w:tcPr>
            <w:tcW w:w="569" w:type="dxa"/>
            <w:tcMar>
              <w:left w:w="0" w:type="dxa"/>
              <w:right w:w="0" w:type="dxa"/>
            </w:tcMar>
            <w:vAlign w:val="center"/>
          </w:tcPr>
          <w:p>
            <w:pPr>
              <w:pStyle w:val="45"/>
              <w:spacing w:line="340" w:lineRule="exact"/>
              <w:ind w:firstLine="0" w:firstLineChars="0"/>
              <w:contextualSpacing/>
              <w:jc w:val="center"/>
              <w:rPr>
                <w:rFonts w:ascii="Times New Roman"/>
                <w:bCs/>
                <w:color w:val="000000" w:themeColor="text1"/>
                <w:kern w:val="0"/>
                <w:sz w:val="21"/>
                <w:szCs w:val="21"/>
              </w:rPr>
            </w:pPr>
            <w:r>
              <w:rPr>
                <w:rFonts w:ascii="Times New Roman"/>
                <w:bCs/>
                <w:color w:val="000000" w:themeColor="text1"/>
                <w:kern w:val="0"/>
                <w:sz w:val="21"/>
                <w:szCs w:val="21"/>
              </w:rPr>
              <w:t>其他</w:t>
            </w:r>
          </w:p>
        </w:tc>
        <w:tc>
          <w:tcPr>
            <w:tcW w:w="5956" w:type="dxa"/>
            <w:gridSpan w:val="3"/>
            <w:vAlign w:val="center"/>
          </w:tcPr>
          <w:p>
            <w:pPr>
              <w:spacing w:line="340" w:lineRule="exact"/>
              <w:ind w:firstLine="420" w:firstLineChars="200"/>
              <w:contextualSpacing/>
              <w:rPr>
                <w:rFonts w:ascii="Times New Roman" w:hAnsi="Times New Roman" w:cs="Times New Roman"/>
                <w:color w:val="000000" w:themeColor="text1"/>
                <w:szCs w:val="21"/>
              </w:rPr>
            </w:pPr>
            <w:r>
              <w:rPr>
                <w:rFonts w:ascii="Times New Roman" w:hAnsi="Times New Roman" w:cs="Times New Roman"/>
                <w:color w:val="000000" w:themeColor="text1"/>
                <w:szCs w:val="21"/>
              </w:rPr>
              <w:t>1</w:t>
            </w:r>
            <w:r>
              <w:rPr>
                <w:rFonts w:ascii="Times New Roman" w:cs="Times New Roman"/>
                <w:color w:val="000000" w:themeColor="text1"/>
                <w:szCs w:val="21"/>
              </w:rPr>
              <w:t>）按要求规范废气排放口；</w:t>
            </w:r>
          </w:p>
          <w:p>
            <w:pPr>
              <w:spacing w:line="340" w:lineRule="exact"/>
              <w:ind w:firstLine="420" w:firstLineChars="200"/>
              <w:contextualSpacing/>
              <w:rPr>
                <w:rFonts w:ascii="Times New Roman" w:hAnsi="Times New Roman" w:cs="Times New Roman"/>
                <w:color w:val="000000" w:themeColor="text1"/>
                <w:szCs w:val="21"/>
              </w:rPr>
            </w:pPr>
            <w:r>
              <w:rPr>
                <w:rFonts w:ascii="Times New Roman" w:hAnsi="Times New Roman" w:cs="Times New Roman"/>
                <w:color w:val="000000" w:themeColor="text1"/>
                <w:szCs w:val="21"/>
              </w:rPr>
              <w:t>2</w:t>
            </w:r>
            <w:r>
              <w:rPr>
                <w:rFonts w:ascii="Times New Roman" w:cs="Times New Roman"/>
                <w:color w:val="000000" w:themeColor="text1"/>
                <w:szCs w:val="21"/>
              </w:rPr>
              <w:t>）厂区各生产车间、危废间等做好防渗措施；</w:t>
            </w:r>
          </w:p>
          <w:p>
            <w:pPr>
              <w:spacing w:line="340" w:lineRule="exact"/>
              <w:ind w:firstLine="420" w:firstLineChars="200"/>
              <w:contextualSpacing/>
              <w:rPr>
                <w:rFonts w:ascii="Times New Roman" w:hAnsi="Times New Roman" w:cs="Times New Roman"/>
                <w:color w:val="000000" w:themeColor="text1"/>
                <w:szCs w:val="21"/>
              </w:rPr>
            </w:pPr>
            <w:r>
              <w:rPr>
                <w:rFonts w:ascii="Times New Roman" w:hAnsi="Times New Roman" w:cs="Times New Roman"/>
                <w:color w:val="000000" w:themeColor="text1"/>
                <w:szCs w:val="21"/>
              </w:rPr>
              <w:t>3</w:t>
            </w:r>
            <w:r>
              <w:rPr>
                <w:rFonts w:ascii="Times New Roman" w:cs="Times New Roman"/>
                <w:color w:val="000000" w:themeColor="text1"/>
                <w:szCs w:val="21"/>
              </w:rPr>
              <w:t>）做好固体废物的防雨防渗措施。</w:t>
            </w:r>
          </w:p>
        </w:tc>
        <w:tc>
          <w:tcPr>
            <w:tcW w:w="1221" w:type="dxa"/>
            <w:tcMar>
              <w:left w:w="0" w:type="dxa"/>
              <w:right w:w="0" w:type="dxa"/>
            </w:tcMar>
            <w:vAlign w:val="center"/>
          </w:tcPr>
          <w:p>
            <w:pPr>
              <w:spacing w:line="340" w:lineRule="exact"/>
              <w:contextualSpacing/>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1139" w:type="dxa"/>
            <w:gridSpan w:val="2"/>
            <w:tcMar>
              <w:left w:w="0" w:type="dxa"/>
              <w:right w:w="0" w:type="dxa"/>
            </w:tcMar>
            <w:vAlign w:val="center"/>
          </w:tcPr>
          <w:p>
            <w:pPr>
              <w:pStyle w:val="45"/>
              <w:spacing w:line="340" w:lineRule="exact"/>
              <w:ind w:firstLine="0" w:firstLineChars="0"/>
              <w:contextualSpacing/>
              <w:jc w:val="center"/>
              <w:rPr>
                <w:rFonts w:ascii="Times New Roman"/>
                <w:bCs/>
                <w:color w:val="000000" w:themeColor="text1"/>
                <w:kern w:val="0"/>
                <w:sz w:val="21"/>
                <w:szCs w:val="21"/>
              </w:rPr>
            </w:pPr>
            <w:r>
              <w:rPr>
                <w:rFonts w:ascii="Times New Roman"/>
                <w:bCs/>
                <w:color w:val="000000" w:themeColor="text1"/>
                <w:kern w:val="0"/>
                <w:sz w:val="21"/>
                <w:szCs w:val="21"/>
              </w:rPr>
              <w:t>合计</w:t>
            </w:r>
          </w:p>
        </w:tc>
        <w:tc>
          <w:tcPr>
            <w:tcW w:w="5956" w:type="dxa"/>
            <w:gridSpan w:val="3"/>
            <w:vAlign w:val="center"/>
          </w:tcPr>
          <w:p>
            <w:pPr>
              <w:spacing w:line="340" w:lineRule="exact"/>
              <w:contextualSpacing/>
              <w:jc w:val="center"/>
              <w:rPr>
                <w:rFonts w:ascii="Times New Roman" w:hAnsi="Times New Roman" w:cs="Times New Roman"/>
                <w:color w:val="000000" w:themeColor="text1"/>
                <w:szCs w:val="21"/>
              </w:rPr>
            </w:pPr>
          </w:p>
        </w:tc>
        <w:tc>
          <w:tcPr>
            <w:tcW w:w="1221" w:type="dxa"/>
            <w:tcMar>
              <w:left w:w="0" w:type="dxa"/>
              <w:right w:w="0" w:type="dxa"/>
            </w:tcMar>
            <w:vAlign w:val="center"/>
          </w:tcPr>
          <w:p>
            <w:pPr>
              <w:spacing w:line="340" w:lineRule="exact"/>
              <w:contextualSpacing/>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90</w:t>
            </w:r>
          </w:p>
        </w:tc>
      </w:tr>
    </w:tbl>
    <w:p>
      <w:pPr>
        <w:spacing w:line="360" w:lineRule="auto"/>
        <w:ind w:firstLine="480" w:firstLineChars="200"/>
        <w:rPr>
          <w:rFonts w:ascii="Times New Roman" w:hAnsi="Times New Roman" w:cs="Times New Roman"/>
          <w:sz w:val="24"/>
          <w:szCs w:val="24"/>
        </w:rPr>
      </w:pPr>
    </w:p>
    <w:p>
      <w:pPr>
        <w:spacing w:line="360" w:lineRule="auto"/>
        <w:ind w:firstLine="120" w:firstLineChars="50"/>
        <w:rPr>
          <w:rFonts w:ascii="Times New Roman" w:hAnsi="Times New Roman" w:cs="Times New Roman"/>
          <w:sz w:val="24"/>
          <w:szCs w:val="24"/>
        </w:rPr>
        <w:sectPr>
          <w:pgSz w:w="11906" w:h="16838"/>
          <w:pgMar w:top="1440" w:right="1800" w:bottom="1440" w:left="1800" w:header="851" w:footer="992" w:gutter="0"/>
          <w:cols w:space="425" w:num="1"/>
          <w:docGrid w:type="lines" w:linePitch="312" w:charSpace="0"/>
        </w:sectPr>
      </w:pPr>
    </w:p>
    <w:p>
      <w:pPr>
        <w:pStyle w:val="2"/>
        <w:spacing w:before="0" w:after="0" w:line="360" w:lineRule="auto"/>
        <w:rPr>
          <w:rFonts w:ascii="Times New Roman" w:hAnsi="Times New Roman" w:cs="Times New Roman"/>
          <w:sz w:val="30"/>
          <w:szCs w:val="30"/>
        </w:rPr>
      </w:pPr>
      <w:bookmarkStart w:id="41" w:name="_Toc13725366"/>
      <w:r>
        <w:rPr>
          <w:rFonts w:ascii="Times New Roman" w:hAnsi="Times New Roman" w:cs="Times New Roman"/>
          <w:sz w:val="30"/>
          <w:szCs w:val="30"/>
        </w:rPr>
        <w:t>7.环境影响经济损益分析</w:t>
      </w:r>
      <w:bookmarkEnd w:id="41"/>
    </w:p>
    <w:p>
      <w:pPr>
        <w:pStyle w:val="3"/>
        <w:spacing w:before="0" w:after="0" w:line="360" w:lineRule="auto"/>
        <w:rPr>
          <w:rFonts w:ascii="Times New Roman" w:hAnsi="Times New Roman" w:cs="Times New Roman"/>
          <w:sz w:val="28"/>
          <w:szCs w:val="28"/>
        </w:rPr>
      </w:pPr>
      <w:bookmarkStart w:id="42" w:name="_Toc13725367"/>
      <w:r>
        <w:rPr>
          <w:rFonts w:ascii="Times New Roman" w:hAnsi="Times New Roman" w:cs="Times New Roman"/>
          <w:sz w:val="28"/>
          <w:szCs w:val="28"/>
        </w:rPr>
        <w:t>7.1</w:t>
      </w:r>
      <w:r>
        <w:rPr>
          <w:rFonts w:hint="eastAsia" w:ascii="Times New Roman" w:hAnsi="Times New Roman" w:cs="Times New Roman"/>
          <w:sz w:val="28"/>
          <w:szCs w:val="28"/>
        </w:rPr>
        <w:t>社会</w:t>
      </w:r>
      <w:r>
        <w:rPr>
          <w:rFonts w:ascii="Times New Roman" w:hAnsi="Times New Roman" w:cs="Times New Roman"/>
          <w:sz w:val="28"/>
          <w:szCs w:val="28"/>
        </w:rPr>
        <w:t>效益分析</w:t>
      </w:r>
      <w:bookmarkEnd w:id="42"/>
    </w:p>
    <w:p>
      <w:pPr>
        <w:spacing w:line="360" w:lineRule="auto"/>
        <w:ind w:firstLine="480" w:firstLineChars="200"/>
        <w:rPr>
          <w:rFonts w:ascii="Times New Roman" w:hAnsi="Times New Roman" w:cs="Times New Roman"/>
          <w:sz w:val="24"/>
          <w:szCs w:val="24"/>
        </w:rPr>
      </w:pPr>
      <w:bookmarkStart w:id="43" w:name="_Toc499104976"/>
      <w:bookmarkStart w:id="44" w:name="_Toc499104647"/>
      <w:r>
        <w:rPr>
          <w:rFonts w:ascii="Times New Roman" w:hAnsi="Times New Roman" w:cs="Times New Roman"/>
          <w:sz w:val="24"/>
          <w:szCs w:val="24"/>
        </w:rPr>
        <w:t>本项目的社会效益主要表现为：</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（1）项目的建设可增加住院治疗的人数，改善住院患者的医疗环境，提升区域医疗卫生条件，为保定市提供医疗保健技术支撑，更好地为广大群众提供更优质的医疗服务。</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rPr>
        <w:t>2</w:t>
      </w:r>
      <w:r>
        <w:rPr>
          <w:rFonts w:ascii="Times New Roman" w:hAnsi="Times New Roman" w:cs="Times New Roman"/>
          <w:sz w:val="24"/>
          <w:szCs w:val="24"/>
        </w:rPr>
        <w:t>）项目建设有利于提高当地经济水平。</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rPr>
        <w:t>3</w:t>
      </w:r>
      <w:r>
        <w:rPr>
          <w:rFonts w:ascii="Times New Roman" w:hAnsi="Times New Roman" w:cs="Times New Roman"/>
          <w:sz w:val="24"/>
          <w:szCs w:val="24"/>
        </w:rPr>
        <w:t>）项目建设增加一定的劳动就业机会。</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rPr>
        <w:t>4</w:t>
      </w:r>
      <w:r>
        <w:rPr>
          <w:rFonts w:ascii="Times New Roman" w:hAnsi="Times New Roman" w:cs="Times New Roman"/>
          <w:sz w:val="24"/>
          <w:szCs w:val="24"/>
        </w:rPr>
        <w:t>）在建设单位获取良好经济效益的同时，可增加当地政府的财政税收。</w:t>
      </w:r>
    </w:p>
    <w:bookmarkEnd w:id="43"/>
    <w:bookmarkEnd w:id="44"/>
    <w:p>
      <w:pPr>
        <w:pStyle w:val="3"/>
        <w:spacing w:before="0" w:after="0" w:line="360" w:lineRule="auto"/>
        <w:rPr>
          <w:rFonts w:ascii="Times New Roman" w:hAnsi="Times New Roman" w:cs="Times New Roman"/>
          <w:sz w:val="28"/>
          <w:szCs w:val="28"/>
        </w:rPr>
      </w:pPr>
      <w:bookmarkStart w:id="45" w:name="_Toc13725368"/>
      <w:r>
        <w:rPr>
          <w:rFonts w:ascii="Times New Roman" w:hAnsi="Times New Roman" w:cs="Times New Roman"/>
          <w:sz w:val="28"/>
          <w:szCs w:val="28"/>
        </w:rPr>
        <w:t>7.</w:t>
      </w:r>
      <w:r>
        <w:rPr>
          <w:rFonts w:hint="eastAsia" w:ascii="Times New Roman" w:hAnsi="Times New Roman" w:cs="Times New Roman"/>
          <w:sz w:val="28"/>
          <w:szCs w:val="28"/>
        </w:rPr>
        <w:t>2</w:t>
      </w:r>
      <w:r>
        <w:rPr>
          <w:rFonts w:ascii="Times New Roman" w:hAnsi="Times New Roman" w:cs="Times New Roman"/>
          <w:sz w:val="28"/>
          <w:szCs w:val="28"/>
        </w:rPr>
        <w:t>经济效益分析</w:t>
      </w:r>
      <w:bookmarkEnd w:id="45"/>
    </w:p>
    <w:p>
      <w:pPr>
        <w:pStyle w:val="62"/>
        <w:spacing w:before="0" w:after="0" w:line="480" w:lineRule="exact"/>
        <w:rPr>
          <w:rFonts w:eastAsia="宋体" w:cs="Times New Roman"/>
          <w:b/>
        </w:rPr>
      </w:pPr>
      <w:r>
        <w:rPr>
          <w:rFonts w:hint="eastAsia" w:eastAsia="宋体" w:cs="Times New Roman"/>
          <w:b/>
        </w:rPr>
        <w:t>7</w:t>
      </w:r>
      <w:r>
        <w:rPr>
          <w:rFonts w:eastAsia="宋体" w:cs="Times New Roman"/>
          <w:b/>
        </w:rPr>
        <w:t>.</w:t>
      </w:r>
      <w:r>
        <w:rPr>
          <w:rFonts w:hint="eastAsia" w:eastAsia="宋体" w:cs="Times New Roman"/>
          <w:b/>
        </w:rPr>
        <w:t>2</w:t>
      </w:r>
      <w:r>
        <w:rPr>
          <w:rFonts w:eastAsia="宋体" w:cs="Times New Roman"/>
          <w:b/>
        </w:rPr>
        <w:t>.1环保投资经济效益分析</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w:t>
      </w:r>
      <w:r>
        <w:rPr>
          <w:rFonts w:hint="eastAsia" w:ascii="Times New Roman" w:hAnsi="Times New Roman" w:cs="Times New Roman"/>
          <w:sz w:val="24"/>
          <w:szCs w:val="24"/>
        </w:rPr>
        <w:t>总投资</w:t>
      </w:r>
      <w:r>
        <w:rPr>
          <w:rFonts w:ascii="Times New Roman" w:hAnsi="Times New Roman" w:cs="Times New Roman"/>
          <w:sz w:val="24"/>
          <w:szCs w:val="24"/>
        </w:rPr>
        <w:t>22127</w:t>
      </w:r>
      <w:r>
        <w:rPr>
          <w:rFonts w:hint="eastAsia" w:ascii="Times New Roman" w:hAnsi="Times New Roman" w:cs="Times New Roman"/>
          <w:sz w:val="24"/>
          <w:szCs w:val="24"/>
        </w:rPr>
        <w:t>万元，</w:t>
      </w:r>
      <w:r>
        <w:rPr>
          <w:rFonts w:ascii="Times New Roman" w:hAnsi="Times New Roman" w:cs="Times New Roman"/>
          <w:sz w:val="24"/>
          <w:szCs w:val="24"/>
        </w:rPr>
        <w:t>环保投资</w:t>
      </w:r>
      <w:r>
        <w:rPr>
          <w:rFonts w:hint="eastAsia" w:ascii="Times New Roman" w:hAnsi="Times New Roman" w:cs="Times New Roman"/>
          <w:sz w:val="24"/>
          <w:szCs w:val="24"/>
        </w:rPr>
        <w:t>90</w:t>
      </w:r>
      <w:r>
        <w:rPr>
          <w:rFonts w:ascii="Times New Roman" w:hAnsi="Times New Roman" w:cs="Times New Roman"/>
          <w:sz w:val="24"/>
          <w:szCs w:val="24"/>
        </w:rPr>
        <w:t>万元，占项目投资总额的</w:t>
      </w:r>
      <w:r>
        <w:rPr>
          <w:rFonts w:hint="eastAsia" w:ascii="Times New Roman" w:hAnsi="Times New Roman" w:cs="Times New Roman"/>
          <w:sz w:val="24"/>
          <w:szCs w:val="24"/>
        </w:rPr>
        <w:t>0.4</w:t>
      </w:r>
      <w:r>
        <w:rPr>
          <w:rFonts w:ascii="Times New Roman" w:hAnsi="Times New Roman" w:cs="Times New Roman"/>
          <w:sz w:val="24"/>
          <w:szCs w:val="24"/>
        </w:rPr>
        <w:t>%。其中废气治理设施投资</w:t>
      </w:r>
      <w:r>
        <w:rPr>
          <w:rFonts w:hint="eastAsia" w:ascii="Times New Roman" w:hAnsi="Times New Roman" w:cs="Times New Roman"/>
          <w:sz w:val="24"/>
          <w:szCs w:val="24"/>
        </w:rPr>
        <w:t>20</w:t>
      </w:r>
      <w:r>
        <w:rPr>
          <w:rFonts w:ascii="Times New Roman" w:hAnsi="Times New Roman" w:cs="Times New Roman"/>
          <w:sz w:val="24"/>
          <w:szCs w:val="24"/>
        </w:rPr>
        <w:t>万元，占环保总投资的</w:t>
      </w:r>
      <w:r>
        <w:rPr>
          <w:rFonts w:hint="eastAsia" w:ascii="Times New Roman" w:hAnsi="Times New Roman" w:cs="Times New Roman"/>
          <w:sz w:val="24"/>
          <w:szCs w:val="24"/>
        </w:rPr>
        <w:t>22.2</w:t>
      </w:r>
      <w:r>
        <w:rPr>
          <w:rFonts w:ascii="Times New Roman" w:hAnsi="Times New Roman" w:cs="Times New Roman"/>
          <w:sz w:val="24"/>
          <w:szCs w:val="24"/>
        </w:rPr>
        <w:t>%；</w:t>
      </w:r>
      <w:r>
        <w:rPr>
          <w:rFonts w:hint="eastAsia" w:ascii="Times New Roman" w:hAnsi="Times New Roman" w:cs="Times New Roman"/>
          <w:sz w:val="24"/>
          <w:szCs w:val="24"/>
        </w:rPr>
        <w:t>废水治理措施60万元，占环保总投资的66.7%；噪声防治</w:t>
      </w:r>
      <w:r>
        <w:rPr>
          <w:rFonts w:ascii="Times New Roman" w:hAnsi="Times New Roman" w:cs="Times New Roman"/>
          <w:sz w:val="24"/>
          <w:szCs w:val="24"/>
        </w:rPr>
        <w:t>设施投资</w:t>
      </w:r>
      <w:r>
        <w:rPr>
          <w:rFonts w:hint="eastAsia" w:ascii="Times New Roman" w:hAnsi="Times New Roman" w:cs="Times New Roman"/>
          <w:sz w:val="24"/>
          <w:szCs w:val="24"/>
        </w:rPr>
        <w:t>2.0</w:t>
      </w:r>
      <w:r>
        <w:rPr>
          <w:rFonts w:ascii="Times New Roman" w:hAnsi="Times New Roman" w:cs="Times New Roman"/>
          <w:sz w:val="24"/>
          <w:szCs w:val="24"/>
        </w:rPr>
        <w:t>万元，占环保总投资的</w:t>
      </w:r>
      <w:r>
        <w:rPr>
          <w:rFonts w:hint="eastAsia" w:ascii="Times New Roman" w:hAnsi="Times New Roman" w:cs="Times New Roman"/>
          <w:sz w:val="24"/>
          <w:szCs w:val="24"/>
        </w:rPr>
        <w:t>2.2</w:t>
      </w:r>
      <w:r>
        <w:rPr>
          <w:rFonts w:ascii="Times New Roman" w:hAnsi="Times New Roman" w:cs="Times New Roman"/>
          <w:sz w:val="24"/>
          <w:szCs w:val="24"/>
        </w:rPr>
        <w:t>%</w:t>
      </w:r>
      <w:r>
        <w:rPr>
          <w:rFonts w:hint="eastAsia" w:ascii="Times New Roman" w:hAnsi="Times New Roman" w:cs="Times New Roman"/>
          <w:sz w:val="24"/>
          <w:szCs w:val="24"/>
        </w:rPr>
        <w:t>；固体废物处置</w:t>
      </w:r>
      <w:r>
        <w:rPr>
          <w:rFonts w:ascii="Times New Roman" w:hAnsi="Times New Roman" w:cs="Times New Roman"/>
          <w:sz w:val="24"/>
          <w:szCs w:val="24"/>
        </w:rPr>
        <w:t>投资</w:t>
      </w:r>
      <w:r>
        <w:rPr>
          <w:rFonts w:hint="eastAsia" w:ascii="Times New Roman" w:hAnsi="Times New Roman" w:cs="Times New Roman"/>
          <w:sz w:val="24"/>
          <w:szCs w:val="24"/>
        </w:rPr>
        <w:t>3.0</w:t>
      </w:r>
      <w:r>
        <w:rPr>
          <w:rFonts w:ascii="Times New Roman" w:hAnsi="Times New Roman" w:cs="Times New Roman"/>
          <w:sz w:val="24"/>
          <w:szCs w:val="24"/>
        </w:rPr>
        <w:t>万元，占环保总投资的</w:t>
      </w:r>
      <w:r>
        <w:rPr>
          <w:rFonts w:hint="eastAsia" w:ascii="Times New Roman" w:hAnsi="Times New Roman" w:cs="Times New Roman"/>
          <w:sz w:val="24"/>
          <w:szCs w:val="24"/>
        </w:rPr>
        <w:t>3.3</w:t>
      </w:r>
      <w:r>
        <w:rPr>
          <w:rFonts w:ascii="Times New Roman" w:hAnsi="Times New Roman" w:cs="Times New Roman"/>
          <w:sz w:val="24"/>
          <w:szCs w:val="24"/>
        </w:rPr>
        <w:t>%</w:t>
      </w:r>
      <w:r>
        <w:rPr>
          <w:rFonts w:hint="eastAsia" w:ascii="Times New Roman" w:hAnsi="Times New Roman" w:cs="Times New Roman"/>
          <w:sz w:val="24"/>
          <w:szCs w:val="24"/>
        </w:rPr>
        <w:t>；其他环保投资5.0</w:t>
      </w:r>
      <w:r>
        <w:rPr>
          <w:rFonts w:ascii="Times New Roman" w:hAnsi="Times New Roman" w:cs="Times New Roman"/>
          <w:sz w:val="24"/>
          <w:szCs w:val="24"/>
        </w:rPr>
        <w:t>万元，占环保总投资的</w:t>
      </w:r>
      <w:r>
        <w:rPr>
          <w:rFonts w:hint="eastAsia" w:ascii="Times New Roman" w:hAnsi="Times New Roman" w:cs="Times New Roman"/>
          <w:sz w:val="24"/>
          <w:szCs w:val="24"/>
        </w:rPr>
        <w:t>5.6</w:t>
      </w:r>
      <w:r>
        <w:rPr>
          <w:rFonts w:ascii="Times New Roman" w:hAnsi="Times New Roman" w:cs="Times New Roman"/>
          <w:sz w:val="24"/>
          <w:szCs w:val="24"/>
        </w:rPr>
        <w:t>%</w:t>
      </w:r>
      <w:r>
        <w:rPr>
          <w:rFonts w:hint="eastAsia"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根据工程的污染源以及污染物排放情况，认为项目环保投资的分配使用，突出了</w:t>
      </w:r>
      <w:r>
        <w:rPr>
          <w:rFonts w:hint="eastAsia" w:ascii="Times New Roman" w:hAnsi="Times New Roman" w:cs="Times New Roman"/>
          <w:sz w:val="24"/>
          <w:szCs w:val="24"/>
        </w:rPr>
        <w:t>废气、废水、噪声、固废</w:t>
      </w:r>
      <w:r>
        <w:rPr>
          <w:rFonts w:ascii="Times New Roman" w:hAnsi="Times New Roman" w:cs="Times New Roman"/>
          <w:sz w:val="24"/>
          <w:szCs w:val="24"/>
        </w:rPr>
        <w:t>的治理力度，符合工程实际，合理可行。</w:t>
      </w:r>
    </w:p>
    <w:p>
      <w:pPr>
        <w:pStyle w:val="62"/>
        <w:spacing w:before="0" w:after="0" w:line="480" w:lineRule="exact"/>
        <w:rPr>
          <w:rFonts w:eastAsia="宋体" w:cs="Times New Roman"/>
          <w:b/>
        </w:rPr>
      </w:pPr>
      <w:r>
        <w:rPr>
          <w:rFonts w:hint="eastAsia" w:eastAsia="宋体" w:cs="Times New Roman"/>
          <w:b/>
        </w:rPr>
        <w:t>7</w:t>
      </w:r>
      <w:r>
        <w:rPr>
          <w:rFonts w:eastAsia="宋体" w:cs="Times New Roman"/>
          <w:b/>
        </w:rPr>
        <w:t>.</w:t>
      </w:r>
      <w:r>
        <w:rPr>
          <w:rFonts w:hint="eastAsia" w:eastAsia="宋体" w:cs="Times New Roman"/>
          <w:b/>
        </w:rPr>
        <w:t>2</w:t>
      </w:r>
      <w:r>
        <w:rPr>
          <w:rFonts w:eastAsia="宋体" w:cs="Times New Roman"/>
          <w:b/>
        </w:rPr>
        <w:t>.</w:t>
      </w:r>
      <w:r>
        <w:rPr>
          <w:rFonts w:hint="eastAsia" w:eastAsia="宋体" w:cs="Times New Roman"/>
          <w:b/>
        </w:rPr>
        <w:t>2</w:t>
      </w:r>
      <w:r>
        <w:rPr>
          <w:rFonts w:eastAsia="宋体" w:cs="Times New Roman"/>
          <w:b/>
        </w:rPr>
        <w:t>环保投资经济效益分析</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（1）环保支出费用概算</w:t>
      </w:r>
    </w:p>
    <w:p>
      <w:pPr>
        <w:spacing w:line="360" w:lineRule="auto"/>
        <w:ind w:firstLine="480" w:firstLineChars="200"/>
        <w:rPr>
          <w:rFonts w:ascii="Times New Roman" w:hAnsi="Times New Roman" w:cs="Times New Roman"/>
          <w:sz w:val="24"/>
          <w:szCs w:val="24"/>
        </w:rPr>
      </w:pPr>
      <w:r>
        <w:rPr>
          <w:rFonts w:hint="eastAsia" w:ascii="宋体" w:hAnsi="宋体" w:eastAsia="宋体" w:cs="宋体"/>
          <w:sz w:val="24"/>
          <w:szCs w:val="24"/>
        </w:rPr>
        <w:t>①</w:t>
      </w:r>
      <w:r>
        <w:rPr>
          <w:rFonts w:ascii="Times New Roman" w:hAnsi="Times New Roman" w:cs="Times New Roman"/>
          <w:sz w:val="24"/>
          <w:szCs w:val="24"/>
        </w:rPr>
        <w:t>治理费用：包括环保设施一次性投资费用和运行费用，可按下式概算：</w:t>
      </w:r>
    </w:p>
    <w:p>
      <w:pPr>
        <w:spacing w:line="360" w:lineRule="auto"/>
        <w:ind w:firstLine="480" w:firstLineChars="200"/>
        <w:rPr>
          <w:rFonts w:ascii="Times New Roman" w:hAnsi="Times New Roman" w:cs="Times New Roman"/>
          <w:sz w:val="24"/>
          <w:szCs w:val="24"/>
          <w:vertAlign w:val="subscript"/>
        </w:rPr>
      </w:pPr>
      <w:r>
        <w:rPr>
          <w:rFonts w:ascii="Times New Roman" w:hAnsi="Times New Roman" w:cs="Times New Roman"/>
          <w:sz w:val="24"/>
          <w:szCs w:val="24"/>
        </w:rPr>
        <w:t xml:space="preserve">                           C</w:t>
      </w:r>
      <w:r>
        <w:rPr>
          <w:rFonts w:ascii="Times New Roman" w:hAnsi="Times New Roman" w:cs="Times New Roman"/>
          <w:sz w:val="24"/>
          <w:szCs w:val="24"/>
          <w:vertAlign w:val="subscript"/>
        </w:rPr>
        <w:t xml:space="preserve">1 </w:t>
      </w:r>
      <w:r>
        <w:rPr>
          <w:rFonts w:ascii="Times New Roman" w:hAnsi="Times New Roman" w:cs="Times New Roman"/>
          <w:sz w:val="24"/>
          <w:szCs w:val="24"/>
        </w:rPr>
        <w:t>= C</w:t>
      </w:r>
      <w:r>
        <w:rPr>
          <w:rFonts w:ascii="Times New Roman" w:hAnsi="Times New Roman" w:cs="Times New Roman"/>
          <w:sz w:val="24"/>
          <w:szCs w:val="24"/>
          <w:vertAlign w:val="subscript"/>
        </w:rPr>
        <w:t>1-1</w:t>
      </w:r>
      <w:r>
        <w:rPr>
          <w:rFonts w:ascii="Times New Roman" w:hAnsi="Times New Roman" w:cs="Times New Roman"/>
          <w:sz w:val="24"/>
          <w:szCs w:val="24"/>
        </w:rPr>
        <w:t>β/n + C</w:t>
      </w:r>
      <w:r>
        <w:rPr>
          <w:rFonts w:ascii="Times New Roman" w:hAnsi="Times New Roman" w:cs="Times New Roman"/>
          <w:sz w:val="24"/>
          <w:szCs w:val="24"/>
          <w:vertAlign w:val="subscript"/>
        </w:rPr>
        <w:t>1-2</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式中：  C</w:t>
      </w:r>
      <w:r>
        <w:rPr>
          <w:rFonts w:ascii="Times New Roman" w:hAnsi="Times New Roman" w:cs="Times New Roman"/>
          <w:sz w:val="24"/>
          <w:szCs w:val="24"/>
          <w:vertAlign w:val="subscript"/>
        </w:rPr>
        <w:t>1</w:t>
      </w:r>
      <w:r>
        <w:rPr>
          <w:rFonts w:ascii="Times New Roman" w:hAnsi="Times New Roman" w:cs="Times New Roman"/>
          <w:sz w:val="24"/>
          <w:szCs w:val="24"/>
        </w:rPr>
        <w:t>—治理费用，万元/a；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1-1</w:t>
      </w:r>
      <w:r>
        <w:rPr>
          <w:rFonts w:ascii="Times New Roman" w:hAnsi="Times New Roman" w:cs="Times New Roman"/>
          <w:sz w:val="24"/>
          <w:szCs w:val="24"/>
        </w:rPr>
        <w:t>—投资费用，万元（</w:t>
      </w:r>
      <w:r>
        <w:rPr>
          <w:rFonts w:hint="eastAsia" w:ascii="Times New Roman" w:hAnsi="Times New Roman" w:cs="Times New Roman"/>
          <w:sz w:val="24"/>
          <w:szCs w:val="24"/>
        </w:rPr>
        <w:t>90</w:t>
      </w:r>
      <w:r>
        <w:rPr>
          <w:rFonts w:ascii="Times New Roman" w:hAnsi="Times New Roman" w:cs="Times New Roman"/>
          <w:sz w:val="24"/>
          <w:szCs w:val="24"/>
        </w:rPr>
        <w:t>万元）；</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1-2</w:t>
      </w:r>
      <w:r>
        <w:rPr>
          <w:rFonts w:ascii="Times New Roman" w:hAnsi="Times New Roman" w:cs="Times New Roman"/>
          <w:sz w:val="24"/>
          <w:szCs w:val="24"/>
        </w:rPr>
        <w:t>—运行费用，按投资费用3%计，万元；</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n—设备折旧年限，按10年计；</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β—固定资产形成率，按90%计。</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经计算，治理费用为</w:t>
      </w:r>
      <w:r>
        <w:rPr>
          <w:rFonts w:hint="eastAsia" w:ascii="Times New Roman" w:hAnsi="Times New Roman" w:cs="Times New Roman"/>
          <w:sz w:val="24"/>
          <w:szCs w:val="24"/>
        </w:rPr>
        <w:t>10.8</w:t>
      </w:r>
      <w:r>
        <w:rPr>
          <w:rFonts w:ascii="Times New Roman" w:hAnsi="Times New Roman" w:cs="Times New Roman"/>
          <w:sz w:val="24"/>
          <w:szCs w:val="24"/>
        </w:rPr>
        <w:t>万元/a。</w:t>
      </w:r>
    </w:p>
    <w:p>
      <w:pPr>
        <w:pStyle w:val="50"/>
        <w:numPr>
          <w:ilvl w:val="0"/>
          <w:numId w:val="13"/>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辅助费用：包括管理费用、执行环保政策费用等，一般可按治理费用的3%计算，故辅助费用为</w:t>
      </w:r>
      <w:r>
        <w:rPr>
          <w:rFonts w:hint="eastAsia" w:ascii="Times New Roman" w:hAnsi="Times New Roman" w:cs="Times New Roman"/>
          <w:sz w:val="24"/>
          <w:szCs w:val="24"/>
        </w:rPr>
        <w:t>0.324</w:t>
      </w:r>
      <w:r>
        <w:rPr>
          <w:rFonts w:ascii="Times New Roman" w:hAnsi="Times New Roman" w:cs="Times New Roman"/>
          <w:sz w:val="24"/>
          <w:szCs w:val="24"/>
        </w:rPr>
        <w:t>万元/a。</w:t>
      </w:r>
    </w:p>
    <w:p>
      <w:pPr>
        <w:spacing w:line="360" w:lineRule="auto"/>
        <w:ind w:firstLine="480" w:firstLineChars="200"/>
        <w:rPr>
          <w:rFonts w:ascii="Times New Roman" w:hAnsi="Times New Roman" w:cs="Times New Roman"/>
          <w:sz w:val="24"/>
          <w:szCs w:val="24"/>
        </w:rPr>
      </w:pPr>
      <w:r>
        <w:rPr>
          <w:rFonts w:hint="eastAsia" w:ascii="宋体" w:hAnsi="宋体" w:eastAsia="宋体" w:cs="宋体"/>
          <w:sz w:val="24"/>
          <w:szCs w:val="24"/>
        </w:rPr>
        <w:t>③</w:t>
      </w:r>
      <w:r>
        <w:rPr>
          <w:rFonts w:ascii="Times New Roman" w:hAnsi="Times New Roman" w:cs="Times New Roman"/>
          <w:sz w:val="24"/>
          <w:szCs w:val="24"/>
        </w:rPr>
        <w:t>环保支出费用：为治理费用与辅助费用之和，即</w:t>
      </w:r>
      <w:r>
        <w:rPr>
          <w:rFonts w:hint="eastAsia" w:ascii="Times New Roman" w:hAnsi="Times New Roman" w:cs="Times New Roman"/>
          <w:sz w:val="24"/>
          <w:szCs w:val="24"/>
        </w:rPr>
        <w:t>11.124</w:t>
      </w:r>
      <w:r>
        <w:rPr>
          <w:rFonts w:ascii="Times New Roman" w:hAnsi="Times New Roman" w:cs="Times New Roman"/>
          <w:sz w:val="24"/>
          <w:szCs w:val="24"/>
        </w:rPr>
        <w:t>万元/a。</w:t>
      </w:r>
    </w:p>
    <w:p>
      <w:pPr>
        <w:pStyle w:val="62"/>
        <w:spacing w:before="0" w:after="0" w:line="480" w:lineRule="exact"/>
        <w:rPr>
          <w:rFonts w:eastAsia="宋体" w:cs="Times New Roman"/>
          <w:b/>
        </w:rPr>
      </w:pPr>
      <w:r>
        <w:rPr>
          <w:rFonts w:hint="eastAsia" w:eastAsia="宋体" w:cs="Times New Roman"/>
          <w:b/>
        </w:rPr>
        <w:t>7</w:t>
      </w:r>
      <w:r>
        <w:rPr>
          <w:rFonts w:eastAsia="宋体" w:cs="Times New Roman"/>
          <w:b/>
        </w:rPr>
        <w:t>.</w:t>
      </w:r>
      <w:r>
        <w:rPr>
          <w:rFonts w:hint="eastAsia" w:eastAsia="宋体" w:cs="Times New Roman"/>
          <w:b/>
        </w:rPr>
        <w:t>2</w:t>
      </w:r>
      <w:r>
        <w:rPr>
          <w:rFonts w:eastAsia="宋体" w:cs="Times New Roman"/>
          <w:b/>
        </w:rPr>
        <w:t>.</w:t>
      </w:r>
      <w:r>
        <w:rPr>
          <w:rFonts w:hint="eastAsia" w:eastAsia="宋体" w:cs="Times New Roman"/>
          <w:b/>
        </w:rPr>
        <w:t>3</w:t>
      </w:r>
      <w:r>
        <w:rPr>
          <w:rFonts w:eastAsia="宋体" w:cs="Times New Roman"/>
          <w:b/>
        </w:rPr>
        <w:t>环保</w:t>
      </w:r>
      <w:r>
        <w:rPr>
          <w:rFonts w:hint="eastAsia" w:eastAsia="宋体" w:cs="Times New Roman"/>
          <w:b/>
        </w:rPr>
        <w:t>净收益</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环保净收益等于环保收益与环保支出费用之差，即：-</w:t>
      </w:r>
      <w:r>
        <w:rPr>
          <w:rFonts w:hint="eastAsia" w:ascii="Times New Roman" w:hAnsi="Times New Roman" w:cs="Times New Roman"/>
          <w:sz w:val="24"/>
          <w:szCs w:val="24"/>
        </w:rPr>
        <w:t>11.124</w:t>
      </w:r>
      <w:r>
        <w:rPr>
          <w:rFonts w:ascii="Times New Roman" w:hAnsi="Times New Roman" w:cs="Times New Roman"/>
          <w:sz w:val="24"/>
          <w:szCs w:val="24"/>
        </w:rPr>
        <w:t>万元/a。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以上分析表明，项目环保投资经济效益为负值。</w:t>
      </w:r>
    </w:p>
    <w:p>
      <w:pPr>
        <w:pStyle w:val="3"/>
        <w:spacing w:before="0" w:after="0" w:line="360" w:lineRule="auto"/>
        <w:rPr>
          <w:rFonts w:ascii="Times New Roman" w:hAnsi="Times New Roman" w:cs="Times New Roman"/>
          <w:sz w:val="28"/>
          <w:szCs w:val="28"/>
        </w:rPr>
      </w:pPr>
      <w:bookmarkStart w:id="46" w:name="_Toc13725369"/>
      <w:r>
        <w:rPr>
          <w:rFonts w:ascii="Times New Roman" w:hAnsi="Times New Roman" w:cs="Times New Roman"/>
          <w:sz w:val="28"/>
          <w:szCs w:val="28"/>
        </w:rPr>
        <w:t>7.</w:t>
      </w:r>
      <w:r>
        <w:rPr>
          <w:rFonts w:hint="eastAsia" w:ascii="Times New Roman" w:hAnsi="Times New Roman" w:cs="Times New Roman"/>
          <w:sz w:val="28"/>
          <w:szCs w:val="28"/>
        </w:rPr>
        <w:t>3</w:t>
      </w:r>
      <w:r>
        <w:rPr>
          <w:rFonts w:ascii="Times New Roman" w:hAnsi="Times New Roman" w:cs="Times New Roman"/>
          <w:sz w:val="28"/>
          <w:szCs w:val="28"/>
        </w:rPr>
        <w:t>环境效益分析</w:t>
      </w:r>
      <w:bookmarkEnd w:id="46"/>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1、环保投资分析</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本项目环保投资90万元，占投资额的0.4%。主要为废气治理措施，废水治理措施、噪声防治措施、固废处置措施及其它投资费用。</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2、环境效益分析</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由清洁生产分析和环保措施论证可知，工程采取了完善的污染防治措施，可确保污染物达标排放。根据环境空气影响分析结果，工程的实施对周围大气环境质量影响较小，不会改变当地环境空气质量；工程的噪声污染源采取了有效的隔声降噪措施，固体废物全部综合利用或妥善处置。即本项目采取上述环保措施后环境效益明显。</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综上所述，工程具有较好的经济效益和社会效益，在采取完善的环保治理措施后，不会对当地环境产生明显影响，基本做到环境效益、经济效益和社会效益的协调发展。</w:t>
      </w:r>
    </w:p>
    <w:p>
      <w:pPr>
        <w:spacing w:line="360" w:lineRule="auto"/>
        <w:ind w:firstLine="120" w:firstLineChars="50"/>
        <w:rPr>
          <w:rFonts w:ascii="Times New Roman" w:hAnsi="Times New Roman" w:cs="Times New Roman"/>
          <w:sz w:val="24"/>
          <w:szCs w:val="24"/>
        </w:rPr>
        <w:sectPr>
          <w:pgSz w:w="11906" w:h="16838"/>
          <w:pgMar w:top="1440" w:right="1800" w:bottom="1440" w:left="1800" w:header="851" w:footer="992" w:gutter="0"/>
          <w:cols w:space="425" w:num="1"/>
          <w:docGrid w:type="lines" w:linePitch="312" w:charSpace="0"/>
        </w:sectPr>
      </w:pPr>
    </w:p>
    <w:p>
      <w:pPr>
        <w:pStyle w:val="2"/>
        <w:spacing w:before="0" w:after="0" w:line="360" w:lineRule="auto"/>
        <w:rPr>
          <w:rFonts w:ascii="Times New Roman" w:hAnsi="Times New Roman" w:cs="Times New Roman"/>
          <w:sz w:val="30"/>
          <w:szCs w:val="30"/>
        </w:rPr>
      </w:pPr>
      <w:bookmarkStart w:id="47" w:name="_Toc13725370"/>
      <w:r>
        <w:rPr>
          <w:rFonts w:ascii="Times New Roman" w:hAnsi="Times New Roman" w:cs="Times New Roman"/>
          <w:sz w:val="30"/>
          <w:szCs w:val="30"/>
        </w:rPr>
        <w:t>8.环境管理与监测计划</w:t>
      </w:r>
      <w:bookmarkEnd w:id="47"/>
    </w:p>
    <w:p>
      <w:pPr>
        <w:pStyle w:val="3"/>
        <w:spacing w:before="0" w:after="0" w:line="360" w:lineRule="auto"/>
        <w:rPr>
          <w:rFonts w:ascii="Times New Roman" w:hAnsi="Times New Roman" w:cs="Times New Roman"/>
          <w:sz w:val="28"/>
          <w:szCs w:val="28"/>
        </w:rPr>
      </w:pPr>
      <w:bookmarkStart w:id="48" w:name="_Toc13725371"/>
      <w:r>
        <w:rPr>
          <w:rFonts w:ascii="Times New Roman" w:hAnsi="Times New Roman" w:cs="Times New Roman"/>
          <w:sz w:val="28"/>
          <w:szCs w:val="28"/>
        </w:rPr>
        <w:t>8.1环境管理</w:t>
      </w:r>
      <w:bookmarkEnd w:id="48"/>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8.1.1 环境管理机构设置目的</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加强环境管理，目的是为了贯彻执行国家环保法律法规，全面落实国务院关于环境保护若干问题的决定，对项目产生的“三废”排放情况实行监控，确保建设项目区域的社会经济、环境效益协调发展，协助地方环保职能部门工作，为企业的生产管理和环境管理提供保证。</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8.1.2 环境管理机构组成与定员</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（1）注重环保工作，并设一名副总主管环保，统管公司环保工作。</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（2）厂内设置专门或者兼职环保机构，机构中设置主抓环保工作的科长或副厂长一名，并设专职环保技术管理人员，负责环保设施的运行监督及其操作人员的管理。</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（3）倒班人员中班长兼职负责当班环保情况，发现问题立即向车间主任汇报。</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（4）各项治理设备要做到建制齐全，设专门维修人员。</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8.1.3 施工期环境保护管理</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本项目施工过程包括土建施工，各类生产设备的调试安装，本评价对项目施工期环境管理提出如下要求：</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（1）根据国家及地方政策有关施工管理条例和施工操作规范，结合拟建工程的特点，制定施工环境管理条例，为施工单位的施工活动提出具体要求；</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（2）监督、检查施工单位对条例的执行情况；</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（3）受理附近居民对施工过程中的环境保护意见，并及时与施工单位协商解决；</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（4）参与有关环境纠纷和污染事故的调查处理工作。</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8.1.4 运营期环境保护管理</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8.1.4.1 机构设置</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根据国家有关规定要求，为切实加强环境保护工作，搞好全厂污染源的监控，环境保护管理应采取总经理负责制，并配备专职或兼职环保管理人员1～2人，负责拟建项目的环保日常工作。</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8.1.4.2 环保管理机构的基本职责</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（1）贯彻执行《中华人民共和国环境保护法》及其相关法律、法规，按国家的环保政策、环境标准及环境监测要求，制定环境管理规章制度，并监督执行；</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（2）根据国家环保政策、标准及环境监测要求，制定该项目运营期环保管理规章制度、各种污染物排放控制指标；</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（3）掌握本企业各污染源治理措施工艺、设备、运行及维护等资料，掌握废物综合利用情况，建立污染控制管理档案；</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（4）检查企业环保设施的运行情况，领导和组织本企业的环境监测工作，制定应急防范措施，一旦发生环境风险应及时组织好污染监测工作，并分析原因，总结经验教训，杜绝污染事故的发生；</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（5）负责对职工进行环保宣传教育，检查、监督各单位环保制度执行情况；</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（6）建立健全环境档案管理与保密制度、污染防治设施技术改进及运行资料、污染源调查技术档案、环境监测及评价资料、项目平面图和给排水管网图等。</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（7）建立环境管理台账，明确各项环境保护措施的建设运行维护费用。</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8.1.5 环境保护措施运行保障</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（1）企业应对环保员工培训，定期对环保设备检查维护，保证设备正常运行；</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（2）企业应设置专门环保资金用于环保设备运行及维护，专人管理，专款专用，保证环保设施正常运行。</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（3）每年对环保设备进行检修，定期更换除尘器布袋、集气罩软帘等。</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（4）机加工设备设置底盘，定期清理沉积的废机油。</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（5）定期进行防渗工程监督检查，留下影像资料。</w:t>
      </w:r>
    </w:p>
    <w:p>
      <w:pPr>
        <w:pStyle w:val="3"/>
        <w:spacing w:before="0" w:after="0" w:line="360" w:lineRule="auto"/>
        <w:rPr>
          <w:rFonts w:ascii="Times New Roman" w:hAnsi="Times New Roman" w:cs="Times New Roman"/>
          <w:sz w:val="28"/>
          <w:szCs w:val="28"/>
        </w:rPr>
      </w:pPr>
      <w:bookmarkStart w:id="49" w:name="_Toc500955323"/>
      <w:bookmarkStart w:id="50" w:name="_Toc13725372"/>
      <w:r>
        <w:rPr>
          <w:rFonts w:hint="eastAsia" w:ascii="Times New Roman" w:hAnsi="Times New Roman" w:cs="Times New Roman"/>
          <w:sz w:val="28"/>
          <w:szCs w:val="28"/>
        </w:rPr>
        <w:t>8</w:t>
      </w:r>
      <w:r>
        <w:rPr>
          <w:rFonts w:ascii="Times New Roman" w:hAnsi="Times New Roman" w:cs="Times New Roman"/>
          <w:sz w:val="28"/>
          <w:szCs w:val="28"/>
        </w:rPr>
        <w:t>.</w:t>
      </w:r>
      <w:r>
        <w:rPr>
          <w:rFonts w:hint="eastAsia" w:ascii="Times New Roman" w:hAnsi="Times New Roman" w:cs="Times New Roman"/>
          <w:sz w:val="28"/>
          <w:szCs w:val="28"/>
        </w:rPr>
        <w:t>2</w:t>
      </w:r>
      <w:r>
        <w:rPr>
          <w:rFonts w:ascii="Times New Roman" w:hAnsi="Times New Roman" w:cs="Times New Roman"/>
          <w:sz w:val="28"/>
          <w:szCs w:val="28"/>
        </w:rPr>
        <w:t>企业环境信息公开</w:t>
      </w:r>
      <w:bookmarkEnd w:id="49"/>
      <w:bookmarkEnd w:id="50"/>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企业事业单位环境信息公开办法》（环保部令第31号）的规定，企业事业单位应当按照强制公开和自愿公开相结合的原则，及时、如实地公开其环境信息。如环境信息涉及国家秘密、商业秘密或者个人隐私的，依法可以不公开；法律、法规另有规定的，从其规定。企业事业单位应当建立健全本单位环境信息公开制度，指定机构负责本单位环境信息公开日常工作。</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（1）企业环境信息公开内容</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①</w:t>
      </w:r>
      <w:r>
        <w:rPr>
          <w:rFonts w:ascii="Times New Roman" w:hAnsi="Times New Roman" w:cs="Times New Roman"/>
          <w:sz w:val="24"/>
          <w:szCs w:val="24"/>
        </w:rPr>
        <w:t>基础信息，包括单位名称、法定代表人、生产地址、联系方式，以及生产经营和管理服务的主要内容、产品及规模；</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②排污信息，包括主要污染物及特征污染物的名称、排放方式、排放口数量和分布情况、排放浓度和总量、超标情况，以及执行的污染物排放标准、核定的排放总量；</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③</w:t>
      </w:r>
      <w:r>
        <w:rPr>
          <w:rFonts w:ascii="Times New Roman" w:hAnsi="Times New Roman" w:cs="Times New Roman"/>
          <w:sz w:val="24"/>
          <w:szCs w:val="24"/>
        </w:rPr>
        <w:t>防治污染设施的建设和运行情况；</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④</w:t>
      </w:r>
      <w:r>
        <w:rPr>
          <w:rFonts w:ascii="Times New Roman" w:hAnsi="Times New Roman" w:cs="Times New Roman"/>
          <w:sz w:val="24"/>
          <w:szCs w:val="24"/>
        </w:rPr>
        <w:t>建设项目环境影响评价及其他环境保护行政许可情况；</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⑤</w:t>
      </w:r>
      <w:r>
        <w:rPr>
          <w:rFonts w:ascii="Times New Roman" w:hAnsi="Times New Roman" w:cs="Times New Roman"/>
          <w:sz w:val="24"/>
          <w:szCs w:val="24"/>
        </w:rPr>
        <w:t>其他应当公开的环境信息。</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（2）企业环境信息公开方式</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排污单位应当通过其网站、企业事业单位环境信息公开平台或者当地报刊等便于公众知晓的方式公开环境信息，同时可以采取以下一种或者几种方式予以公开：</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①</w:t>
      </w:r>
      <w:r>
        <w:rPr>
          <w:rFonts w:ascii="Times New Roman" w:hAnsi="Times New Roman" w:cs="Times New Roman"/>
          <w:sz w:val="24"/>
          <w:szCs w:val="24"/>
        </w:rPr>
        <w:t>公告或者公开发行的信息专刊；</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②</w:t>
      </w:r>
      <w:r>
        <w:rPr>
          <w:rFonts w:ascii="Times New Roman" w:hAnsi="Times New Roman" w:cs="Times New Roman"/>
          <w:sz w:val="24"/>
          <w:szCs w:val="24"/>
        </w:rPr>
        <w:t>广播、电视等新闻媒体；</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③</w:t>
      </w:r>
      <w:r>
        <w:rPr>
          <w:rFonts w:ascii="Times New Roman" w:hAnsi="Times New Roman" w:cs="Times New Roman"/>
          <w:sz w:val="24"/>
          <w:szCs w:val="24"/>
        </w:rPr>
        <w:t>信息公开服务、监督热线电话；</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④</w:t>
      </w:r>
      <w:r>
        <w:rPr>
          <w:rFonts w:ascii="Times New Roman" w:hAnsi="Times New Roman" w:cs="Times New Roman"/>
          <w:sz w:val="24"/>
          <w:szCs w:val="24"/>
        </w:rPr>
        <w:t>本单位的资料索取点、信息公开栏、信息亭、电子屏幕、电子触摸屏等场所或者设施；</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⑤</w:t>
      </w:r>
      <w:r>
        <w:rPr>
          <w:rFonts w:ascii="Times New Roman" w:hAnsi="Times New Roman" w:cs="Times New Roman"/>
          <w:sz w:val="24"/>
          <w:szCs w:val="24"/>
        </w:rPr>
        <w:t>其他便于公众及时、准确获得信息的方式。</w:t>
      </w:r>
    </w:p>
    <w:p>
      <w:pPr>
        <w:pStyle w:val="3"/>
        <w:spacing w:before="0" w:after="0" w:line="360" w:lineRule="auto"/>
        <w:rPr>
          <w:rFonts w:ascii="Times New Roman" w:hAnsi="Times New Roman" w:cs="Times New Roman"/>
          <w:color w:val="000000" w:themeColor="text1"/>
          <w:sz w:val="28"/>
          <w:szCs w:val="28"/>
        </w:rPr>
      </w:pPr>
      <w:bookmarkStart w:id="51" w:name="_Toc13725373"/>
      <w:r>
        <w:rPr>
          <w:rFonts w:ascii="Times New Roman" w:hAnsi="Times New Roman" w:cs="Times New Roman"/>
          <w:color w:val="000000" w:themeColor="text1"/>
          <w:sz w:val="28"/>
          <w:szCs w:val="28"/>
        </w:rPr>
        <w:t>8.</w:t>
      </w:r>
      <w:r>
        <w:rPr>
          <w:rFonts w:hint="eastAsia" w:ascii="Times New Roman" w:hAnsi="Times New Roman" w:cs="Times New Roman"/>
          <w:color w:val="000000" w:themeColor="text1"/>
          <w:sz w:val="28"/>
          <w:szCs w:val="28"/>
        </w:rPr>
        <w:t>3</w:t>
      </w:r>
      <w:bookmarkEnd w:id="51"/>
      <w:r>
        <w:rPr>
          <w:rFonts w:hint="eastAsia" w:ascii="Times New Roman" w:hAnsi="Times New Roman" w:cs="Times New Roman"/>
          <w:color w:val="000000" w:themeColor="text1"/>
          <w:sz w:val="28"/>
          <w:szCs w:val="28"/>
        </w:rPr>
        <w:t>污染物排放清单及管理要求</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建设项目污染物排放清单及管理要求见表8-1。</w:t>
      </w:r>
    </w:p>
    <w:p>
      <w:pPr>
        <w:spacing w:line="360" w:lineRule="auto"/>
        <w:ind w:firstLine="482" w:firstLineChars="200"/>
        <w:jc w:val="center"/>
        <w:rPr>
          <w:rFonts w:ascii="Times New Roman" w:hAnsi="Times New Roman" w:cs="Times New Roman"/>
          <w:b/>
          <w:color w:val="000000" w:themeColor="text1"/>
          <w:sz w:val="24"/>
          <w:szCs w:val="24"/>
        </w:rPr>
      </w:pPr>
    </w:p>
    <w:p>
      <w:pPr>
        <w:spacing w:line="360" w:lineRule="auto"/>
        <w:ind w:firstLine="482" w:firstLineChars="200"/>
        <w:jc w:val="center"/>
        <w:rPr>
          <w:rFonts w:ascii="Times New Roman" w:hAnsi="Times New Roman" w:cs="Times New Roman"/>
          <w:b/>
          <w:color w:val="000000" w:themeColor="text1"/>
          <w:sz w:val="24"/>
          <w:szCs w:val="24"/>
        </w:rPr>
      </w:pPr>
    </w:p>
    <w:p>
      <w:pPr>
        <w:spacing w:line="360" w:lineRule="auto"/>
        <w:ind w:firstLine="482" w:firstLineChars="200"/>
        <w:jc w:val="center"/>
        <w:rPr>
          <w:rFonts w:ascii="Times New Roman" w:hAnsi="Times New Roman" w:cs="Times New Roman"/>
          <w:b/>
          <w:color w:val="000000" w:themeColor="text1"/>
          <w:sz w:val="24"/>
          <w:szCs w:val="24"/>
        </w:rPr>
      </w:pPr>
    </w:p>
    <w:p>
      <w:pPr>
        <w:spacing w:line="360" w:lineRule="auto"/>
        <w:ind w:firstLine="482" w:firstLineChars="200"/>
        <w:jc w:val="center"/>
        <w:rPr>
          <w:rFonts w:ascii="Times New Roman" w:hAnsi="Times New Roman" w:cs="Times New Roman"/>
          <w:b/>
          <w:color w:val="000000" w:themeColor="text1"/>
          <w:sz w:val="24"/>
          <w:szCs w:val="24"/>
        </w:rPr>
      </w:pPr>
    </w:p>
    <w:p>
      <w:pPr>
        <w:spacing w:line="360" w:lineRule="auto"/>
        <w:ind w:firstLine="482" w:firstLineChars="200"/>
        <w:jc w:val="center"/>
        <w:rPr>
          <w:rFonts w:ascii="Times New Roman" w:hAnsi="Times New Roman" w:cs="Times New Roman"/>
          <w:b/>
          <w:color w:val="000000" w:themeColor="text1"/>
          <w:sz w:val="24"/>
          <w:szCs w:val="24"/>
        </w:rPr>
      </w:pPr>
    </w:p>
    <w:p>
      <w:pPr>
        <w:spacing w:line="360" w:lineRule="auto"/>
        <w:ind w:firstLine="482" w:firstLineChars="200"/>
        <w:jc w:val="center"/>
        <w:rPr>
          <w:rFonts w:ascii="Times New Roman" w:hAnsi="Times New Roman" w:cs="Times New Roman"/>
          <w:b/>
          <w:color w:val="000000" w:themeColor="text1"/>
          <w:sz w:val="24"/>
          <w:szCs w:val="24"/>
        </w:rPr>
      </w:pPr>
    </w:p>
    <w:p>
      <w:pPr>
        <w:spacing w:line="360" w:lineRule="auto"/>
        <w:ind w:firstLine="482" w:firstLineChars="200"/>
        <w:jc w:val="center"/>
        <w:rPr>
          <w:rFonts w:ascii="Times New Roman" w:hAnsi="Times New Roman" w:cs="Times New Roman"/>
          <w:b/>
          <w:color w:val="000000" w:themeColor="text1"/>
          <w:sz w:val="24"/>
          <w:szCs w:val="24"/>
        </w:rPr>
      </w:pPr>
    </w:p>
    <w:p>
      <w:pPr>
        <w:spacing w:line="360" w:lineRule="auto"/>
        <w:ind w:firstLine="482" w:firstLineChars="200"/>
        <w:jc w:val="center"/>
        <w:rPr>
          <w:rFonts w:ascii="Times New Roman" w:hAnsi="Times New Roman" w:cs="Times New Roman"/>
          <w:b/>
          <w:color w:val="000000" w:themeColor="text1"/>
          <w:sz w:val="24"/>
          <w:szCs w:val="24"/>
        </w:rPr>
      </w:pPr>
    </w:p>
    <w:p>
      <w:pPr>
        <w:spacing w:line="360" w:lineRule="auto"/>
        <w:ind w:firstLine="482" w:firstLineChars="200"/>
        <w:jc w:val="center"/>
        <w:rPr>
          <w:rFonts w:ascii="Times New Roman" w:hAnsi="Times New Roman" w:cs="Times New Roman"/>
          <w:b/>
          <w:color w:val="000000" w:themeColor="text1"/>
          <w:sz w:val="24"/>
          <w:szCs w:val="24"/>
        </w:rPr>
      </w:pPr>
    </w:p>
    <w:p>
      <w:pPr>
        <w:spacing w:line="360" w:lineRule="auto"/>
        <w:ind w:firstLine="482" w:firstLineChars="200"/>
        <w:jc w:val="center"/>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表8-1</w:t>
      </w:r>
      <w:r>
        <w:rPr>
          <w:rFonts w:ascii="Times New Roman" w:hAnsi="Times New Roman" w:cs="Times New Roman"/>
          <w:b/>
          <w:color w:val="000000" w:themeColor="text1"/>
          <w:sz w:val="24"/>
          <w:szCs w:val="24"/>
        </w:rPr>
        <w:t xml:space="preserve"> </w:t>
      </w:r>
      <w:r>
        <w:rPr>
          <w:rFonts w:hint="eastAsia" w:ascii="Times New Roman" w:hAnsi="Times New Roman" w:cs="Times New Roman"/>
          <w:b/>
          <w:color w:val="000000" w:themeColor="text1"/>
          <w:sz w:val="24"/>
          <w:szCs w:val="24"/>
        </w:rPr>
        <w:t>项目</w:t>
      </w:r>
      <w:r>
        <w:rPr>
          <w:rFonts w:ascii="Times New Roman" w:hAnsi="Times New Roman" w:cs="Times New Roman"/>
          <w:b/>
          <w:color w:val="000000" w:themeColor="text1"/>
          <w:sz w:val="24"/>
          <w:szCs w:val="24"/>
        </w:rPr>
        <w:t>污染物排放清单</w:t>
      </w:r>
      <w:r>
        <w:rPr>
          <w:rFonts w:hint="eastAsia" w:ascii="Times New Roman" w:hAnsi="Times New Roman" w:cs="Times New Roman"/>
          <w:b/>
          <w:color w:val="000000" w:themeColor="text1"/>
          <w:sz w:val="24"/>
          <w:szCs w:val="24"/>
        </w:rPr>
        <w:t>及管理要求</w:t>
      </w:r>
      <w:r>
        <w:rPr>
          <w:rFonts w:ascii="Times New Roman" w:hAnsi="Times New Roman" w:cs="Times New Roman"/>
          <w:b/>
          <w:color w:val="000000" w:themeColor="text1"/>
          <w:sz w:val="24"/>
          <w:szCs w:val="24"/>
        </w:rPr>
        <w:t>一览表</w:t>
      </w:r>
    </w:p>
    <w:tbl>
      <w:tblPr>
        <w:tblStyle w:val="27"/>
        <w:tblW w:w="8785"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392"/>
        <w:gridCol w:w="1167"/>
        <w:gridCol w:w="1373"/>
        <w:gridCol w:w="72"/>
        <w:gridCol w:w="1125"/>
        <w:gridCol w:w="1280"/>
        <w:gridCol w:w="86"/>
        <w:gridCol w:w="982"/>
        <w:gridCol w:w="66"/>
        <w:gridCol w:w="224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559" w:type="dxa"/>
            <w:gridSpan w:val="2"/>
            <w:tcBorders>
              <w:top w:val="single" w:color="auto" w:sz="6" w:space="0"/>
              <w:left w:val="single" w:color="auto" w:sz="6" w:space="0"/>
              <w:bottom w:val="single" w:color="auto" w:sz="6" w:space="0"/>
              <w:right w:val="single" w:color="auto" w:sz="6" w:space="0"/>
            </w:tcBorders>
            <w:vAlign w:val="center"/>
          </w:tcPr>
          <w:p>
            <w:pPr>
              <w:jc w:val="center"/>
              <w:rPr>
                <w:b/>
                <w:color w:val="000000" w:themeColor="text1"/>
                <w:szCs w:val="21"/>
              </w:rPr>
            </w:pPr>
            <w:r>
              <w:rPr>
                <w:b/>
                <w:color w:val="000000" w:themeColor="text1"/>
                <w:szCs w:val="21"/>
              </w:rPr>
              <w:t>项目</w:t>
            </w:r>
          </w:p>
        </w:tc>
        <w:tc>
          <w:tcPr>
            <w:tcW w:w="7226" w:type="dxa"/>
            <w:gridSpan w:val="8"/>
            <w:tcBorders>
              <w:top w:val="single" w:color="auto" w:sz="6" w:space="0"/>
              <w:left w:val="single" w:color="auto" w:sz="6" w:space="0"/>
              <w:bottom w:val="single" w:color="auto" w:sz="6" w:space="0"/>
              <w:right w:val="single" w:color="auto" w:sz="6" w:space="0"/>
            </w:tcBorders>
            <w:vAlign w:val="center"/>
          </w:tcPr>
          <w:p>
            <w:pPr>
              <w:jc w:val="center"/>
              <w:rPr>
                <w:b/>
                <w:color w:val="000000" w:themeColor="text1"/>
                <w:szCs w:val="21"/>
              </w:rPr>
            </w:pPr>
            <w:r>
              <w:rPr>
                <w:b/>
                <w:color w:val="000000" w:themeColor="text1"/>
                <w:szCs w:val="21"/>
              </w:rPr>
              <w:t>内容</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559" w:type="dxa"/>
            <w:gridSpan w:val="2"/>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rPr>
            </w:pPr>
            <w:r>
              <w:rPr>
                <w:color w:val="000000" w:themeColor="text1"/>
                <w:szCs w:val="21"/>
              </w:rPr>
              <w:t>工程组成</w:t>
            </w:r>
          </w:p>
        </w:tc>
        <w:tc>
          <w:tcPr>
            <w:tcW w:w="7226" w:type="dxa"/>
            <w:gridSpan w:val="8"/>
            <w:tcBorders>
              <w:top w:val="single" w:color="auto" w:sz="6" w:space="0"/>
              <w:left w:val="single" w:color="auto" w:sz="6" w:space="0"/>
              <w:bottom w:val="single" w:color="auto" w:sz="6" w:space="0"/>
              <w:right w:val="single" w:color="auto" w:sz="6" w:space="0"/>
            </w:tcBorders>
            <w:vAlign w:val="center"/>
          </w:tcPr>
          <w:p>
            <w:pP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本项目总占地面积为18500m</w:t>
            </w:r>
            <w:r>
              <w:rPr>
                <w:rFonts w:hint="eastAsia" w:ascii="Times New Roman" w:hAnsi="Times New Roman" w:cs="Times New Roman"/>
                <w:color w:val="000000" w:themeColor="text1"/>
                <w:szCs w:val="21"/>
                <w:vertAlign w:val="superscript"/>
              </w:rPr>
              <w:t>2</w:t>
            </w:r>
            <w:r>
              <w:rPr>
                <w:rFonts w:hint="eastAsia" w:ascii="Times New Roman" w:hAnsi="Times New Roman" w:cs="Times New Roman"/>
                <w:color w:val="000000" w:themeColor="text1"/>
                <w:szCs w:val="21"/>
              </w:rPr>
              <w:t>，建筑基底面积7079.04m</w:t>
            </w:r>
            <w:r>
              <w:rPr>
                <w:rFonts w:hint="eastAsia" w:ascii="Times New Roman" w:hAnsi="Times New Roman" w:cs="Times New Roman"/>
                <w:color w:val="000000" w:themeColor="text1"/>
                <w:szCs w:val="21"/>
                <w:vertAlign w:val="superscript"/>
              </w:rPr>
              <w:t>2</w:t>
            </w:r>
            <w:r>
              <w:rPr>
                <w:rFonts w:hint="eastAsia" w:ascii="Times New Roman" w:hAnsi="Times New Roman" w:cs="Times New Roman"/>
                <w:color w:val="000000" w:themeColor="text1"/>
                <w:szCs w:val="21"/>
              </w:rPr>
              <w:t>，总建筑面积55350.00m</w:t>
            </w:r>
            <w:r>
              <w:rPr>
                <w:rFonts w:hint="eastAsia" w:ascii="Times New Roman" w:hAnsi="Times New Roman" w:cs="Times New Roman"/>
                <w:color w:val="000000" w:themeColor="text1"/>
                <w:szCs w:val="21"/>
                <w:vertAlign w:val="superscript"/>
              </w:rPr>
              <w:t>2</w:t>
            </w:r>
            <w:r>
              <w:rPr>
                <w:rFonts w:hint="eastAsia" w:ascii="Times New Roman" w:hAnsi="Times New Roman" w:cs="Times New Roman"/>
                <w:color w:val="000000" w:themeColor="text1"/>
                <w:szCs w:val="21"/>
              </w:rPr>
              <w:t>。建设1栋8层门诊楼，1栋15层住院楼，1栋6层综合培训楼，设计停车位516个（不设人防），容积率2.17，建筑密度38.30%，绿地率30.00%。</w:t>
            </w:r>
          </w:p>
          <w:p>
            <w:pP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项目设计病床数600张，其门诊接待能力2054人次/天，新建污水处理站一座，设计能力500m</w:t>
            </w:r>
            <w:r>
              <w:rPr>
                <w:rFonts w:hint="eastAsia" w:ascii="Times New Roman" w:hAnsi="Times New Roman" w:cs="Times New Roman"/>
                <w:color w:val="000000" w:themeColor="text1"/>
                <w:szCs w:val="21"/>
                <w:vertAlign w:val="superscript"/>
              </w:rPr>
              <w:t>3</w:t>
            </w:r>
            <w:r>
              <w:rPr>
                <w:rFonts w:hint="eastAsia" w:ascii="Times New Roman" w:hAnsi="Times New Roman" w:cs="Times New Roman"/>
                <w:color w:val="000000" w:themeColor="text1"/>
                <w:szCs w:val="21"/>
              </w:rPr>
              <w:t>/d。</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559" w:type="dxa"/>
            <w:gridSpan w:val="2"/>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rPr>
            </w:pPr>
            <w:r>
              <w:rPr>
                <w:color w:val="000000" w:themeColor="text1"/>
                <w:szCs w:val="21"/>
              </w:rPr>
              <w:t>原辅材料</w:t>
            </w:r>
          </w:p>
        </w:tc>
        <w:tc>
          <w:tcPr>
            <w:tcW w:w="7226" w:type="dxa"/>
            <w:gridSpan w:val="8"/>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纱布、脱脂棉、输液器、注射器、液氧、化验测试试剂、药品、消毒剂等</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392" w:type="dxa"/>
            <w:vMerge w:val="restart"/>
            <w:tcBorders>
              <w:top w:val="single" w:color="auto" w:sz="6" w:space="0"/>
              <w:left w:val="single" w:color="auto" w:sz="6" w:space="0"/>
              <w:right w:val="single" w:color="auto" w:sz="4" w:space="0"/>
            </w:tcBorders>
            <w:vAlign w:val="center"/>
          </w:tcPr>
          <w:p>
            <w:pPr>
              <w:jc w:val="center"/>
              <w:rPr>
                <w:color w:val="000000" w:themeColor="text1"/>
                <w:szCs w:val="21"/>
              </w:rPr>
            </w:pPr>
            <w:r>
              <w:rPr>
                <w:color w:val="000000" w:themeColor="text1"/>
                <w:szCs w:val="21"/>
              </w:rPr>
              <w:t>废气</w:t>
            </w:r>
          </w:p>
        </w:tc>
        <w:tc>
          <w:tcPr>
            <w:tcW w:w="1167" w:type="dxa"/>
            <w:tcBorders>
              <w:top w:val="single" w:color="auto" w:sz="6" w:space="0"/>
              <w:left w:val="single" w:color="auto" w:sz="4" w:space="0"/>
              <w:bottom w:val="single" w:color="auto" w:sz="6" w:space="0"/>
              <w:right w:val="single" w:color="auto" w:sz="6" w:space="0"/>
            </w:tcBorders>
            <w:vAlign w:val="center"/>
          </w:tcPr>
          <w:p>
            <w:pPr>
              <w:jc w:val="center"/>
              <w:rPr>
                <w:color w:val="000000" w:themeColor="text1"/>
                <w:szCs w:val="21"/>
              </w:rPr>
            </w:pPr>
            <w:r>
              <w:rPr>
                <w:color w:val="000000" w:themeColor="text1"/>
                <w:szCs w:val="21"/>
              </w:rPr>
              <w:t>治理措施</w:t>
            </w:r>
          </w:p>
        </w:tc>
        <w:tc>
          <w:tcPr>
            <w:tcW w:w="7226" w:type="dxa"/>
            <w:gridSpan w:val="8"/>
            <w:tcBorders>
              <w:top w:val="single" w:color="auto" w:sz="6" w:space="0"/>
              <w:left w:val="single" w:color="auto" w:sz="6" w:space="0"/>
              <w:bottom w:val="single" w:color="auto" w:sz="6" w:space="0"/>
              <w:right w:val="single" w:color="auto" w:sz="6" w:space="0"/>
            </w:tcBorders>
            <w:vAlign w:val="center"/>
          </w:tcPr>
          <w:p>
            <w:pPr>
              <w:rPr>
                <w:color w:val="000000" w:themeColor="text1"/>
                <w:szCs w:val="21"/>
              </w:rPr>
            </w:pPr>
            <w:r>
              <w:rPr>
                <w:rFonts w:hint="eastAsia" w:ascii="Times New Roman" w:hAnsi="Times New Roman" w:cs="Times New Roman"/>
                <w:b/>
                <w:color w:val="000000" w:themeColor="text1"/>
                <w:szCs w:val="21"/>
              </w:rPr>
              <w:t>污水处理站恶臭气体：</w:t>
            </w:r>
            <w:r>
              <w:rPr>
                <w:rFonts w:hint="eastAsia" w:ascii="Times New Roman" w:hAnsi="Times New Roman" w:cs="Times New Roman"/>
                <w:color w:val="000000" w:themeColor="text1"/>
                <w:szCs w:val="21"/>
              </w:rPr>
              <w:t>通过集气管道</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水喷淋装置</w:t>
            </w:r>
            <w:r>
              <w:rPr>
                <w:rFonts w:ascii="Times New Roman" w:hAnsi="Times New Roman" w:cs="Times New Roman"/>
                <w:color w:val="000000" w:themeColor="text1"/>
                <w:szCs w:val="21"/>
              </w:rPr>
              <w:t>+UV</w:t>
            </w:r>
            <w:r>
              <w:rPr>
                <w:rFonts w:hint="eastAsia" w:ascii="Times New Roman" w:hAnsi="Times New Roman" w:cs="Times New Roman"/>
                <w:color w:val="000000" w:themeColor="text1"/>
                <w:szCs w:val="21"/>
              </w:rPr>
              <w:t>紫外线光解净化器</w:t>
            </w:r>
            <w:r>
              <w:rPr>
                <w:rFonts w:ascii="Times New Roman" w:hAnsi="Times New Roman" w:cs="Times New Roman"/>
                <w:color w:val="000000" w:themeColor="text1"/>
                <w:szCs w:val="21"/>
              </w:rPr>
              <w:t>+1</w:t>
            </w:r>
            <w:r>
              <w:rPr>
                <w:rFonts w:hint="eastAsia" w:ascii="Times New Roman" w:hAnsi="Times New Roman" w:cs="Times New Roman"/>
                <w:color w:val="000000" w:themeColor="text1"/>
                <w:szCs w:val="21"/>
              </w:rPr>
              <w:t>根</w:t>
            </w:r>
            <w:r>
              <w:rPr>
                <w:rFonts w:ascii="Times New Roman" w:hAnsi="Times New Roman" w:cs="Times New Roman"/>
                <w:color w:val="000000" w:themeColor="text1"/>
                <w:szCs w:val="21"/>
              </w:rPr>
              <w:t>15m</w:t>
            </w:r>
            <w:r>
              <w:rPr>
                <w:rFonts w:hint="eastAsia" w:ascii="Times New Roman" w:hAnsi="Times New Roman" w:cs="Times New Roman"/>
                <w:color w:val="000000" w:themeColor="text1"/>
                <w:szCs w:val="21"/>
              </w:rPr>
              <w:t>高排气筒。</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392" w:type="dxa"/>
            <w:vMerge w:val="continue"/>
            <w:tcBorders>
              <w:left w:val="single" w:color="auto" w:sz="6" w:space="0"/>
              <w:bottom w:val="single" w:color="auto" w:sz="6" w:space="0"/>
              <w:right w:val="single" w:color="auto" w:sz="4" w:space="0"/>
            </w:tcBorders>
            <w:vAlign w:val="center"/>
          </w:tcPr>
          <w:p>
            <w:pPr>
              <w:jc w:val="center"/>
              <w:rPr>
                <w:color w:val="000000" w:themeColor="text1"/>
                <w:szCs w:val="21"/>
              </w:rPr>
            </w:pPr>
          </w:p>
        </w:tc>
        <w:tc>
          <w:tcPr>
            <w:tcW w:w="1167" w:type="dxa"/>
            <w:vMerge w:val="restart"/>
            <w:tcBorders>
              <w:top w:val="single" w:color="auto" w:sz="6" w:space="0"/>
              <w:left w:val="single" w:color="auto" w:sz="4" w:space="0"/>
              <w:right w:val="single" w:color="auto" w:sz="6" w:space="0"/>
            </w:tcBorders>
            <w:vAlign w:val="center"/>
          </w:tcPr>
          <w:p>
            <w:pPr>
              <w:jc w:val="center"/>
              <w:rPr>
                <w:color w:val="000000" w:themeColor="text1"/>
                <w:szCs w:val="21"/>
              </w:rPr>
            </w:pPr>
            <w:r>
              <w:rPr>
                <w:color w:val="000000" w:themeColor="text1"/>
                <w:szCs w:val="21"/>
              </w:rPr>
              <w:t>位置</w:t>
            </w:r>
          </w:p>
        </w:tc>
        <w:tc>
          <w:tcPr>
            <w:tcW w:w="1373" w:type="dxa"/>
            <w:vMerge w:val="restart"/>
            <w:tcBorders>
              <w:top w:val="single" w:color="auto" w:sz="6" w:space="0"/>
              <w:left w:val="single" w:color="auto" w:sz="6" w:space="0"/>
              <w:right w:val="single" w:color="auto" w:sz="4" w:space="0"/>
            </w:tcBorders>
            <w:vAlign w:val="center"/>
          </w:tcPr>
          <w:p>
            <w:pPr>
              <w:jc w:val="center"/>
              <w:rPr>
                <w:color w:val="000000" w:themeColor="text1"/>
                <w:szCs w:val="21"/>
              </w:rPr>
            </w:pPr>
            <w:r>
              <w:rPr>
                <w:color w:val="000000" w:themeColor="text1"/>
                <w:szCs w:val="21"/>
              </w:rPr>
              <w:t>类型</w:t>
            </w:r>
          </w:p>
        </w:tc>
        <w:tc>
          <w:tcPr>
            <w:tcW w:w="1197" w:type="dxa"/>
            <w:gridSpan w:val="2"/>
            <w:vMerge w:val="restart"/>
            <w:tcBorders>
              <w:top w:val="single" w:color="auto" w:sz="6" w:space="0"/>
              <w:left w:val="single" w:color="auto" w:sz="4" w:space="0"/>
              <w:right w:val="nil"/>
            </w:tcBorders>
            <w:vAlign w:val="center"/>
          </w:tcPr>
          <w:p>
            <w:pPr>
              <w:jc w:val="center"/>
              <w:rPr>
                <w:color w:val="000000" w:themeColor="text1"/>
                <w:szCs w:val="21"/>
              </w:rPr>
            </w:pPr>
            <w:r>
              <w:rPr>
                <w:rFonts w:hAnsi="宋体"/>
                <w:color w:val="000000" w:themeColor="text1"/>
                <w:szCs w:val="21"/>
              </w:rPr>
              <w:t>标准值</w:t>
            </w:r>
            <w:r>
              <w:rPr>
                <w:rFonts w:ascii="Times New Roman" w:hAnsi="Times New Roman" w:cs="Times New Roman" w:eastAsiaTheme="majorEastAsia"/>
                <w:color w:val="000000" w:themeColor="text1"/>
                <w:szCs w:val="21"/>
              </w:rPr>
              <w:t>（kg/h）</w:t>
            </w:r>
          </w:p>
        </w:tc>
        <w:tc>
          <w:tcPr>
            <w:tcW w:w="2348" w:type="dxa"/>
            <w:gridSpan w:val="3"/>
            <w:tcBorders>
              <w:top w:val="single" w:color="auto" w:sz="6" w:space="0"/>
              <w:left w:val="single" w:color="auto" w:sz="4" w:space="0"/>
              <w:bottom w:val="single" w:color="auto" w:sz="4" w:space="0"/>
              <w:right w:val="single" w:color="auto" w:sz="4" w:space="0"/>
            </w:tcBorders>
            <w:vAlign w:val="center"/>
          </w:tcPr>
          <w:p>
            <w:pPr>
              <w:jc w:val="center"/>
              <w:rPr>
                <w:color w:val="000000" w:themeColor="text1"/>
                <w:szCs w:val="21"/>
              </w:rPr>
            </w:pPr>
            <w:r>
              <w:rPr>
                <w:rFonts w:hAnsi="宋体"/>
                <w:color w:val="000000" w:themeColor="text1"/>
                <w:szCs w:val="21"/>
              </w:rPr>
              <w:t>污染物预测值</w:t>
            </w:r>
          </w:p>
        </w:tc>
        <w:tc>
          <w:tcPr>
            <w:tcW w:w="2308" w:type="dxa"/>
            <w:gridSpan w:val="2"/>
            <w:tcBorders>
              <w:top w:val="single" w:color="auto" w:sz="6" w:space="0"/>
              <w:left w:val="single" w:color="auto" w:sz="4" w:space="0"/>
              <w:bottom w:val="single" w:color="auto" w:sz="4" w:space="0"/>
              <w:right w:val="single" w:color="auto" w:sz="6" w:space="0"/>
            </w:tcBorders>
            <w:vAlign w:val="center"/>
          </w:tcPr>
          <w:p>
            <w:pPr>
              <w:jc w:val="center"/>
              <w:rPr>
                <w:color w:val="000000" w:themeColor="text1"/>
                <w:szCs w:val="21"/>
              </w:rPr>
            </w:pPr>
            <w:r>
              <w:rPr>
                <w:rFonts w:hAnsi="宋体"/>
                <w:color w:val="000000" w:themeColor="text1"/>
                <w:szCs w:val="21"/>
              </w:rPr>
              <w:t>污染物总量控制指标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392" w:type="dxa"/>
            <w:vMerge w:val="continue"/>
            <w:tcBorders>
              <w:left w:val="single" w:color="auto" w:sz="6" w:space="0"/>
              <w:bottom w:val="single" w:color="auto" w:sz="6" w:space="0"/>
              <w:right w:val="single" w:color="auto" w:sz="4" w:space="0"/>
            </w:tcBorders>
            <w:vAlign w:val="center"/>
          </w:tcPr>
          <w:p>
            <w:pPr>
              <w:jc w:val="center"/>
              <w:rPr>
                <w:color w:val="000000" w:themeColor="text1"/>
                <w:szCs w:val="21"/>
              </w:rPr>
            </w:pPr>
          </w:p>
        </w:tc>
        <w:tc>
          <w:tcPr>
            <w:tcW w:w="1167" w:type="dxa"/>
            <w:vMerge w:val="continue"/>
            <w:tcBorders>
              <w:left w:val="single" w:color="auto" w:sz="4" w:space="0"/>
              <w:bottom w:val="single" w:color="auto" w:sz="4" w:space="0"/>
              <w:right w:val="single" w:color="auto" w:sz="6" w:space="0"/>
            </w:tcBorders>
            <w:vAlign w:val="center"/>
          </w:tcPr>
          <w:p>
            <w:pPr>
              <w:jc w:val="center"/>
              <w:rPr>
                <w:color w:val="000000" w:themeColor="text1"/>
                <w:szCs w:val="21"/>
              </w:rPr>
            </w:pPr>
          </w:p>
        </w:tc>
        <w:tc>
          <w:tcPr>
            <w:tcW w:w="1373" w:type="dxa"/>
            <w:vMerge w:val="continue"/>
            <w:tcBorders>
              <w:left w:val="single" w:color="auto" w:sz="6" w:space="0"/>
              <w:bottom w:val="single" w:color="auto" w:sz="4" w:space="0"/>
              <w:right w:val="single" w:color="auto" w:sz="4" w:space="0"/>
            </w:tcBorders>
            <w:vAlign w:val="center"/>
          </w:tcPr>
          <w:p>
            <w:pPr>
              <w:jc w:val="center"/>
              <w:rPr>
                <w:color w:val="000000" w:themeColor="text1"/>
                <w:szCs w:val="21"/>
              </w:rPr>
            </w:pPr>
          </w:p>
        </w:tc>
        <w:tc>
          <w:tcPr>
            <w:tcW w:w="1197" w:type="dxa"/>
            <w:gridSpan w:val="2"/>
            <w:vMerge w:val="continue"/>
            <w:tcBorders>
              <w:left w:val="single" w:color="auto" w:sz="4" w:space="0"/>
              <w:bottom w:val="single" w:color="auto" w:sz="4" w:space="0"/>
              <w:right w:val="nil"/>
            </w:tcBorders>
            <w:vAlign w:val="center"/>
          </w:tcPr>
          <w:p>
            <w:pPr>
              <w:jc w:val="center"/>
              <w:rPr>
                <w:rFonts w:hAnsi="宋体"/>
                <w:color w:val="000000" w:themeColor="text1"/>
                <w:szCs w:val="21"/>
              </w:rPr>
            </w:pPr>
          </w:p>
        </w:tc>
        <w:tc>
          <w:tcPr>
            <w:tcW w:w="1366" w:type="dxa"/>
            <w:gridSpan w:val="2"/>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rFonts w:hAnsi="宋体"/>
                <w:color w:val="000000" w:themeColor="text1"/>
                <w:szCs w:val="21"/>
              </w:rPr>
              <w:t>排放浓度（</w:t>
            </w:r>
            <w:r>
              <w:rPr>
                <w:color w:val="000000" w:themeColor="text1"/>
                <w:szCs w:val="21"/>
              </w:rPr>
              <w:t>mg/m</w:t>
            </w:r>
            <w:r>
              <w:rPr>
                <w:color w:val="000000" w:themeColor="text1"/>
                <w:szCs w:val="21"/>
                <w:vertAlign w:val="superscript"/>
              </w:rPr>
              <w:t>3</w:t>
            </w:r>
            <w:r>
              <w:rPr>
                <w:rFonts w:hAnsi="宋体"/>
                <w:color w:val="000000" w:themeColor="text1"/>
                <w:szCs w:val="21"/>
              </w:rPr>
              <w:t>）</w:t>
            </w:r>
          </w:p>
        </w:tc>
        <w:tc>
          <w:tcPr>
            <w:tcW w:w="98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rFonts w:hAnsi="宋体"/>
                <w:color w:val="000000" w:themeColor="text1"/>
                <w:szCs w:val="21"/>
              </w:rPr>
              <w:t>排放量（</w:t>
            </w:r>
            <w:r>
              <w:rPr>
                <w:color w:val="000000" w:themeColor="text1"/>
                <w:szCs w:val="21"/>
              </w:rPr>
              <w:t>t/a</w:t>
            </w:r>
            <w:r>
              <w:rPr>
                <w:rFonts w:hAnsi="宋体"/>
                <w:color w:val="000000" w:themeColor="text1"/>
                <w:szCs w:val="21"/>
              </w:rPr>
              <w:t>）</w:t>
            </w:r>
          </w:p>
        </w:tc>
        <w:tc>
          <w:tcPr>
            <w:tcW w:w="2308" w:type="dxa"/>
            <w:gridSpan w:val="2"/>
            <w:tcBorders>
              <w:top w:val="single" w:color="auto" w:sz="4" w:space="0"/>
              <w:left w:val="single" w:color="auto" w:sz="4" w:space="0"/>
              <w:bottom w:val="single" w:color="auto" w:sz="4" w:space="0"/>
              <w:right w:val="single" w:color="auto" w:sz="6" w:space="0"/>
            </w:tcBorders>
            <w:vAlign w:val="center"/>
          </w:tcPr>
          <w:p>
            <w:pPr>
              <w:jc w:val="center"/>
              <w:rPr>
                <w:color w:val="000000" w:themeColor="text1"/>
                <w:szCs w:val="21"/>
              </w:rPr>
            </w:pPr>
            <w:r>
              <w:rPr>
                <w:rFonts w:hAnsi="宋体"/>
                <w:color w:val="000000" w:themeColor="text1"/>
                <w:szCs w:val="21"/>
              </w:rPr>
              <w:t>排放总量（</w:t>
            </w:r>
            <w:r>
              <w:rPr>
                <w:color w:val="000000" w:themeColor="text1"/>
                <w:szCs w:val="21"/>
              </w:rPr>
              <w:t>t/a</w:t>
            </w:r>
            <w:r>
              <w:rPr>
                <w:rFonts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392" w:type="dxa"/>
            <w:vMerge w:val="continue"/>
            <w:tcBorders>
              <w:left w:val="single" w:color="auto" w:sz="6" w:space="0"/>
              <w:bottom w:val="single" w:color="auto" w:sz="6" w:space="0"/>
              <w:right w:val="single" w:color="auto" w:sz="4" w:space="0"/>
            </w:tcBorders>
            <w:vAlign w:val="center"/>
          </w:tcPr>
          <w:p>
            <w:pPr>
              <w:jc w:val="center"/>
              <w:rPr>
                <w:color w:val="000000" w:themeColor="text1"/>
                <w:szCs w:val="21"/>
              </w:rPr>
            </w:pPr>
          </w:p>
        </w:tc>
        <w:tc>
          <w:tcPr>
            <w:tcW w:w="1167" w:type="dxa"/>
            <w:vMerge w:val="restart"/>
            <w:tcBorders>
              <w:left w:val="single" w:color="auto" w:sz="4" w:space="0"/>
              <w:right w:val="single" w:color="auto" w:sz="4" w:space="0"/>
            </w:tcBorders>
            <w:vAlign w:val="center"/>
          </w:tcPr>
          <w:p>
            <w:pPr>
              <w:jc w:val="center"/>
              <w:rPr>
                <w:color w:val="000000" w:themeColor="text1"/>
                <w:szCs w:val="21"/>
              </w:rPr>
            </w:pPr>
            <w:r>
              <w:rPr>
                <w:rFonts w:hint="eastAsia"/>
                <w:color w:val="000000" w:themeColor="text1"/>
                <w:szCs w:val="21"/>
              </w:rPr>
              <w:t>污水处理站排气筒出口</w:t>
            </w:r>
          </w:p>
        </w:tc>
        <w:tc>
          <w:tcPr>
            <w:tcW w:w="137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rPr>
            </w:pPr>
            <w:r>
              <w:rPr>
                <w:rFonts w:hint="eastAsia" w:hAnsi="宋体"/>
                <w:color w:val="000000" w:themeColor="text1"/>
                <w:szCs w:val="21"/>
              </w:rPr>
              <w:t>氨</w:t>
            </w:r>
          </w:p>
        </w:tc>
        <w:tc>
          <w:tcPr>
            <w:tcW w:w="119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4.9</w:t>
            </w:r>
            <w:r>
              <w:rPr>
                <w:rFonts w:ascii="Times New Roman" w:hAnsi="Times New Roman" w:cs="Times New Roman" w:eastAsiaTheme="majorEastAsia"/>
                <w:color w:val="000000" w:themeColor="text1"/>
                <w:szCs w:val="21"/>
              </w:rPr>
              <w:t xml:space="preserve"> kg/h</w:t>
            </w:r>
          </w:p>
        </w:tc>
        <w:tc>
          <w:tcPr>
            <w:tcW w:w="1366"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6.450</w:t>
            </w:r>
          </w:p>
        </w:tc>
        <w:tc>
          <w:tcPr>
            <w:tcW w:w="98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0.565</w:t>
            </w:r>
          </w:p>
        </w:tc>
        <w:tc>
          <w:tcPr>
            <w:tcW w:w="2308" w:type="dxa"/>
            <w:gridSpan w:val="2"/>
            <w:tcBorders>
              <w:top w:val="single" w:color="auto" w:sz="4" w:space="0"/>
              <w:left w:val="single" w:color="auto" w:sz="4" w:space="0"/>
              <w:right w:val="single" w:color="auto" w:sz="6" w:space="0"/>
            </w:tcBorders>
            <w:vAlign w:val="center"/>
          </w:tcPr>
          <w:p>
            <w:pPr>
              <w:spacing w:line="34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0.565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392" w:type="dxa"/>
            <w:vMerge w:val="continue"/>
            <w:tcBorders>
              <w:left w:val="single" w:color="auto" w:sz="6" w:space="0"/>
              <w:bottom w:val="single" w:color="auto" w:sz="6" w:space="0"/>
              <w:right w:val="single" w:color="auto" w:sz="4" w:space="0"/>
            </w:tcBorders>
            <w:vAlign w:val="center"/>
          </w:tcPr>
          <w:p>
            <w:pPr>
              <w:jc w:val="center"/>
              <w:rPr>
                <w:color w:val="000000" w:themeColor="text1"/>
                <w:szCs w:val="21"/>
              </w:rPr>
            </w:pPr>
          </w:p>
        </w:tc>
        <w:tc>
          <w:tcPr>
            <w:tcW w:w="1167" w:type="dxa"/>
            <w:vMerge w:val="continue"/>
            <w:tcBorders>
              <w:left w:val="single" w:color="auto" w:sz="4" w:space="0"/>
              <w:right w:val="single" w:color="auto" w:sz="4" w:space="0"/>
            </w:tcBorders>
            <w:vAlign w:val="center"/>
          </w:tcPr>
          <w:p>
            <w:pPr>
              <w:jc w:val="center"/>
              <w:rPr>
                <w:color w:val="000000" w:themeColor="text1"/>
                <w:szCs w:val="21"/>
              </w:rPr>
            </w:pPr>
          </w:p>
        </w:tc>
        <w:tc>
          <w:tcPr>
            <w:tcW w:w="137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H</w:t>
            </w:r>
            <w:r>
              <w:rPr>
                <w:rFonts w:ascii="Times New Roman" w:hAnsi="Times New Roman" w:cs="Times New Roman"/>
                <w:color w:val="000000" w:themeColor="text1"/>
                <w:szCs w:val="21"/>
                <w:vertAlign w:val="subscript"/>
              </w:rPr>
              <w:t>2</w:t>
            </w:r>
            <w:r>
              <w:rPr>
                <w:rFonts w:ascii="Times New Roman" w:hAnsi="Times New Roman" w:cs="Times New Roman"/>
                <w:color w:val="000000" w:themeColor="text1"/>
                <w:szCs w:val="21"/>
              </w:rPr>
              <w:t>S</w:t>
            </w:r>
          </w:p>
        </w:tc>
        <w:tc>
          <w:tcPr>
            <w:tcW w:w="119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0.33</w:t>
            </w:r>
            <w:r>
              <w:rPr>
                <w:rFonts w:ascii="Times New Roman" w:hAnsi="Times New Roman" w:cs="Times New Roman" w:eastAsiaTheme="majorEastAsia"/>
                <w:color w:val="000000" w:themeColor="text1"/>
                <w:szCs w:val="21"/>
              </w:rPr>
              <w:t xml:space="preserve"> kg/h</w:t>
            </w:r>
          </w:p>
        </w:tc>
        <w:tc>
          <w:tcPr>
            <w:tcW w:w="1366"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0.262</w:t>
            </w:r>
          </w:p>
        </w:tc>
        <w:tc>
          <w:tcPr>
            <w:tcW w:w="98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0.023</w:t>
            </w:r>
          </w:p>
        </w:tc>
        <w:tc>
          <w:tcPr>
            <w:tcW w:w="2308" w:type="dxa"/>
            <w:gridSpan w:val="2"/>
            <w:tcBorders>
              <w:top w:val="single" w:color="auto" w:sz="4" w:space="0"/>
              <w:left w:val="single" w:color="auto" w:sz="4" w:space="0"/>
              <w:right w:val="single" w:color="auto" w:sz="6" w:space="0"/>
            </w:tcBorders>
            <w:vAlign w:val="center"/>
          </w:tcPr>
          <w:p>
            <w:pPr>
              <w:spacing w:line="34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0.023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392" w:type="dxa"/>
            <w:vMerge w:val="continue"/>
            <w:tcBorders>
              <w:left w:val="single" w:color="auto" w:sz="6" w:space="0"/>
              <w:bottom w:val="single" w:color="auto" w:sz="6" w:space="0"/>
              <w:right w:val="single" w:color="auto" w:sz="4" w:space="0"/>
            </w:tcBorders>
            <w:vAlign w:val="center"/>
          </w:tcPr>
          <w:p>
            <w:pPr>
              <w:jc w:val="center"/>
              <w:rPr>
                <w:color w:val="000000" w:themeColor="text1"/>
                <w:szCs w:val="21"/>
              </w:rPr>
            </w:pPr>
          </w:p>
        </w:tc>
        <w:tc>
          <w:tcPr>
            <w:tcW w:w="1167" w:type="dxa"/>
            <w:vMerge w:val="restart"/>
            <w:tcBorders>
              <w:left w:val="single" w:color="auto" w:sz="4" w:space="0"/>
              <w:right w:val="single" w:color="auto" w:sz="4" w:space="0"/>
            </w:tcBorders>
            <w:vAlign w:val="center"/>
          </w:tcPr>
          <w:p>
            <w:pPr>
              <w:jc w:val="center"/>
              <w:rPr>
                <w:color w:val="000000" w:themeColor="text1"/>
                <w:szCs w:val="21"/>
              </w:rPr>
            </w:pPr>
            <w:r>
              <w:rPr>
                <w:rFonts w:hint="eastAsia"/>
                <w:color w:val="000000" w:themeColor="text1"/>
                <w:szCs w:val="21"/>
              </w:rPr>
              <w:t>厂界</w:t>
            </w:r>
          </w:p>
        </w:tc>
        <w:tc>
          <w:tcPr>
            <w:tcW w:w="1373" w:type="dxa"/>
            <w:tcBorders>
              <w:top w:val="single" w:color="auto" w:sz="4" w:space="0"/>
              <w:left w:val="single" w:color="auto" w:sz="4" w:space="0"/>
              <w:bottom w:val="single" w:color="auto" w:sz="4" w:space="0"/>
              <w:right w:val="single" w:color="auto" w:sz="4" w:space="0"/>
            </w:tcBorders>
            <w:vAlign w:val="center"/>
          </w:tcPr>
          <w:p>
            <w:pPr>
              <w:jc w:val="center"/>
              <w:rPr>
                <w:rFonts w:hAnsi="宋体"/>
                <w:color w:val="000000" w:themeColor="text1"/>
                <w:szCs w:val="21"/>
              </w:rPr>
            </w:pPr>
            <w:r>
              <w:rPr>
                <w:rFonts w:hint="eastAsia" w:hAnsi="宋体"/>
                <w:color w:val="000000" w:themeColor="text1"/>
                <w:szCs w:val="21"/>
              </w:rPr>
              <w:t>氨</w:t>
            </w:r>
          </w:p>
        </w:tc>
        <w:tc>
          <w:tcPr>
            <w:tcW w:w="1197"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w:t>
            </w:r>
            <w:r>
              <w:rPr>
                <w:rFonts w:hint="eastAsia" w:ascii="Times New Roman" w:hAnsi="Times New Roman" w:eastAsia="宋体" w:cs="Times New Roman"/>
                <w:color w:val="000000" w:themeColor="text1"/>
                <w:szCs w:val="21"/>
              </w:rPr>
              <w:t>0</w:t>
            </w:r>
            <w:r>
              <w:rPr>
                <w:rFonts w:ascii="Times New Roman" w:hAnsi="Times New Roman" w:eastAsia="宋体" w:cs="Times New Roman"/>
                <w:color w:val="000000" w:themeColor="text1"/>
                <w:szCs w:val="21"/>
              </w:rPr>
              <w:t>mg/m</w:t>
            </w:r>
            <w:r>
              <w:rPr>
                <w:rFonts w:ascii="Times New Roman" w:hAnsi="Times New Roman" w:eastAsia="宋体" w:cs="Times New Roman"/>
                <w:color w:val="000000" w:themeColor="text1"/>
                <w:szCs w:val="21"/>
                <w:vertAlign w:val="superscript"/>
              </w:rPr>
              <w:t>3</w:t>
            </w:r>
          </w:p>
        </w:tc>
        <w:tc>
          <w:tcPr>
            <w:tcW w:w="1366"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hint="eastAsia" w:ascii="宋体" w:hAnsi="宋体" w:eastAsia="宋体" w:cs="Times New Roman"/>
                <w:color w:val="000000" w:themeColor="text1"/>
                <w:szCs w:val="21"/>
              </w:rPr>
              <w:t>＜</w:t>
            </w:r>
            <w:r>
              <w:rPr>
                <w:rFonts w:ascii="Times New Roman" w:hAnsi="Times New Roman" w:eastAsia="宋体" w:cs="Times New Roman"/>
                <w:color w:val="000000" w:themeColor="text1"/>
                <w:szCs w:val="21"/>
              </w:rPr>
              <w:t>1.</w:t>
            </w:r>
            <w:r>
              <w:rPr>
                <w:rFonts w:hint="eastAsia" w:ascii="Times New Roman" w:hAnsi="Times New Roman" w:eastAsia="宋体" w:cs="Times New Roman"/>
                <w:color w:val="000000" w:themeColor="text1"/>
                <w:szCs w:val="21"/>
              </w:rPr>
              <w:t>0</w:t>
            </w:r>
            <w:r>
              <w:rPr>
                <w:rFonts w:ascii="Times New Roman" w:hAnsi="Times New Roman" w:eastAsia="宋体" w:cs="Times New Roman"/>
                <w:color w:val="000000" w:themeColor="text1"/>
                <w:szCs w:val="21"/>
              </w:rPr>
              <w:t>mg/m</w:t>
            </w:r>
            <w:r>
              <w:rPr>
                <w:rFonts w:ascii="Times New Roman" w:hAnsi="Times New Roman" w:eastAsia="宋体" w:cs="Times New Roman"/>
                <w:color w:val="000000" w:themeColor="text1"/>
                <w:szCs w:val="21"/>
                <w:vertAlign w:val="superscript"/>
              </w:rPr>
              <w:t>3</w:t>
            </w:r>
          </w:p>
        </w:tc>
        <w:tc>
          <w:tcPr>
            <w:tcW w:w="98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0.014</w:t>
            </w:r>
          </w:p>
        </w:tc>
        <w:tc>
          <w:tcPr>
            <w:tcW w:w="2308" w:type="dxa"/>
            <w:gridSpan w:val="2"/>
            <w:tcBorders>
              <w:top w:val="single" w:color="auto" w:sz="4" w:space="0"/>
              <w:left w:val="single" w:color="auto" w:sz="4" w:space="0"/>
              <w:right w:val="single" w:color="auto" w:sz="6" w:space="0"/>
            </w:tcBorders>
            <w:vAlign w:val="center"/>
          </w:tcPr>
          <w:p>
            <w:pPr>
              <w:spacing w:line="34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0.014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392" w:type="dxa"/>
            <w:vMerge w:val="continue"/>
            <w:tcBorders>
              <w:left w:val="single" w:color="auto" w:sz="6" w:space="0"/>
              <w:bottom w:val="single" w:color="auto" w:sz="6" w:space="0"/>
              <w:right w:val="single" w:color="auto" w:sz="4" w:space="0"/>
            </w:tcBorders>
            <w:vAlign w:val="center"/>
          </w:tcPr>
          <w:p>
            <w:pPr>
              <w:jc w:val="center"/>
              <w:rPr>
                <w:color w:val="000000" w:themeColor="text1"/>
                <w:szCs w:val="21"/>
              </w:rPr>
            </w:pPr>
          </w:p>
        </w:tc>
        <w:tc>
          <w:tcPr>
            <w:tcW w:w="1167" w:type="dxa"/>
            <w:vMerge w:val="continue"/>
            <w:tcBorders>
              <w:left w:val="single" w:color="auto" w:sz="4" w:space="0"/>
              <w:right w:val="single" w:color="auto" w:sz="4" w:space="0"/>
            </w:tcBorders>
            <w:vAlign w:val="center"/>
          </w:tcPr>
          <w:p>
            <w:pPr>
              <w:jc w:val="center"/>
              <w:rPr>
                <w:color w:val="000000" w:themeColor="text1"/>
                <w:szCs w:val="21"/>
              </w:rPr>
            </w:pPr>
          </w:p>
        </w:tc>
        <w:tc>
          <w:tcPr>
            <w:tcW w:w="137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H</w:t>
            </w:r>
            <w:r>
              <w:rPr>
                <w:rFonts w:ascii="Times New Roman" w:hAnsi="Times New Roman" w:cs="Times New Roman"/>
                <w:color w:val="000000" w:themeColor="text1"/>
                <w:szCs w:val="21"/>
                <w:vertAlign w:val="subscript"/>
              </w:rPr>
              <w:t>2</w:t>
            </w:r>
            <w:r>
              <w:rPr>
                <w:rFonts w:ascii="Times New Roman" w:hAnsi="Times New Roman" w:cs="Times New Roman"/>
                <w:color w:val="000000" w:themeColor="text1"/>
                <w:szCs w:val="21"/>
              </w:rPr>
              <w:t>S</w:t>
            </w:r>
          </w:p>
        </w:tc>
        <w:tc>
          <w:tcPr>
            <w:tcW w:w="1197"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0.0</w:t>
            </w:r>
            <w:r>
              <w:rPr>
                <w:rFonts w:hint="eastAsia" w:ascii="Times New Roman" w:hAnsi="Times New Roman" w:eastAsia="宋体" w:cs="Times New Roman"/>
                <w:color w:val="000000" w:themeColor="text1"/>
                <w:szCs w:val="21"/>
              </w:rPr>
              <w:t>3</w:t>
            </w:r>
            <w:r>
              <w:rPr>
                <w:rFonts w:ascii="Times New Roman" w:hAnsi="Times New Roman" w:eastAsia="宋体" w:cs="Times New Roman"/>
                <w:color w:val="000000" w:themeColor="text1"/>
                <w:szCs w:val="21"/>
              </w:rPr>
              <w:t>mg/m</w:t>
            </w:r>
            <w:r>
              <w:rPr>
                <w:rFonts w:ascii="Times New Roman" w:hAnsi="Times New Roman" w:eastAsia="宋体" w:cs="Times New Roman"/>
                <w:color w:val="000000" w:themeColor="text1"/>
                <w:szCs w:val="21"/>
                <w:vertAlign w:val="superscript"/>
              </w:rPr>
              <w:t>3</w:t>
            </w:r>
          </w:p>
        </w:tc>
        <w:tc>
          <w:tcPr>
            <w:tcW w:w="1366"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hint="eastAsia" w:ascii="宋体" w:hAnsi="宋体" w:eastAsia="宋体" w:cs="Times New Roman"/>
                <w:color w:val="000000" w:themeColor="text1"/>
                <w:szCs w:val="21"/>
              </w:rPr>
              <w:t>＜</w:t>
            </w:r>
            <w:r>
              <w:rPr>
                <w:rFonts w:ascii="Times New Roman" w:hAnsi="Times New Roman" w:eastAsia="宋体" w:cs="Times New Roman"/>
                <w:color w:val="000000" w:themeColor="text1"/>
                <w:szCs w:val="21"/>
              </w:rPr>
              <w:t>0.0</w:t>
            </w:r>
            <w:r>
              <w:rPr>
                <w:rFonts w:hint="eastAsia" w:ascii="Times New Roman" w:hAnsi="Times New Roman" w:eastAsia="宋体" w:cs="Times New Roman"/>
                <w:color w:val="000000" w:themeColor="text1"/>
                <w:szCs w:val="21"/>
              </w:rPr>
              <w:t>3</w:t>
            </w:r>
            <w:r>
              <w:rPr>
                <w:rFonts w:ascii="Times New Roman" w:hAnsi="Times New Roman" w:eastAsia="宋体" w:cs="Times New Roman"/>
                <w:color w:val="000000" w:themeColor="text1"/>
                <w:szCs w:val="21"/>
              </w:rPr>
              <w:t>mg/m</w:t>
            </w:r>
            <w:r>
              <w:rPr>
                <w:rFonts w:ascii="Times New Roman" w:hAnsi="Times New Roman" w:eastAsia="宋体" w:cs="Times New Roman"/>
                <w:color w:val="000000" w:themeColor="text1"/>
                <w:szCs w:val="21"/>
                <w:vertAlign w:val="superscript"/>
              </w:rPr>
              <w:t>3</w:t>
            </w:r>
          </w:p>
        </w:tc>
        <w:tc>
          <w:tcPr>
            <w:tcW w:w="98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0.005</w:t>
            </w:r>
          </w:p>
        </w:tc>
        <w:tc>
          <w:tcPr>
            <w:tcW w:w="2308" w:type="dxa"/>
            <w:gridSpan w:val="2"/>
            <w:tcBorders>
              <w:top w:val="single" w:color="auto" w:sz="4" w:space="0"/>
              <w:left w:val="single" w:color="auto" w:sz="4" w:space="0"/>
              <w:right w:val="single" w:color="auto" w:sz="6" w:space="0"/>
            </w:tcBorders>
            <w:vAlign w:val="center"/>
          </w:tcPr>
          <w:p>
            <w:pPr>
              <w:spacing w:line="34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0.005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392" w:type="dxa"/>
            <w:vMerge w:val="continue"/>
            <w:tcBorders>
              <w:left w:val="single" w:color="auto" w:sz="6" w:space="0"/>
              <w:right w:val="single" w:color="auto" w:sz="4" w:space="0"/>
            </w:tcBorders>
            <w:vAlign w:val="center"/>
          </w:tcPr>
          <w:p>
            <w:pPr>
              <w:jc w:val="center"/>
              <w:rPr>
                <w:color w:val="000000" w:themeColor="text1"/>
                <w:szCs w:val="21"/>
              </w:rPr>
            </w:pPr>
          </w:p>
        </w:tc>
        <w:tc>
          <w:tcPr>
            <w:tcW w:w="1167" w:type="dxa"/>
            <w:tcBorders>
              <w:top w:val="single" w:color="auto" w:sz="6" w:space="0"/>
              <w:left w:val="single" w:color="auto" w:sz="4" w:space="0"/>
              <w:bottom w:val="single" w:color="auto" w:sz="6" w:space="0"/>
              <w:right w:val="single" w:color="auto" w:sz="6" w:space="0"/>
            </w:tcBorders>
            <w:vAlign w:val="center"/>
          </w:tcPr>
          <w:p>
            <w:pPr>
              <w:jc w:val="center"/>
              <w:rPr>
                <w:color w:val="000000" w:themeColor="text1"/>
                <w:szCs w:val="21"/>
              </w:rPr>
            </w:pPr>
            <w:r>
              <w:rPr>
                <w:color w:val="000000" w:themeColor="text1"/>
                <w:szCs w:val="21"/>
              </w:rPr>
              <w:t>执行标准</w:t>
            </w:r>
          </w:p>
        </w:tc>
        <w:tc>
          <w:tcPr>
            <w:tcW w:w="7226" w:type="dxa"/>
            <w:gridSpan w:val="8"/>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《恶臭污染物排放标准》（</w:t>
            </w:r>
            <w:r>
              <w:rPr>
                <w:rFonts w:ascii="Times New Roman" w:hAnsi="Times New Roman" w:cs="Times New Roman"/>
                <w:color w:val="000000" w:themeColor="text1"/>
                <w:szCs w:val="21"/>
              </w:rPr>
              <w:t>GB14554-93</w:t>
            </w:r>
            <w:r>
              <w:rPr>
                <w:rFonts w:hint="eastAsia" w:ascii="Times New Roman" w:hAnsi="Times New Roman" w:cs="Times New Roman"/>
                <w:color w:val="000000" w:themeColor="text1"/>
                <w:szCs w:val="21"/>
              </w:rPr>
              <w:t>）表</w:t>
            </w:r>
            <w:r>
              <w:rPr>
                <w:rFonts w:ascii="Times New Roman" w:hAnsi="Times New Roman" w:cs="Times New Roman"/>
                <w:color w:val="000000" w:themeColor="text1"/>
                <w:szCs w:val="21"/>
              </w:rPr>
              <w:t>2</w:t>
            </w:r>
            <w:r>
              <w:rPr>
                <w:rFonts w:hint="eastAsia" w:ascii="Times New Roman" w:hAnsi="Times New Roman" w:cs="Times New Roman"/>
                <w:color w:val="000000" w:themeColor="text1"/>
                <w:szCs w:val="21"/>
              </w:rPr>
              <w:t>污染物排放标准和</w:t>
            </w:r>
            <w:r>
              <w:rPr>
                <w:rFonts w:hint="eastAsia" w:ascii="Times New Roman" w:hAnsi="Times New Roman" w:eastAsia="宋体" w:cs="Times New Roman"/>
                <w:color w:val="000000" w:themeColor="text1"/>
                <w:szCs w:val="21"/>
              </w:rPr>
              <w:t>《医疗机构水污染物排放标准》（GB18466-2005）表3污水处理站周边大气污染物最高允许浓度</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392" w:type="dxa"/>
            <w:vMerge w:val="restart"/>
            <w:tcBorders>
              <w:left w:val="single" w:color="auto" w:sz="6" w:space="0"/>
              <w:right w:val="single" w:color="auto" w:sz="6" w:space="0"/>
            </w:tcBorders>
            <w:vAlign w:val="center"/>
          </w:tcPr>
          <w:p>
            <w:pPr>
              <w:jc w:val="center"/>
              <w:rPr>
                <w:color w:val="000000" w:themeColor="text1"/>
                <w:szCs w:val="21"/>
              </w:rPr>
            </w:pPr>
            <w:r>
              <w:rPr>
                <w:color w:val="000000" w:themeColor="text1"/>
                <w:szCs w:val="21"/>
              </w:rPr>
              <w:t>废水</w:t>
            </w:r>
          </w:p>
        </w:tc>
        <w:tc>
          <w:tcPr>
            <w:tcW w:w="1167" w:type="dxa"/>
            <w:vMerge w:val="restart"/>
            <w:tcBorders>
              <w:left w:val="nil"/>
              <w:right w:val="single" w:color="auto" w:sz="6" w:space="0"/>
            </w:tcBorders>
            <w:vAlign w:val="center"/>
          </w:tcPr>
          <w:p>
            <w:pPr>
              <w:jc w:val="center"/>
              <w:rPr>
                <w:color w:val="000000" w:themeColor="text1"/>
                <w:szCs w:val="21"/>
              </w:rPr>
            </w:pPr>
            <w:r>
              <w:rPr>
                <w:rFonts w:hint="eastAsia"/>
                <w:color w:val="000000" w:themeColor="text1"/>
                <w:szCs w:val="21"/>
              </w:rPr>
              <w:t>门诊废水、医疗器械清洗废水、职工生活污水、病房区生活污水、食堂废水</w:t>
            </w:r>
          </w:p>
        </w:tc>
        <w:tc>
          <w:tcPr>
            <w:tcW w:w="1445" w:type="dxa"/>
            <w:gridSpan w:val="2"/>
            <w:vMerge w:val="restart"/>
            <w:tcBorders>
              <w:top w:val="single" w:color="auto" w:sz="6" w:space="0"/>
              <w:left w:val="single" w:color="auto" w:sz="6" w:space="0"/>
              <w:right w:val="nil"/>
            </w:tcBorders>
            <w:vAlign w:val="center"/>
          </w:tcPr>
          <w:p>
            <w:pPr>
              <w:jc w:val="center"/>
              <w:rPr>
                <w:color w:val="000000" w:themeColor="text1"/>
                <w:szCs w:val="21"/>
              </w:rPr>
            </w:pPr>
            <w:r>
              <w:rPr>
                <w:color w:val="000000" w:themeColor="text1"/>
                <w:szCs w:val="21"/>
              </w:rPr>
              <w:t>类型</w:t>
            </w:r>
          </w:p>
        </w:tc>
        <w:tc>
          <w:tcPr>
            <w:tcW w:w="1125" w:type="dxa"/>
            <w:vMerge w:val="restart"/>
            <w:tcBorders>
              <w:top w:val="single" w:color="auto" w:sz="6" w:space="0"/>
              <w:left w:val="single" w:color="auto" w:sz="6" w:space="0"/>
              <w:right w:val="nil"/>
            </w:tcBorders>
            <w:vAlign w:val="center"/>
          </w:tcPr>
          <w:p>
            <w:pPr>
              <w:jc w:val="center"/>
              <w:rPr>
                <w:color w:val="000000" w:themeColor="text1"/>
                <w:szCs w:val="21"/>
              </w:rPr>
            </w:pPr>
            <w:r>
              <w:rPr>
                <w:rFonts w:hAnsi="宋体"/>
                <w:color w:val="000000" w:themeColor="text1"/>
                <w:szCs w:val="21"/>
              </w:rPr>
              <w:t>标准值（</w:t>
            </w:r>
            <w:r>
              <w:rPr>
                <w:color w:val="000000" w:themeColor="text1"/>
                <w:szCs w:val="21"/>
              </w:rPr>
              <w:t>mg/</w:t>
            </w:r>
            <w:r>
              <w:rPr>
                <w:rFonts w:hint="eastAsia"/>
                <w:color w:val="000000" w:themeColor="text1"/>
                <w:szCs w:val="21"/>
              </w:rPr>
              <w:t>L</w:t>
            </w:r>
            <w:r>
              <w:rPr>
                <w:rFonts w:hAnsi="宋体"/>
                <w:color w:val="000000" w:themeColor="text1"/>
                <w:szCs w:val="21"/>
              </w:rPr>
              <w:t>）</w:t>
            </w:r>
          </w:p>
        </w:tc>
        <w:tc>
          <w:tcPr>
            <w:tcW w:w="2414" w:type="dxa"/>
            <w:gridSpan w:val="4"/>
            <w:tcBorders>
              <w:top w:val="single" w:color="auto" w:sz="6" w:space="0"/>
              <w:left w:val="single" w:color="auto" w:sz="6" w:space="0"/>
              <w:bottom w:val="single" w:color="auto" w:sz="6" w:space="0"/>
              <w:right w:val="nil"/>
            </w:tcBorders>
            <w:vAlign w:val="center"/>
          </w:tcPr>
          <w:p>
            <w:pPr>
              <w:jc w:val="center"/>
              <w:rPr>
                <w:color w:val="000000" w:themeColor="text1"/>
                <w:szCs w:val="21"/>
              </w:rPr>
            </w:pPr>
            <w:r>
              <w:rPr>
                <w:rFonts w:hAnsi="宋体"/>
                <w:color w:val="000000" w:themeColor="text1"/>
                <w:szCs w:val="21"/>
              </w:rPr>
              <w:t>污染物预测值</w:t>
            </w:r>
          </w:p>
        </w:tc>
        <w:tc>
          <w:tcPr>
            <w:tcW w:w="2242"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rPr>
            </w:pPr>
            <w:r>
              <w:rPr>
                <w:rFonts w:hAnsi="宋体"/>
                <w:color w:val="000000" w:themeColor="text1"/>
                <w:szCs w:val="21"/>
              </w:rPr>
              <w:t>污染物总量控制指标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392" w:type="dxa"/>
            <w:vMerge w:val="continue"/>
            <w:tcBorders>
              <w:left w:val="single" w:color="auto" w:sz="6" w:space="0"/>
              <w:right w:val="single" w:color="auto" w:sz="6" w:space="0"/>
            </w:tcBorders>
            <w:vAlign w:val="center"/>
          </w:tcPr>
          <w:p>
            <w:pPr>
              <w:jc w:val="center"/>
              <w:rPr>
                <w:color w:val="000000" w:themeColor="text1"/>
                <w:szCs w:val="21"/>
              </w:rPr>
            </w:pPr>
          </w:p>
        </w:tc>
        <w:tc>
          <w:tcPr>
            <w:tcW w:w="1167" w:type="dxa"/>
            <w:vMerge w:val="continue"/>
            <w:tcBorders>
              <w:left w:val="nil"/>
              <w:right w:val="single" w:color="auto" w:sz="6" w:space="0"/>
            </w:tcBorders>
            <w:vAlign w:val="center"/>
          </w:tcPr>
          <w:p>
            <w:pPr>
              <w:jc w:val="center"/>
              <w:rPr>
                <w:color w:val="000000" w:themeColor="text1"/>
                <w:szCs w:val="21"/>
              </w:rPr>
            </w:pPr>
          </w:p>
        </w:tc>
        <w:tc>
          <w:tcPr>
            <w:tcW w:w="1445" w:type="dxa"/>
            <w:gridSpan w:val="2"/>
            <w:vMerge w:val="continue"/>
            <w:tcBorders>
              <w:left w:val="single" w:color="auto" w:sz="6" w:space="0"/>
              <w:bottom w:val="single" w:color="auto" w:sz="6" w:space="0"/>
              <w:right w:val="nil"/>
            </w:tcBorders>
            <w:vAlign w:val="center"/>
          </w:tcPr>
          <w:p>
            <w:pPr>
              <w:jc w:val="center"/>
              <w:rPr>
                <w:color w:val="000000" w:themeColor="text1"/>
                <w:szCs w:val="21"/>
              </w:rPr>
            </w:pPr>
          </w:p>
        </w:tc>
        <w:tc>
          <w:tcPr>
            <w:tcW w:w="1125" w:type="dxa"/>
            <w:vMerge w:val="continue"/>
            <w:tcBorders>
              <w:left w:val="single" w:color="auto" w:sz="6" w:space="0"/>
              <w:bottom w:val="single" w:color="auto" w:sz="6" w:space="0"/>
              <w:right w:val="nil"/>
            </w:tcBorders>
            <w:vAlign w:val="center"/>
          </w:tcPr>
          <w:p>
            <w:pPr>
              <w:jc w:val="center"/>
              <w:rPr>
                <w:color w:val="000000" w:themeColor="text1"/>
                <w:szCs w:val="21"/>
              </w:rPr>
            </w:pPr>
          </w:p>
        </w:tc>
        <w:tc>
          <w:tcPr>
            <w:tcW w:w="1280" w:type="dxa"/>
            <w:tcBorders>
              <w:top w:val="single" w:color="auto" w:sz="6" w:space="0"/>
              <w:left w:val="single" w:color="auto" w:sz="6" w:space="0"/>
              <w:bottom w:val="single" w:color="auto" w:sz="6" w:space="0"/>
              <w:right w:val="nil"/>
            </w:tcBorders>
            <w:vAlign w:val="center"/>
          </w:tcPr>
          <w:p>
            <w:pPr>
              <w:jc w:val="center"/>
              <w:rPr>
                <w:color w:val="000000" w:themeColor="text1"/>
                <w:szCs w:val="21"/>
              </w:rPr>
            </w:pPr>
            <w:r>
              <w:rPr>
                <w:rFonts w:hAnsi="宋体"/>
                <w:color w:val="000000" w:themeColor="text1"/>
                <w:szCs w:val="21"/>
              </w:rPr>
              <w:t>排放浓度（</w:t>
            </w:r>
            <w:r>
              <w:rPr>
                <w:color w:val="000000" w:themeColor="text1"/>
                <w:szCs w:val="21"/>
              </w:rPr>
              <w:t>mg/</w:t>
            </w:r>
            <w:r>
              <w:rPr>
                <w:rFonts w:hint="eastAsia"/>
                <w:color w:val="000000" w:themeColor="text1"/>
                <w:szCs w:val="21"/>
              </w:rPr>
              <w:t>L</w:t>
            </w:r>
            <w:r>
              <w:rPr>
                <w:rFonts w:hAnsi="宋体"/>
                <w:color w:val="000000" w:themeColor="text1"/>
                <w:szCs w:val="21"/>
              </w:rPr>
              <w:t>）</w:t>
            </w:r>
          </w:p>
        </w:tc>
        <w:tc>
          <w:tcPr>
            <w:tcW w:w="1134" w:type="dxa"/>
            <w:gridSpan w:val="3"/>
            <w:tcBorders>
              <w:top w:val="single" w:color="auto" w:sz="6" w:space="0"/>
              <w:left w:val="single" w:color="auto" w:sz="6" w:space="0"/>
              <w:bottom w:val="single" w:color="auto" w:sz="6" w:space="0"/>
              <w:right w:val="nil"/>
            </w:tcBorders>
            <w:vAlign w:val="center"/>
          </w:tcPr>
          <w:p>
            <w:pPr>
              <w:jc w:val="center"/>
              <w:rPr>
                <w:color w:val="000000" w:themeColor="text1"/>
                <w:szCs w:val="21"/>
              </w:rPr>
            </w:pPr>
            <w:r>
              <w:rPr>
                <w:rFonts w:hAnsi="宋体"/>
                <w:color w:val="000000" w:themeColor="text1"/>
                <w:szCs w:val="21"/>
              </w:rPr>
              <w:t>排放量（</w:t>
            </w:r>
            <w:r>
              <w:rPr>
                <w:color w:val="000000" w:themeColor="text1"/>
                <w:szCs w:val="21"/>
              </w:rPr>
              <w:t>t/a</w:t>
            </w:r>
            <w:r>
              <w:rPr>
                <w:rFonts w:hAnsi="宋体"/>
                <w:color w:val="000000" w:themeColor="text1"/>
                <w:szCs w:val="21"/>
              </w:rPr>
              <w:t>）</w:t>
            </w:r>
          </w:p>
        </w:tc>
        <w:tc>
          <w:tcPr>
            <w:tcW w:w="2242" w:type="dxa"/>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rPr>
            </w:pPr>
            <w:r>
              <w:rPr>
                <w:rFonts w:hAnsi="宋体"/>
                <w:color w:val="000000" w:themeColor="text1"/>
                <w:szCs w:val="21"/>
              </w:rPr>
              <w:t>排放总量（</w:t>
            </w:r>
            <w:r>
              <w:rPr>
                <w:color w:val="000000" w:themeColor="text1"/>
                <w:szCs w:val="21"/>
              </w:rPr>
              <w:t>t/a</w:t>
            </w:r>
            <w:r>
              <w:rPr>
                <w:rFonts w:hAnsi="宋体"/>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392" w:type="dxa"/>
            <w:vMerge w:val="continue"/>
            <w:tcBorders>
              <w:left w:val="single" w:color="auto" w:sz="6" w:space="0"/>
              <w:right w:val="single" w:color="auto" w:sz="6" w:space="0"/>
            </w:tcBorders>
            <w:vAlign w:val="center"/>
          </w:tcPr>
          <w:p>
            <w:pPr>
              <w:jc w:val="center"/>
              <w:rPr>
                <w:color w:val="000000" w:themeColor="text1"/>
                <w:szCs w:val="21"/>
              </w:rPr>
            </w:pPr>
          </w:p>
        </w:tc>
        <w:tc>
          <w:tcPr>
            <w:tcW w:w="1167" w:type="dxa"/>
            <w:vMerge w:val="continue"/>
            <w:tcBorders>
              <w:left w:val="nil"/>
              <w:right w:val="single" w:color="auto" w:sz="6" w:space="0"/>
            </w:tcBorders>
            <w:vAlign w:val="center"/>
          </w:tcPr>
          <w:p>
            <w:pPr>
              <w:jc w:val="center"/>
              <w:rPr>
                <w:color w:val="000000" w:themeColor="text1"/>
                <w:szCs w:val="21"/>
              </w:rPr>
            </w:pPr>
          </w:p>
        </w:tc>
        <w:tc>
          <w:tcPr>
            <w:tcW w:w="1445" w:type="dxa"/>
            <w:gridSpan w:val="2"/>
            <w:tcBorders>
              <w:top w:val="single" w:color="auto" w:sz="6" w:space="0"/>
              <w:left w:val="single" w:color="auto" w:sz="6" w:space="0"/>
              <w:bottom w:val="single" w:color="auto" w:sz="6" w:space="0"/>
              <w:right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COD</w:t>
            </w:r>
          </w:p>
        </w:tc>
        <w:tc>
          <w:tcPr>
            <w:tcW w:w="1125" w:type="dxa"/>
            <w:tcBorders>
              <w:top w:val="single" w:color="auto" w:sz="6" w:space="0"/>
              <w:left w:val="single" w:color="auto" w:sz="6" w:space="0"/>
              <w:bottom w:val="single" w:color="auto" w:sz="6" w:space="0"/>
              <w:right w:val="nil"/>
            </w:tcBorders>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250</w:t>
            </w:r>
          </w:p>
        </w:tc>
        <w:tc>
          <w:tcPr>
            <w:tcW w:w="1280" w:type="dxa"/>
            <w:tcBorders>
              <w:top w:val="single" w:color="auto" w:sz="6" w:space="0"/>
              <w:left w:val="single" w:color="auto" w:sz="6" w:space="0"/>
              <w:bottom w:val="single" w:color="auto" w:sz="6" w:space="0"/>
              <w:right w:val="nil"/>
            </w:tcBorders>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200</w:t>
            </w:r>
          </w:p>
        </w:tc>
        <w:tc>
          <w:tcPr>
            <w:tcW w:w="1134" w:type="dxa"/>
            <w:gridSpan w:val="3"/>
            <w:tcBorders>
              <w:top w:val="single" w:color="auto" w:sz="6" w:space="0"/>
              <w:left w:val="single" w:color="auto" w:sz="6" w:space="0"/>
              <w:bottom w:val="single" w:color="auto" w:sz="6" w:space="0"/>
              <w:right w:val="nil"/>
            </w:tcBorders>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28.885</w:t>
            </w:r>
          </w:p>
        </w:tc>
        <w:tc>
          <w:tcPr>
            <w:tcW w:w="2242"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28.885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392" w:type="dxa"/>
            <w:vMerge w:val="continue"/>
            <w:tcBorders>
              <w:left w:val="single" w:color="auto" w:sz="6" w:space="0"/>
              <w:right w:val="single" w:color="auto" w:sz="6" w:space="0"/>
            </w:tcBorders>
            <w:vAlign w:val="center"/>
          </w:tcPr>
          <w:p>
            <w:pPr>
              <w:jc w:val="center"/>
              <w:rPr>
                <w:color w:val="000000" w:themeColor="text1"/>
                <w:szCs w:val="21"/>
              </w:rPr>
            </w:pPr>
          </w:p>
        </w:tc>
        <w:tc>
          <w:tcPr>
            <w:tcW w:w="1167" w:type="dxa"/>
            <w:vMerge w:val="continue"/>
            <w:tcBorders>
              <w:left w:val="nil"/>
              <w:right w:val="single" w:color="auto" w:sz="6" w:space="0"/>
            </w:tcBorders>
            <w:vAlign w:val="center"/>
          </w:tcPr>
          <w:p>
            <w:pPr>
              <w:jc w:val="center"/>
              <w:rPr>
                <w:color w:val="000000" w:themeColor="text1"/>
                <w:szCs w:val="21"/>
              </w:rPr>
            </w:pPr>
          </w:p>
        </w:tc>
        <w:tc>
          <w:tcPr>
            <w:tcW w:w="1445" w:type="dxa"/>
            <w:gridSpan w:val="2"/>
            <w:tcBorders>
              <w:top w:val="single" w:color="auto" w:sz="6" w:space="0"/>
              <w:left w:val="single" w:color="auto" w:sz="6" w:space="0"/>
              <w:bottom w:val="single" w:color="auto" w:sz="6" w:space="0"/>
              <w:right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NH</w:t>
            </w:r>
            <w:r>
              <w:rPr>
                <w:rFonts w:ascii="Times New Roman" w:hAnsi="Times New Roman" w:cs="Times New Roman"/>
                <w:color w:val="000000" w:themeColor="text1"/>
                <w:szCs w:val="21"/>
                <w:vertAlign w:val="subscript"/>
              </w:rPr>
              <w:t>3</w:t>
            </w:r>
            <w:r>
              <w:rPr>
                <w:rFonts w:ascii="Times New Roman" w:hAnsi="Times New Roman" w:cs="Times New Roman"/>
                <w:color w:val="000000" w:themeColor="text1"/>
                <w:szCs w:val="21"/>
              </w:rPr>
              <w:t>-N</w:t>
            </w:r>
          </w:p>
        </w:tc>
        <w:tc>
          <w:tcPr>
            <w:tcW w:w="1125" w:type="dxa"/>
            <w:tcBorders>
              <w:top w:val="single" w:color="auto" w:sz="6" w:space="0"/>
              <w:left w:val="single" w:color="auto" w:sz="6" w:space="0"/>
              <w:bottom w:val="single" w:color="auto" w:sz="6" w:space="0"/>
              <w:right w:val="nil"/>
            </w:tcBorders>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35</w:t>
            </w:r>
          </w:p>
        </w:tc>
        <w:tc>
          <w:tcPr>
            <w:tcW w:w="1280" w:type="dxa"/>
            <w:tcBorders>
              <w:top w:val="single" w:color="auto" w:sz="6" w:space="0"/>
              <w:left w:val="single" w:color="auto" w:sz="6" w:space="0"/>
              <w:bottom w:val="single" w:color="auto" w:sz="6" w:space="0"/>
              <w:right w:val="nil"/>
            </w:tcBorders>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20</w:t>
            </w:r>
          </w:p>
        </w:tc>
        <w:tc>
          <w:tcPr>
            <w:tcW w:w="1134" w:type="dxa"/>
            <w:gridSpan w:val="3"/>
            <w:tcBorders>
              <w:top w:val="single" w:color="auto" w:sz="6" w:space="0"/>
              <w:left w:val="single" w:color="auto" w:sz="6" w:space="0"/>
              <w:bottom w:val="single" w:color="auto" w:sz="6" w:space="0"/>
              <w:right w:val="nil"/>
            </w:tcBorders>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2.889</w:t>
            </w:r>
          </w:p>
        </w:tc>
        <w:tc>
          <w:tcPr>
            <w:tcW w:w="2242"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2.889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392" w:type="dxa"/>
            <w:vMerge w:val="continue"/>
            <w:tcBorders>
              <w:left w:val="single" w:color="auto" w:sz="6" w:space="0"/>
              <w:right w:val="single" w:color="auto" w:sz="6" w:space="0"/>
            </w:tcBorders>
            <w:vAlign w:val="center"/>
          </w:tcPr>
          <w:p>
            <w:pPr>
              <w:jc w:val="center"/>
              <w:rPr>
                <w:color w:val="000000" w:themeColor="text1"/>
                <w:szCs w:val="21"/>
              </w:rPr>
            </w:pPr>
          </w:p>
        </w:tc>
        <w:tc>
          <w:tcPr>
            <w:tcW w:w="1167" w:type="dxa"/>
            <w:vMerge w:val="continue"/>
            <w:tcBorders>
              <w:left w:val="nil"/>
              <w:right w:val="single" w:color="auto" w:sz="6" w:space="0"/>
            </w:tcBorders>
            <w:vAlign w:val="center"/>
          </w:tcPr>
          <w:p>
            <w:pPr>
              <w:jc w:val="center"/>
              <w:rPr>
                <w:color w:val="000000" w:themeColor="text1"/>
                <w:szCs w:val="21"/>
              </w:rPr>
            </w:pPr>
          </w:p>
        </w:tc>
        <w:tc>
          <w:tcPr>
            <w:tcW w:w="1445" w:type="dxa"/>
            <w:gridSpan w:val="2"/>
            <w:tcBorders>
              <w:top w:val="single" w:color="auto" w:sz="6" w:space="0"/>
              <w:left w:val="single" w:color="auto" w:sz="6" w:space="0"/>
              <w:bottom w:val="single" w:color="auto" w:sz="6" w:space="0"/>
              <w:right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TN</w:t>
            </w:r>
          </w:p>
        </w:tc>
        <w:tc>
          <w:tcPr>
            <w:tcW w:w="1125" w:type="dxa"/>
            <w:tcBorders>
              <w:top w:val="single" w:color="auto" w:sz="6" w:space="0"/>
              <w:left w:val="single" w:color="auto" w:sz="6" w:space="0"/>
              <w:bottom w:val="single" w:color="auto" w:sz="6" w:space="0"/>
              <w:right w:val="nil"/>
            </w:tcBorders>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70</w:t>
            </w:r>
          </w:p>
        </w:tc>
        <w:tc>
          <w:tcPr>
            <w:tcW w:w="1280" w:type="dxa"/>
            <w:tcBorders>
              <w:top w:val="single" w:color="auto" w:sz="6" w:space="0"/>
              <w:left w:val="single" w:color="auto" w:sz="6" w:space="0"/>
              <w:bottom w:val="single" w:color="auto" w:sz="6" w:space="0"/>
              <w:right w:val="nil"/>
            </w:tcBorders>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20</w:t>
            </w:r>
          </w:p>
        </w:tc>
        <w:tc>
          <w:tcPr>
            <w:tcW w:w="1134" w:type="dxa"/>
            <w:gridSpan w:val="3"/>
            <w:tcBorders>
              <w:top w:val="single" w:color="auto" w:sz="6" w:space="0"/>
              <w:left w:val="single" w:color="auto" w:sz="6" w:space="0"/>
              <w:bottom w:val="single" w:color="auto" w:sz="6" w:space="0"/>
              <w:right w:val="nil"/>
            </w:tcBorders>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4.333</w:t>
            </w:r>
          </w:p>
        </w:tc>
        <w:tc>
          <w:tcPr>
            <w:tcW w:w="2242"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4.333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392" w:type="dxa"/>
            <w:vMerge w:val="continue"/>
            <w:tcBorders>
              <w:left w:val="single" w:color="auto" w:sz="6" w:space="0"/>
              <w:right w:val="single" w:color="auto" w:sz="6" w:space="0"/>
            </w:tcBorders>
            <w:vAlign w:val="center"/>
          </w:tcPr>
          <w:p>
            <w:pPr>
              <w:jc w:val="center"/>
              <w:rPr>
                <w:color w:val="000000" w:themeColor="text1"/>
                <w:szCs w:val="21"/>
              </w:rPr>
            </w:pPr>
          </w:p>
        </w:tc>
        <w:tc>
          <w:tcPr>
            <w:tcW w:w="1167" w:type="dxa"/>
            <w:vMerge w:val="continue"/>
            <w:tcBorders>
              <w:left w:val="nil"/>
              <w:right w:val="single" w:color="auto" w:sz="6" w:space="0"/>
            </w:tcBorders>
            <w:vAlign w:val="center"/>
          </w:tcPr>
          <w:p>
            <w:pPr>
              <w:jc w:val="center"/>
              <w:rPr>
                <w:color w:val="000000" w:themeColor="text1"/>
                <w:szCs w:val="21"/>
              </w:rPr>
            </w:pPr>
          </w:p>
        </w:tc>
        <w:tc>
          <w:tcPr>
            <w:tcW w:w="1445" w:type="dxa"/>
            <w:gridSpan w:val="2"/>
            <w:tcBorders>
              <w:top w:val="single" w:color="auto" w:sz="6" w:space="0"/>
              <w:left w:val="single" w:color="auto" w:sz="6" w:space="0"/>
              <w:bottom w:val="single" w:color="auto" w:sz="6" w:space="0"/>
              <w:right w:val="nil"/>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TP</w:t>
            </w:r>
          </w:p>
        </w:tc>
        <w:tc>
          <w:tcPr>
            <w:tcW w:w="1125" w:type="dxa"/>
            <w:tcBorders>
              <w:top w:val="single" w:color="auto" w:sz="6" w:space="0"/>
              <w:left w:val="single" w:color="auto" w:sz="6" w:space="0"/>
              <w:bottom w:val="single" w:color="auto" w:sz="6" w:space="0"/>
              <w:right w:val="nil"/>
            </w:tcBorders>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7.0</w:t>
            </w:r>
          </w:p>
        </w:tc>
        <w:tc>
          <w:tcPr>
            <w:tcW w:w="1280" w:type="dxa"/>
            <w:tcBorders>
              <w:top w:val="single" w:color="auto" w:sz="6" w:space="0"/>
              <w:left w:val="single" w:color="auto" w:sz="6" w:space="0"/>
              <w:bottom w:val="single" w:color="auto" w:sz="6" w:space="0"/>
              <w:right w:val="nil"/>
            </w:tcBorders>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5.0</w:t>
            </w:r>
          </w:p>
        </w:tc>
        <w:tc>
          <w:tcPr>
            <w:tcW w:w="1134" w:type="dxa"/>
            <w:gridSpan w:val="3"/>
            <w:tcBorders>
              <w:top w:val="single" w:color="auto" w:sz="6" w:space="0"/>
              <w:left w:val="single" w:color="auto" w:sz="6" w:space="0"/>
              <w:bottom w:val="single" w:color="auto" w:sz="6" w:space="0"/>
              <w:right w:val="nil"/>
            </w:tcBorders>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0.722</w:t>
            </w:r>
          </w:p>
        </w:tc>
        <w:tc>
          <w:tcPr>
            <w:tcW w:w="2242"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0.722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392" w:type="dxa"/>
            <w:vMerge w:val="continue"/>
            <w:tcBorders>
              <w:left w:val="single" w:color="auto" w:sz="6" w:space="0"/>
              <w:right w:val="single" w:color="auto" w:sz="6" w:space="0"/>
            </w:tcBorders>
            <w:vAlign w:val="center"/>
          </w:tcPr>
          <w:p>
            <w:pPr>
              <w:jc w:val="center"/>
              <w:rPr>
                <w:color w:val="000000" w:themeColor="text1"/>
                <w:szCs w:val="21"/>
              </w:rPr>
            </w:pPr>
          </w:p>
        </w:tc>
        <w:tc>
          <w:tcPr>
            <w:tcW w:w="1167" w:type="dxa"/>
            <w:tcBorders>
              <w:left w:val="nil"/>
              <w:right w:val="single" w:color="auto" w:sz="6" w:space="0"/>
            </w:tcBorders>
            <w:vAlign w:val="center"/>
          </w:tcPr>
          <w:p>
            <w:pPr>
              <w:jc w:val="center"/>
              <w:rPr>
                <w:color w:val="000000" w:themeColor="text1"/>
                <w:szCs w:val="21"/>
              </w:rPr>
            </w:pPr>
            <w:r>
              <w:rPr>
                <w:color w:val="000000" w:themeColor="text1"/>
                <w:szCs w:val="21"/>
              </w:rPr>
              <w:t>执行标准</w:t>
            </w:r>
          </w:p>
        </w:tc>
        <w:tc>
          <w:tcPr>
            <w:tcW w:w="7226" w:type="dxa"/>
            <w:gridSpan w:val="8"/>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color w:val="000000" w:themeColor="text1"/>
                <w:szCs w:val="21"/>
              </w:rPr>
            </w:pPr>
            <w:r>
              <w:rPr>
                <w:rFonts w:hint="eastAsia" w:ascii="Times New Roman" w:cs="Times New Roman" w:hAnsiTheme="minorEastAsia"/>
                <w:color w:val="000000" w:themeColor="text1"/>
                <w:szCs w:val="21"/>
              </w:rPr>
              <w:t>《医疗机构水污染物排放标准》（GB18466-2005）表2预处理标准，同时满足银定庄污水处理厂进水水质要求</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392" w:type="dxa"/>
            <w:vMerge w:val="restart"/>
            <w:tcBorders>
              <w:left w:val="single" w:color="auto" w:sz="6" w:space="0"/>
              <w:right w:val="single" w:color="auto" w:sz="4" w:space="0"/>
            </w:tcBorders>
            <w:vAlign w:val="center"/>
          </w:tcPr>
          <w:p>
            <w:pPr>
              <w:jc w:val="center"/>
              <w:rPr>
                <w:color w:val="000000" w:themeColor="text1"/>
                <w:szCs w:val="21"/>
              </w:rPr>
            </w:pPr>
            <w:r>
              <w:rPr>
                <w:color w:val="000000" w:themeColor="text1"/>
                <w:szCs w:val="21"/>
              </w:rPr>
              <w:t>噪声</w:t>
            </w:r>
          </w:p>
        </w:tc>
        <w:tc>
          <w:tcPr>
            <w:tcW w:w="1167" w:type="dxa"/>
            <w:tcBorders>
              <w:top w:val="single" w:color="auto" w:sz="6" w:space="0"/>
              <w:left w:val="single" w:color="auto" w:sz="4" w:space="0"/>
              <w:bottom w:val="single" w:color="auto" w:sz="6" w:space="0"/>
              <w:right w:val="single" w:color="auto" w:sz="6" w:space="0"/>
            </w:tcBorders>
            <w:vAlign w:val="center"/>
          </w:tcPr>
          <w:p>
            <w:pPr>
              <w:jc w:val="center"/>
              <w:rPr>
                <w:color w:val="000000" w:themeColor="text1"/>
                <w:szCs w:val="21"/>
              </w:rPr>
            </w:pPr>
            <w:r>
              <w:rPr>
                <w:color w:val="000000" w:themeColor="text1"/>
                <w:szCs w:val="21"/>
              </w:rPr>
              <w:t>防治措施</w:t>
            </w:r>
          </w:p>
        </w:tc>
        <w:tc>
          <w:tcPr>
            <w:tcW w:w="7226" w:type="dxa"/>
            <w:gridSpan w:val="8"/>
            <w:tcBorders>
              <w:top w:val="single" w:color="auto" w:sz="6" w:space="0"/>
              <w:left w:val="single" w:color="auto" w:sz="6" w:space="0"/>
              <w:bottom w:val="single" w:color="auto" w:sz="6" w:space="0"/>
              <w:right w:val="single" w:color="auto" w:sz="6" w:space="0"/>
            </w:tcBorders>
            <w:vAlign w:val="center"/>
          </w:tcPr>
          <w:p>
            <w:pPr>
              <w:jc w:val="center"/>
              <w:rPr>
                <w:color w:val="000000" w:themeColor="text1"/>
                <w:szCs w:val="21"/>
              </w:rPr>
            </w:pPr>
            <w:r>
              <w:rPr>
                <w:color w:val="000000" w:themeColor="text1"/>
                <w:szCs w:val="21"/>
              </w:rPr>
              <w:t>优先选用低噪声设备，</w:t>
            </w:r>
            <w:r>
              <w:rPr>
                <w:rFonts w:hint="eastAsia"/>
                <w:color w:val="000000" w:themeColor="text1"/>
                <w:szCs w:val="21"/>
              </w:rPr>
              <w:t>厂房隔声</w:t>
            </w:r>
            <w:r>
              <w:rPr>
                <w:color w:val="000000" w:themeColor="text1"/>
                <w:szCs w:val="21"/>
              </w:rPr>
              <w:t>，风机进出口软连接</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392" w:type="dxa"/>
            <w:vMerge w:val="continue"/>
            <w:tcBorders>
              <w:left w:val="single" w:color="auto" w:sz="6" w:space="0"/>
              <w:right w:val="single" w:color="auto" w:sz="4" w:space="0"/>
            </w:tcBorders>
            <w:vAlign w:val="center"/>
          </w:tcPr>
          <w:p>
            <w:pPr>
              <w:jc w:val="center"/>
              <w:rPr>
                <w:color w:val="000000" w:themeColor="text1"/>
                <w:szCs w:val="21"/>
              </w:rPr>
            </w:pPr>
          </w:p>
        </w:tc>
        <w:tc>
          <w:tcPr>
            <w:tcW w:w="1167" w:type="dxa"/>
            <w:tcBorders>
              <w:top w:val="single" w:color="auto" w:sz="6" w:space="0"/>
              <w:left w:val="single" w:color="auto" w:sz="4" w:space="0"/>
              <w:bottom w:val="single" w:color="auto" w:sz="6" w:space="0"/>
              <w:right w:val="single" w:color="auto" w:sz="6" w:space="0"/>
            </w:tcBorders>
            <w:vAlign w:val="center"/>
          </w:tcPr>
          <w:p>
            <w:pPr>
              <w:jc w:val="center"/>
              <w:rPr>
                <w:color w:val="000000" w:themeColor="text1"/>
                <w:szCs w:val="21"/>
              </w:rPr>
            </w:pPr>
            <w:r>
              <w:rPr>
                <w:color w:val="000000" w:themeColor="text1"/>
                <w:szCs w:val="21"/>
              </w:rPr>
              <w:t>执行标准</w:t>
            </w:r>
          </w:p>
        </w:tc>
        <w:tc>
          <w:tcPr>
            <w:tcW w:w="7226" w:type="dxa"/>
            <w:gridSpan w:val="8"/>
            <w:tcBorders>
              <w:top w:val="single" w:color="auto" w:sz="6" w:space="0"/>
              <w:left w:val="single" w:color="auto" w:sz="6" w:space="0"/>
              <w:bottom w:val="single" w:color="auto" w:sz="6" w:space="0"/>
              <w:right w:val="single" w:color="auto" w:sz="6" w:space="0"/>
            </w:tcBorders>
            <w:vAlign w:val="center"/>
          </w:tcPr>
          <w:p>
            <w:pPr>
              <w:jc w:val="center"/>
              <w:rPr>
                <w:rFonts w:ascii="Times New Roman" w:cs="Times New Roman"/>
                <w:color w:val="000000" w:themeColor="text1"/>
                <w:szCs w:val="21"/>
              </w:rPr>
            </w:pPr>
            <w:r>
              <w:rPr>
                <w:rFonts w:hint="eastAsia" w:ascii="Times New Roman" w:cs="Times New Roman"/>
                <w:color w:val="000000" w:themeColor="text1"/>
                <w:szCs w:val="21"/>
              </w:rPr>
              <w:t>北</w:t>
            </w:r>
            <w:r>
              <w:rPr>
                <w:rFonts w:ascii="Times New Roman" w:cs="Times New Roman"/>
                <w:color w:val="000000" w:themeColor="text1"/>
                <w:szCs w:val="21"/>
              </w:rPr>
              <w:t>边界噪声</w:t>
            </w:r>
            <w:r>
              <w:rPr>
                <w:rFonts w:hint="eastAsia" w:ascii="Times New Roman" w:cs="Times New Roman"/>
                <w:color w:val="000000" w:themeColor="text1"/>
                <w:szCs w:val="21"/>
              </w:rPr>
              <w:t>执行</w:t>
            </w:r>
            <w:r>
              <w:rPr>
                <w:rFonts w:ascii="Times New Roman" w:cs="Times New Roman"/>
                <w:color w:val="000000" w:themeColor="text1"/>
                <w:szCs w:val="21"/>
              </w:rPr>
              <w:t>《工业企业厂界环境噪声排放标准》</w:t>
            </w:r>
            <w:r>
              <w:rPr>
                <w:rFonts w:hint="eastAsia" w:ascii="Times New Roman" w:cs="Times New Roman"/>
                <w:color w:val="000000" w:themeColor="text1"/>
                <w:szCs w:val="21"/>
              </w:rPr>
              <w:t>（</w:t>
            </w:r>
            <w:r>
              <w:rPr>
                <w:rFonts w:ascii="Times New Roman" w:cs="Times New Roman"/>
                <w:color w:val="000000" w:themeColor="text1"/>
                <w:szCs w:val="21"/>
              </w:rPr>
              <w:t>GB12348-2008）</w:t>
            </w:r>
            <w:r>
              <w:rPr>
                <w:rFonts w:hint="eastAsia" w:ascii="Times New Roman" w:cs="Times New Roman"/>
                <w:color w:val="000000" w:themeColor="text1"/>
                <w:szCs w:val="21"/>
              </w:rPr>
              <w:t>4类标准，其它边界执行</w:t>
            </w:r>
            <w:r>
              <w:rPr>
                <w:rFonts w:ascii="Times New Roman" w:cs="Times New Roman"/>
                <w:color w:val="000000" w:themeColor="text1"/>
                <w:szCs w:val="21"/>
              </w:rPr>
              <w:t>《工业企业厂界环境噪声排放标准》</w:t>
            </w:r>
            <w:r>
              <w:rPr>
                <w:rFonts w:hint="eastAsia" w:ascii="Times New Roman" w:cs="Times New Roman"/>
                <w:color w:val="000000" w:themeColor="text1"/>
                <w:szCs w:val="21"/>
              </w:rPr>
              <w:t>（</w:t>
            </w:r>
            <w:r>
              <w:rPr>
                <w:rFonts w:ascii="Times New Roman" w:cs="Times New Roman"/>
                <w:color w:val="000000" w:themeColor="text1"/>
                <w:szCs w:val="21"/>
              </w:rPr>
              <w:t>GB12348-2008）</w:t>
            </w:r>
            <w:r>
              <w:rPr>
                <w:rFonts w:hint="eastAsia" w:ascii="Times New Roman" w:cs="Times New Roman"/>
                <w:color w:val="000000" w:themeColor="text1"/>
                <w:szCs w:val="21"/>
              </w:rPr>
              <w:t>1类标准</w:t>
            </w:r>
            <w:r>
              <w:rPr>
                <w:rFonts w:ascii="Times New Roman" w:cs="Times New Roman"/>
                <w:color w:val="000000" w:themeColor="text1"/>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559" w:type="dxa"/>
            <w:gridSpan w:val="2"/>
            <w:tcBorders>
              <w:left w:val="single" w:color="auto" w:sz="6" w:space="0"/>
              <w:right w:val="single" w:color="auto" w:sz="6" w:space="0"/>
            </w:tcBorders>
            <w:vAlign w:val="center"/>
          </w:tcPr>
          <w:p>
            <w:pPr>
              <w:jc w:val="center"/>
              <w:rPr>
                <w:color w:val="000000" w:themeColor="text1"/>
                <w:szCs w:val="21"/>
              </w:rPr>
            </w:pPr>
            <w:r>
              <w:rPr>
                <w:color w:val="000000" w:themeColor="text1"/>
                <w:szCs w:val="21"/>
              </w:rPr>
              <w:t>固废</w:t>
            </w:r>
          </w:p>
        </w:tc>
        <w:tc>
          <w:tcPr>
            <w:tcW w:w="7226" w:type="dxa"/>
            <w:gridSpan w:val="8"/>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医疗机构水污染物排放标准》（GB18466-2005）表4医疗机构污泥控制标准；《危险废物贮存污染控制标准》（GB18597-2001）及其修改单和《医疗废物集中处置技术规范（试行）》（环发[2003]206号）中相关规定执行；《一般工业固体废物贮存、处置场污染控制标准》(GB18599-2001）标准及其修改单要求。</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559" w:type="dxa"/>
            <w:gridSpan w:val="2"/>
            <w:tcBorders>
              <w:left w:val="single" w:color="auto" w:sz="6" w:space="0"/>
              <w:right w:val="single" w:color="auto" w:sz="6" w:space="0"/>
            </w:tcBorders>
            <w:vAlign w:val="center"/>
          </w:tcPr>
          <w:p>
            <w:pPr>
              <w:jc w:val="center"/>
              <w:rPr>
                <w:color w:val="000000" w:themeColor="text1"/>
                <w:szCs w:val="21"/>
                <w:highlight w:val="yellow"/>
              </w:rPr>
            </w:pPr>
            <w:r>
              <w:rPr>
                <w:rFonts w:hint="eastAsia"/>
                <w:color w:val="000000" w:themeColor="text1"/>
                <w:szCs w:val="21"/>
              </w:rPr>
              <w:t>排污口规范化</w:t>
            </w:r>
          </w:p>
        </w:tc>
        <w:tc>
          <w:tcPr>
            <w:tcW w:w="7226" w:type="dxa"/>
            <w:gridSpan w:val="8"/>
            <w:tcBorders>
              <w:top w:val="single" w:color="auto" w:sz="6" w:space="0"/>
              <w:left w:val="single" w:color="auto" w:sz="6" w:space="0"/>
              <w:bottom w:val="single" w:color="auto" w:sz="6" w:space="0"/>
              <w:right w:val="single" w:color="auto" w:sz="6" w:space="0"/>
            </w:tcBorders>
            <w:vAlign w:val="center"/>
          </w:tcPr>
          <w:p>
            <w:pPr>
              <w:rPr>
                <w:rFonts w:ascii="Times New Roman" w:hAnsi="Times New Roman" w:cs="Times New Roman"/>
                <w:color w:val="000000" w:themeColor="text1"/>
                <w:szCs w:val="21"/>
              </w:rPr>
            </w:pPr>
            <w:r>
              <w:rPr>
                <w:rFonts w:ascii="Times New Roman" w:cs="Times New Roman"/>
                <w:color w:val="000000" w:themeColor="text1"/>
                <w:szCs w:val="21"/>
              </w:rPr>
              <w:t>（</w:t>
            </w:r>
            <w:r>
              <w:rPr>
                <w:rFonts w:ascii="Times New Roman" w:hAnsi="Times New Roman" w:cs="Times New Roman"/>
                <w:color w:val="000000" w:themeColor="text1"/>
                <w:szCs w:val="21"/>
              </w:rPr>
              <w:t>1</w:t>
            </w:r>
            <w:r>
              <w:rPr>
                <w:rFonts w:ascii="Times New Roman" w:cs="Times New Roman"/>
                <w:color w:val="000000" w:themeColor="text1"/>
                <w:szCs w:val="21"/>
              </w:rPr>
              <w:t>）废气排污口规范化</w:t>
            </w:r>
          </w:p>
          <w:p>
            <w:pPr>
              <w:rPr>
                <w:rFonts w:ascii="Times New Roman" w:hAnsi="Times New Roman" w:cs="Times New Roman"/>
                <w:color w:val="000000" w:themeColor="text1"/>
                <w:szCs w:val="21"/>
              </w:rPr>
            </w:pPr>
            <w:r>
              <w:rPr>
                <w:rFonts w:ascii="Times New Roman" w:cs="Times New Roman"/>
                <w:color w:val="000000" w:themeColor="text1"/>
                <w:szCs w:val="21"/>
              </w:rPr>
              <w:t>①排气筒应设置编号铭牌，并注明排放的污染物。</w:t>
            </w:r>
          </w:p>
          <w:p>
            <w:pPr>
              <w:jc w:val="center"/>
              <w:rPr>
                <w:rFonts w:ascii="Times New Roman" w:hAnsi="Times New Roman" w:cs="Times New Roman"/>
                <w:color w:val="000000" w:themeColor="text1"/>
                <w:szCs w:val="21"/>
              </w:rPr>
            </w:pPr>
            <w:r>
              <w:rPr>
                <w:rFonts w:ascii="Times New Roman" w:cs="Times New Roman"/>
                <w:color w:val="000000" w:themeColor="text1"/>
                <w:szCs w:val="21"/>
              </w:rPr>
              <w:t>②排气筒应设置便于采样、监测的采样口和采样监测平台，有净化设施的应在其进出口分别设置采样口。</w:t>
            </w:r>
          </w:p>
          <w:p>
            <w:pPr>
              <w:rPr>
                <w:rFonts w:ascii="Times New Roman" w:hAnsi="Times New Roman" w:cs="Times New Roman"/>
                <w:color w:val="000000" w:themeColor="text1"/>
                <w:szCs w:val="21"/>
              </w:rPr>
            </w:pPr>
            <w:r>
              <w:rPr>
                <w:rFonts w:ascii="Times New Roman" w:cs="Times New Roman"/>
                <w:color w:val="000000" w:themeColor="text1"/>
                <w:szCs w:val="21"/>
              </w:rPr>
              <w:t>（</w:t>
            </w:r>
            <w:r>
              <w:rPr>
                <w:rFonts w:ascii="Times New Roman" w:hAnsi="Times New Roman" w:cs="Times New Roman"/>
                <w:color w:val="000000" w:themeColor="text1"/>
                <w:szCs w:val="21"/>
              </w:rPr>
              <w:t>2</w:t>
            </w:r>
            <w:r>
              <w:rPr>
                <w:rFonts w:ascii="Times New Roman" w:cs="Times New Roman"/>
                <w:color w:val="000000" w:themeColor="text1"/>
                <w:szCs w:val="21"/>
              </w:rPr>
              <w:t>）废水排污口规范化</w:t>
            </w:r>
          </w:p>
          <w:p>
            <w:pPr>
              <w:rPr>
                <w:rFonts w:ascii="Times New Roman" w:hAnsi="Times New Roman" w:cs="Times New Roman"/>
                <w:color w:val="000000" w:themeColor="text1"/>
                <w:szCs w:val="21"/>
              </w:rPr>
            </w:pPr>
            <w:r>
              <w:rPr>
                <w:rFonts w:ascii="Times New Roman" w:cs="Times New Roman"/>
                <w:color w:val="000000" w:themeColor="text1"/>
                <w:szCs w:val="21"/>
              </w:rPr>
              <w:t>①排污口应设置编号铭牌，并注明排放的污染物。</w:t>
            </w:r>
          </w:p>
          <w:p>
            <w:pPr>
              <w:jc w:val="center"/>
              <w:rPr>
                <w:rFonts w:ascii="Times New Roman" w:hAnsi="Times New Roman" w:cs="Times New Roman"/>
                <w:color w:val="000000" w:themeColor="text1"/>
                <w:szCs w:val="21"/>
              </w:rPr>
            </w:pPr>
            <w:r>
              <w:rPr>
                <w:rFonts w:ascii="Times New Roman" w:cs="Times New Roman"/>
                <w:color w:val="000000" w:themeColor="text1"/>
                <w:szCs w:val="21"/>
              </w:rPr>
              <w:t>②排污口应设置便于采样、监测的采样点，有治理设施的应在其进出口分别设置采样点。</w:t>
            </w:r>
          </w:p>
          <w:p>
            <w:pPr>
              <w:spacing w:line="440" w:lineRule="exact"/>
              <w:rPr>
                <w:rFonts w:ascii="Times New Roman" w:hAnsi="Times New Roman" w:cs="Times New Roman"/>
                <w:color w:val="000000" w:themeColor="text1"/>
                <w:szCs w:val="21"/>
              </w:rPr>
            </w:pPr>
            <w:r>
              <w:rPr>
                <w:rFonts w:ascii="Times New Roman" w:cs="Times New Roman"/>
                <w:color w:val="000000" w:themeColor="text1"/>
                <w:szCs w:val="21"/>
              </w:rPr>
              <w:t>（</w:t>
            </w:r>
            <w:r>
              <w:rPr>
                <w:rFonts w:ascii="Times New Roman" w:hAnsi="Times New Roman" w:cs="Times New Roman"/>
                <w:color w:val="000000" w:themeColor="text1"/>
                <w:szCs w:val="21"/>
              </w:rPr>
              <w:t>3</w:t>
            </w:r>
            <w:r>
              <w:rPr>
                <w:rFonts w:ascii="Times New Roman" w:cs="Times New Roman"/>
                <w:color w:val="000000" w:themeColor="text1"/>
                <w:szCs w:val="21"/>
              </w:rPr>
              <w:t>）噪声排放源规范化</w:t>
            </w:r>
          </w:p>
          <w:p>
            <w:pPr>
              <w:spacing w:line="440" w:lineRule="exact"/>
              <w:ind w:firstLine="480"/>
              <w:rPr>
                <w:rFonts w:ascii="Times New Roman" w:hAnsi="Times New Roman" w:cs="Times New Roman"/>
                <w:color w:val="000000" w:themeColor="text1"/>
                <w:szCs w:val="21"/>
              </w:rPr>
            </w:pPr>
            <w:r>
              <w:rPr>
                <w:rFonts w:ascii="Times New Roman" w:cs="Times New Roman"/>
                <w:color w:val="000000" w:themeColor="text1"/>
                <w:szCs w:val="21"/>
              </w:rPr>
              <w:t>应按照（工业企业厂界噪声测量方法》（</w:t>
            </w:r>
            <w:r>
              <w:rPr>
                <w:rFonts w:ascii="Times New Roman" w:hAnsi="Times New Roman" w:cs="Times New Roman"/>
                <w:color w:val="000000" w:themeColor="text1"/>
                <w:szCs w:val="21"/>
              </w:rPr>
              <w:t>C812349</w:t>
            </w:r>
            <w:r>
              <w:rPr>
                <w:rFonts w:ascii="Times New Roman" w:cs="Times New Roman"/>
                <w:color w:val="000000" w:themeColor="text1"/>
                <w:szCs w:val="21"/>
              </w:rPr>
              <w:t>）的规定，设置环境噪声监测点，并在该处附近醒目处没置环境保护图形标志牌。</w:t>
            </w:r>
          </w:p>
          <w:p>
            <w:pPr>
              <w:spacing w:line="360" w:lineRule="auto"/>
              <w:rPr>
                <w:rFonts w:ascii="Times New Roman" w:hAnsi="Times New Roman" w:cs="Times New Roman"/>
                <w:color w:val="000000" w:themeColor="text1"/>
                <w:szCs w:val="21"/>
              </w:rPr>
            </w:pPr>
            <w:r>
              <w:rPr>
                <w:rFonts w:ascii="Times New Roman" w:cs="Times New Roman"/>
                <w:color w:val="000000" w:themeColor="text1"/>
                <w:szCs w:val="21"/>
              </w:rPr>
              <w:t>（</w:t>
            </w:r>
            <w:r>
              <w:rPr>
                <w:rFonts w:ascii="Times New Roman" w:hAnsi="Times New Roman" w:cs="Times New Roman"/>
                <w:color w:val="000000" w:themeColor="text1"/>
                <w:szCs w:val="21"/>
              </w:rPr>
              <w:t>4</w:t>
            </w:r>
            <w:r>
              <w:rPr>
                <w:rFonts w:ascii="Times New Roman" w:cs="Times New Roman"/>
                <w:color w:val="000000" w:themeColor="text1"/>
                <w:szCs w:val="21"/>
              </w:rPr>
              <w:t>）固体废物规范化要求</w:t>
            </w:r>
          </w:p>
          <w:p>
            <w:pPr>
              <w:spacing w:line="360" w:lineRule="auto"/>
              <w:ind w:firstLine="480"/>
              <w:rPr>
                <w:rFonts w:ascii="Times New Roman" w:hAnsi="Times New Roman" w:cs="Times New Roman"/>
                <w:color w:val="000000" w:themeColor="text1"/>
                <w:szCs w:val="21"/>
              </w:rPr>
            </w:pPr>
            <w:r>
              <w:rPr>
                <w:rFonts w:ascii="Times New Roman" w:cs="Times New Roman"/>
                <w:color w:val="000000" w:themeColor="text1"/>
                <w:szCs w:val="21"/>
              </w:rPr>
              <w:t>固体废物贮存必须规范化，固废暂存场地应按照国家标准《环境保护图形标志》（</w:t>
            </w:r>
            <w:r>
              <w:rPr>
                <w:rFonts w:ascii="Times New Roman" w:hAnsi="Times New Roman" w:cs="Times New Roman"/>
                <w:color w:val="000000" w:themeColor="text1"/>
                <w:szCs w:val="21"/>
              </w:rPr>
              <w:t>GB1562</w:t>
            </w:r>
            <w:r>
              <w:rPr>
                <w:rFonts w:ascii="Times New Roman" w:cs="Times New Roman"/>
                <w:color w:val="000000" w:themeColor="text1"/>
                <w:szCs w:val="21"/>
              </w:rPr>
              <w:t>．</w:t>
            </w:r>
            <w:r>
              <w:rPr>
                <w:rFonts w:ascii="Times New Roman" w:hAnsi="Times New Roman" w:cs="Times New Roman"/>
                <w:color w:val="000000" w:themeColor="text1"/>
                <w:szCs w:val="21"/>
              </w:rPr>
              <w:t>195</w:t>
            </w:r>
            <w:r>
              <w:rPr>
                <w:rFonts w:ascii="Times New Roman" w:cs="Times New Roman"/>
                <w:color w:val="000000" w:themeColor="text1"/>
                <w:szCs w:val="21"/>
              </w:rPr>
              <w:t>和</w:t>
            </w:r>
            <w:r>
              <w:rPr>
                <w:rFonts w:ascii="Times New Roman" w:hAnsi="Times New Roman" w:cs="Times New Roman"/>
                <w:color w:val="000000" w:themeColor="text1"/>
                <w:szCs w:val="21"/>
              </w:rPr>
              <w:t>CE4562</w:t>
            </w:r>
            <w:r>
              <w:rPr>
                <w:rFonts w:ascii="Times New Roman" w:cs="Times New Roman"/>
                <w:color w:val="000000" w:themeColor="text1"/>
                <w:szCs w:val="21"/>
              </w:rPr>
              <w:t>．</w:t>
            </w:r>
            <w:r>
              <w:rPr>
                <w:rFonts w:ascii="Times New Roman" w:hAnsi="Times New Roman" w:cs="Times New Roman"/>
                <w:color w:val="000000" w:themeColor="text1"/>
                <w:szCs w:val="21"/>
              </w:rPr>
              <w:t>2-199</w:t>
            </w:r>
            <w:r>
              <w:rPr>
                <w:rFonts w:ascii="Times New Roman" w:cs="Times New Roman"/>
                <w:color w:val="000000" w:themeColor="text1"/>
                <w:szCs w:val="21"/>
              </w:rPr>
              <w:t>）的规定，设置与之相适应的环境保护图形标志牌。排污单位需环保部门要求规范排放口。</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559" w:type="dxa"/>
            <w:gridSpan w:val="2"/>
            <w:tcBorders>
              <w:left w:val="single" w:color="auto" w:sz="6" w:space="0"/>
              <w:right w:val="single" w:color="auto" w:sz="6" w:space="0"/>
            </w:tcBorders>
            <w:vAlign w:val="center"/>
          </w:tcPr>
          <w:p>
            <w:pPr>
              <w:jc w:val="center"/>
              <w:rPr>
                <w:color w:val="000000" w:themeColor="text1"/>
                <w:szCs w:val="21"/>
              </w:rPr>
            </w:pPr>
            <w:r>
              <w:rPr>
                <w:rFonts w:hint="eastAsia"/>
                <w:color w:val="000000" w:themeColor="text1"/>
                <w:szCs w:val="21"/>
              </w:rPr>
              <w:t>污染源监测</w:t>
            </w:r>
          </w:p>
        </w:tc>
        <w:tc>
          <w:tcPr>
            <w:tcW w:w="7226" w:type="dxa"/>
            <w:gridSpan w:val="8"/>
            <w:tcBorders>
              <w:top w:val="single" w:color="auto" w:sz="6" w:space="0"/>
              <w:left w:val="single" w:color="auto" w:sz="6" w:space="0"/>
              <w:bottom w:val="single" w:color="auto" w:sz="6" w:space="0"/>
              <w:right w:val="single" w:color="auto" w:sz="6" w:space="0"/>
            </w:tcBorders>
            <w:vAlign w:val="center"/>
          </w:tcPr>
          <w:p>
            <w:pPr>
              <w:rPr>
                <w:rFonts w:ascii="Times New Roman" w:hAnsi="Times New Roman" w:cs="Times New Roman"/>
                <w:color w:val="000000" w:themeColor="text1"/>
                <w:szCs w:val="21"/>
              </w:rPr>
            </w:pPr>
            <w:r>
              <w:rPr>
                <w:rFonts w:ascii="Times New Roman" w:hAnsi="Times New Roman" w:cs="Times New Roman"/>
                <w:color w:val="000000" w:themeColor="text1"/>
                <w:szCs w:val="21"/>
              </w:rPr>
              <w:t>（1）废气监测</w:t>
            </w:r>
          </w:p>
          <w:p>
            <w:pPr>
              <w:rPr>
                <w:rFonts w:ascii="Times New Roman" w:hAnsi="Times New Roman" w:cs="Times New Roman"/>
                <w:color w:val="000000" w:themeColor="text1"/>
                <w:szCs w:val="21"/>
              </w:rPr>
            </w:pPr>
            <w:r>
              <w:rPr>
                <w:rFonts w:ascii="Times New Roman" w:hAnsi="Times New Roman" w:cs="Times New Roman"/>
                <w:color w:val="000000" w:themeColor="text1"/>
                <w:szCs w:val="21"/>
              </w:rPr>
              <w:t>监测布点：水喷淋装置+UV紫外线光解净化器装置进口，排气筒出口预留采样孔各设1 个监测点。</w:t>
            </w:r>
          </w:p>
          <w:p>
            <w:pPr>
              <w:rPr>
                <w:rFonts w:ascii="Times New Roman" w:hAnsi="Times New Roman" w:cs="Times New Roman"/>
                <w:color w:val="000000" w:themeColor="text1"/>
                <w:szCs w:val="21"/>
              </w:rPr>
            </w:pPr>
            <w:r>
              <w:rPr>
                <w:rFonts w:ascii="Times New Roman" w:hAnsi="Times New Roman" w:cs="Times New Roman"/>
                <w:color w:val="000000" w:themeColor="text1"/>
                <w:szCs w:val="21"/>
              </w:rPr>
              <w:t>监测项目：废气量、氨、硫化氢、臭气浓度。</w:t>
            </w:r>
          </w:p>
          <w:p>
            <w:pPr>
              <w:rPr>
                <w:rFonts w:ascii="Times New Roman" w:hAnsi="Times New Roman" w:cs="Times New Roman"/>
                <w:color w:val="000000" w:themeColor="text1"/>
                <w:szCs w:val="21"/>
              </w:rPr>
            </w:pPr>
            <w:r>
              <w:rPr>
                <w:rFonts w:ascii="Times New Roman" w:hAnsi="Times New Roman" w:cs="Times New Roman"/>
                <w:color w:val="000000" w:themeColor="text1"/>
                <w:szCs w:val="21"/>
              </w:rPr>
              <w:t>监测频率：每半年监测一次。</w:t>
            </w:r>
          </w:p>
          <w:p>
            <w:pPr>
              <w:rPr>
                <w:rFonts w:ascii="Times New Roman" w:hAnsi="Times New Roman" w:cs="Times New Roman"/>
                <w:color w:val="000000" w:themeColor="text1"/>
                <w:szCs w:val="21"/>
              </w:rPr>
            </w:pPr>
            <w:r>
              <w:rPr>
                <w:rFonts w:ascii="Times New Roman" w:hAnsi="Times New Roman" w:cs="Times New Roman"/>
                <w:color w:val="000000" w:themeColor="text1"/>
                <w:szCs w:val="21"/>
              </w:rPr>
              <w:t>（2）废水监测</w:t>
            </w:r>
          </w:p>
          <w:p>
            <w:pPr>
              <w:rPr>
                <w:rFonts w:ascii="Times New Roman" w:hAnsi="Times New Roman" w:cs="Times New Roman"/>
                <w:color w:val="000000" w:themeColor="text1"/>
                <w:szCs w:val="21"/>
              </w:rPr>
            </w:pPr>
            <w:r>
              <w:rPr>
                <w:rFonts w:ascii="Times New Roman" w:hAnsi="Times New Roman" w:cs="Times New Roman"/>
                <w:color w:val="000000" w:themeColor="text1"/>
                <w:szCs w:val="21"/>
              </w:rPr>
              <w:t>监测布点：厂区污水出口。</w:t>
            </w:r>
          </w:p>
          <w:p>
            <w:pPr>
              <w:rPr>
                <w:rFonts w:ascii="Times New Roman" w:hAnsi="Times New Roman" w:cs="Times New Roman"/>
                <w:color w:val="000000" w:themeColor="text1"/>
                <w:szCs w:val="21"/>
              </w:rPr>
            </w:pPr>
            <w:r>
              <w:rPr>
                <w:rFonts w:ascii="Times New Roman" w:hAnsi="Times New Roman" w:cs="Times New Roman"/>
                <w:color w:val="000000" w:themeColor="text1"/>
                <w:szCs w:val="21"/>
              </w:rPr>
              <w:t>监测项目：废水量、COD、SS、氨氮、总氮、总磷。</w:t>
            </w:r>
          </w:p>
          <w:p>
            <w:pPr>
              <w:rPr>
                <w:rFonts w:ascii="Times New Roman" w:hAnsi="Times New Roman" w:cs="Times New Roman"/>
                <w:color w:val="000000" w:themeColor="text1"/>
                <w:szCs w:val="21"/>
              </w:rPr>
            </w:pPr>
            <w:r>
              <w:rPr>
                <w:rFonts w:ascii="Times New Roman" w:hAnsi="Times New Roman" w:cs="Times New Roman"/>
                <w:color w:val="000000" w:themeColor="text1"/>
                <w:szCs w:val="21"/>
              </w:rPr>
              <w:t>监测频率：每季度监测一次。</w:t>
            </w:r>
          </w:p>
          <w:p>
            <w:pPr>
              <w:rPr>
                <w:rFonts w:ascii="Times New Roman" w:hAnsi="Times New Roman" w:cs="Times New Roman"/>
                <w:color w:val="000000" w:themeColor="text1"/>
                <w:szCs w:val="21"/>
              </w:rPr>
            </w:pPr>
            <w:r>
              <w:rPr>
                <w:rFonts w:ascii="Times New Roman" w:hAnsi="Times New Roman" w:cs="Times New Roman"/>
                <w:color w:val="000000" w:themeColor="text1"/>
                <w:szCs w:val="21"/>
              </w:rPr>
              <w:t>（3）噪声监测</w:t>
            </w:r>
          </w:p>
          <w:p>
            <w:pPr>
              <w:rPr>
                <w:rFonts w:ascii="Times New Roman" w:hAnsi="Times New Roman" w:cs="Times New Roman"/>
                <w:color w:val="000000" w:themeColor="text1"/>
                <w:szCs w:val="21"/>
              </w:rPr>
            </w:pPr>
            <w:r>
              <w:rPr>
                <w:rFonts w:ascii="Times New Roman" w:hAnsi="Times New Roman" w:cs="Times New Roman"/>
                <w:color w:val="000000" w:themeColor="text1"/>
                <w:szCs w:val="21"/>
              </w:rPr>
              <w:t>监测点位置：在厂区东、西、南、北厂界外1m各设一个监测点。</w:t>
            </w:r>
            <w:r>
              <w:rPr>
                <w:rFonts w:hint="eastAsia" w:ascii="Times New Roman" w:hAnsi="Times New Roman" w:cs="Times New Roman"/>
                <w:color w:val="000000" w:themeColor="text1"/>
                <w:szCs w:val="21"/>
              </w:rPr>
              <w:t>西侧敏感点文景苑小区、东侧敏感点中央司法警官学院、北侧华北电力大学各设一个</w:t>
            </w:r>
            <w:r>
              <w:rPr>
                <w:rFonts w:ascii="Times New Roman" w:hAnsi="Times New Roman" w:cs="Times New Roman"/>
                <w:color w:val="000000" w:themeColor="text1"/>
                <w:szCs w:val="21"/>
              </w:rPr>
              <w:t>监测点。</w:t>
            </w:r>
          </w:p>
          <w:p>
            <w:pPr>
              <w:rPr>
                <w:rFonts w:ascii="Times New Roman" w:hAnsi="Times New Roman" w:cs="Times New Roman"/>
                <w:color w:val="000000" w:themeColor="text1"/>
                <w:szCs w:val="21"/>
              </w:rPr>
            </w:pPr>
            <w:r>
              <w:rPr>
                <w:rFonts w:ascii="Times New Roman" w:hAnsi="Times New Roman" w:cs="Times New Roman"/>
                <w:color w:val="000000" w:themeColor="text1"/>
                <w:szCs w:val="21"/>
              </w:rPr>
              <w:t>监测项目：等效连续A声级。</w:t>
            </w:r>
          </w:p>
          <w:p>
            <w:pPr>
              <w:rPr>
                <w:color w:val="000000" w:themeColor="text1"/>
                <w:szCs w:val="21"/>
              </w:rPr>
            </w:pPr>
            <w:r>
              <w:rPr>
                <w:rFonts w:ascii="Times New Roman" w:hAnsi="Times New Roman" w:cs="Times New Roman"/>
                <w:color w:val="000000" w:themeColor="text1"/>
                <w:szCs w:val="21"/>
              </w:rPr>
              <w:t>监测频率：每季度监测一次，分昼、夜两时段进行。</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559" w:type="dxa"/>
            <w:gridSpan w:val="2"/>
            <w:tcBorders>
              <w:left w:val="single" w:color="auto" w:sz="6" w:space="0"/>
              <w:bottom w:val="single" w:color="auto" w:sz="6" w:space="0"/>
              <w:right w:val="single" w:color="auto" w:sz="6" w:space="0"/>
            </w:tcBorders>
            <w:vAlign w:val="center"/>
          </w:tcPr>
          <w:p>
            <w:pPr>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总量控制指标</w:t>
            </w:r>
          </w:p>
        </w:tc>
        <w:tc>
          <w:tcPr>
            <w:tcW w:w="7226" w:type="dxa"/>
            <w:gridSpan w:val="8"/>
            <w:tcBorders>
              <w:top w:val="single" w:color="auto" w:sz="6" w:space="0"/>
              <w:left w:val="single" w:color="auto" w:sz="6" w:space="0"/>
              <w:bottom w:val="single" w:color="auto" w:sz="6" w:space="0"/>
              <w:right w:val="single" w:color="auto" w:sz="6" w:space="0"/>
            </w:tcBorders>
            <w:vAlign w:val="center"/>
          </w:tcPr>
          <w:p>
            <w:pPr>
              <w:rPr>
                <w:rFonts w:ascii="Times New Roman" w:hAnsi="Times New Roman" w:cs="Times New Roman"/>
                <w:color w:val="000000" w:themeColor="text1"/>
                <w:szCs w:val="21"/>
              </w:rPr>
            </w:pPr>
            <w:r>
              <w:rPr>
                <w:rFonts w:ascii="Times New Roman" w:cs="Times New Roman" w:hAnsiTheme="minorEastAsia"/>
                <w:color w:val="000000" w:themeColor="text1"/>
                <w:szCs w:val="21"/>
              </w:rPr>
              <w:t>本项目污染物总量控制指标建议值为：</w:t>
            </w:r>
            <w:r>
              <w:rPr>
                <w:rFonts w:ascii="Times New Roman" w:hAnsi="Times New Roman" w:cs="Times New Roman"/>
                <w:color w:val="000000" w:themeColor="text1"/>
                <w:szCs w:val="21"/>
              </w:rPr>
              <w:t>COD</w:t>
            </w:r>
            <w:r>
              <w:rPr>
                <w:rFonts w:hint="eastAsia" w:ascii="Times New Roman" w:hAnsi="Times New Roman" w:cs="Times New Roman"/>
                <w:color w:val="000000" w:themeColor="text1"/>
                <w:szCs w:val="21"/>
              </w:rPr>
              <w:t>28.885</w:t>
            </w:r>
            <w:r>
              <w:rPr>
                <w:rFonts w:ascii="Times New Roman" w:hAnsi="Times New Roman" w:cs="Times New Roman"/>
                <w:color w:val="000000" w:themeColor="text1"/>
                <w:szCs w:val="21"/>
              </w:rPr>
              <w:t>t/a、氨氮</w:t>
            </w:r>
            <w:r>
              <w:rPr>
                <w:rFonts w:hint="eastAsia" w:ascii="Times New Roman" w:hAnsi="Times New Roman" w:cs="Times New Roman"/>
                <w:color w:val="000000" w:themeColor="text1"/>
                <w:szCs w:val="21"/>
              </w:rPr>
              <w:t>2.889</w:t>
            </w:r>
            <w:r>
              <w:rPr>
                <w:rFonts w:ascii="Times New Roman" w:hAnsi="Times New Roman" w:cs="Times New Roman"/>
                <w:color w:val="000000" w:themeColor="text1"/>
                <w:szCs w:val="21"/>
              </w:rPr>
              <w:t xml:space="preserve"> t/a、总氮</w:t>
            </w:r>
            <w:r>
              <w:rPr>
                <w:rFonts w:hint="eastAsia" w:ascii="Times New Roman" w:hAnsi="Times New Roman" w:cs="Times New Roman"/>
                <w:color w:val="000000" w:themeColor="text1"/>
                <w:szCs w:val="21"/>
              </w:rPr>
              <w:t>4.333</w:t>
            </w:r>
            <w:r>
              <w:rPr>
                <w:rFonts w:ascii="Times New Roman" w:hAnsi="Times New Roman" w:cs="Times New Roman"/>
                <w:color w:val="000000" w:themeColor="text1"/>
                <w:szCs w:val="21"/>
              </w:rPr>
              <w:t xml:space="preserve"> t/a、总磷</w:t>
            </w:r>
            <w:r>
              <w:rPr>
                <w:rFonts w:hint="eastAsia" w:ascii="Times New Roman" w:hAnsi="Times New Roman" w:cs="Times New Roman"/>
                <w:color w:val="000000" w:themeColor="text1"/>
                <w:szCs w:val="21"/>
              </w:rPr>
              <w:t>0.722</w:t>
            </w:r>
            <w:r>
              <w:rPr>
                <w:rFonts w:ascii="Times New Roman" w:hAnsi="Times New Roman" w:cs="Times New Roman"/>
                <w:color w:val="000000" w:themeColor="text1"/>
                <w:szCs w:val="21"/>
              </w:rPr>
              <w:t>t/a、SO</w:t>
            </w:r>
            <w:r>
              <w:rPr>
                <w:rFonts w:ascii="Times New Roman" w:hAnsi="Times New Roman" w:cs="Times New Roman"/>
                <w:color w:val="000000" w:themeColor="text1"/>
                <w:szCs w:val="21"/>
                <w:vertAlign w:val="subscript"/>
              </w:rPr>
              <w:t>2</w:t>
            </w:r>
            <w:r>
              <w:rPr>
                <w:rFonts w:hint="eastAsia" w:ascii="Times New Roman" w:hAnsi="Times New Roman" w:cs="Times New Roman"/>
                <w:color w:val="000000" w:themeColor="text1"/>
                <w:szCs w:val="21"/>
              </w:rPr>
              <w:t>0</w:t>
            </w:r>
            <w:r>
              <w:rPr>
                <w:rFonts w:ascii="Times New Roman" w:hAnsi="Times New Roman" w:cs="Times New Roman"/>
                <w:color w:val="000000" w:themeColor="text1"/>
                <w:szCs w:val="21"/>
              </w:rPr>
              <w:t>t/a、NO</w:t>
            </w:r>
            <w:r>
              <w:rPr>
                <w:rFonts w:ascii="Times New Roman" w:hAnsi="Times New Roman" w:cs="Times New Roman"/>
                <w:color w:val="000000" w:themeColor="text1"/>
                <w:szCs w:val="21"/>
                <w:vertAlign w:val="subscript"/>
              </w:rPr>
              <w:t>X</w:t>
            </w:r>
            <w:r>
              <w:rPr>
                <w:rFonts w:hint="eastAsia" w:ascii="Times New Roman" w:hAnsi="Times New Roman" w:cs="Times New Roman"/>
                <w:color w:val="000000" w:themeColor="text1"/>
                <w:szCs w:val="21"/>
              </w:rPr>
              <w:t>0</w:t>
            </w:r>
            <w:r>
              <w:rPr>
                <w:rFonts w:ascii="Times New Roman" w:hAnsi="Times New Roman" w:cs="Times New Roman"/>
                <w:color w:val="000000" w:themeColor="text1"/>
                <w:szCs w:val="21"/>
              </w:rPr>
              <w:t xml:space="preserve"> t/a、</w:t>
            </w:r>
            <w:r>
              <w:rPr>
                <w:rFonts w:hint="eastAsia" w:ascii="Times New Roman" w:hAnsi="Times New Roman" w:cs="Times New Roman"/>
                <w:color w:val="000000" w:themeColor="text1"/>
                <w:szCs w:val="21"/>
              </w:rPr>
              <w:t>颗粒物0</w:t>
            </w:r>
            <w:r>
              <w:rPr>
                <w:rFonts w:ascii="Times New Roman" w:hAnsi="Times New Roman" w:cs="Times New Roman"/>
                <w:color w:val="000000" w:themeColor="text1"/>
                <w:szCs w:val="21"/>
              </w:rPr>
              <w:t xml:space="preserve"> t/a、VOC</w:t>
            </w:r>
            <w:r>
              <w:rPr>
                <w:rFonts w:ascii="Times New Roman" w:hAnsi="Times New Roman" w:cs="Times New Roman"/>
                <w:color w:val="000000" w:themeColor="text1"/>
                <w:szCs w:val="21"/>
                <w:vertAlign w:val="subscript"/>
              </w:rPr>
              <w:t>S</w:t>
            </w:r>
            <w:r>
              <w:rPr>
                <w:rFonts w:ascii="Times New Roman" w:hAnsi="Times New Roman" w:cs="Times New Roman"/>
                <w:color w:val="000000" w:themeColor="text1"/>
                <w:szCs w:val="21"/>
              </w:rPr>
              <w:t>（以非甲烷总烃计）</w:t>
            </w:r>
            <w:r>
              <w:rPr>
                <w:rFonts w:hint="eastAsia" w:ascii="Times New Roman" w:hAnsi="Times New Roman" w:cs="Times New Roman"/>
                <w:color w:val="000000" w:themeColor="text1"/>
                <w:szCs w:val="21"/>
              </w:rPr>
              <w:t>0</w:t>
            </w:r>
            <w:r>
              <w:rPr>
                <w:rFonts w:ascii="Times New Roman" w:hAnsi="Times New Roman" w:cs="Times New Roman"/>
                <w:color w:val="000000" w:themeColor="text1"/>
                <w:szCs w:val="21"/>
              </w:rPr>
              <w:t>t/a，特征污染物</w:t>
            </w:r>
            <w:r>
              <w:rPr>
                <w:rFonts w:hint="eastAsia" w:ascii="Times New Roman" w:hAnsi="Times New Roman" w:cs="Times New Roman"/>
                <w:color w:val="000000" w:themeColor="text1"/>
                <w:szCs w:val="21"/>
              </w:rPr>
              <w:t>氨0.579</w:t>
            </w:r>
            <w:r>
              <w:rPr>
                <w:rFonts w:ascii="Times New Roman" w:hAnsi="Times New Roman" w:cs="Times New Roman"/>
                <w:color w:val="000000" w:themeColor="text1"/>
                <w:szCs w:val="21"/>
              </w:rPr>
              <w:t xml:space="preserve"> t/a、</w:t>
            </w:r>
            <w:r>
              <w:rPr>
                <w:rFonts w:hint="eastAsia" w:ascii="Times New Roman" w:hAnsi="Times New Roman" w:cs="Times New Roman"/>
                <w:color w:val="000000" w:themeColor="text1"/>
                <w:szCs w:val="21"/>
              </w:rPr>
              <w:t>硫化氢</w:t>
            </w:r>
            <w:r>
              <w:rPr>
                <w:rFonts w:ascii="Times New Roman" w:hAnsi="Times New Roman" w:cs="Times New Roman"/>
                <w:color w:val="000000" w:themeColor="text1"/>
                <w:szCs w:val="21"/>
              </w:rPr>
              <w:t>0.</w:t>
            </w:r>
            <w:r>
              <w:rPr>
                <w:rFonts w:hint="eastAsia" w:ascii="Times New Roman" w:hAnsi="Times New Roman" w:cs="Times New Roman"/>
                <w:color w:val="000000" w:themeColor="text1"/>
                <w:szCs w:val="21"/>
              </w:rPr>
              <w:t>028</w:t>
            </w:r>
            <w:r>
              <w:rPr>
                <w:rFonts w:ascii="Times New Roman" w:hAnsi="Times New Roman" w:cs="Times New Roman"/>
                <w:color w:val="000000" w:themeColor="text1"/>
                <w:szCs w:val="21"/>
              </w:rPr>
              <w:t>t/a。</w:t>
            </w:r>
          </w:p>
        </w:tc>
      </w:tr>
    </w:tbl>
    <w:p>
      <w:pPr>
        <w:spacing w:line="360" w:lineRule="auto"/>
        <w:ind w:firstLine="482" w:firstLineChars="200"/>
        <w:jc w:val="center"/>
        <w:rPr>
          <w:rFonts w:ascii="Times New Roman" w:hAnsi="Times New Roman" w:cs="Times New Roman"/>
          <w:b/>
          <w:bCs/>
          <w:color w:val="000000" w:themeColor="text1"/>
          <w:sz w:val="24"/>
          <w:szCs w:val="24"/>
        </w:rPr>
      </w:pPr>
      <w:bookmarkStart w:id="52" w:name="_Toc13725374"/>
    </w:p>
    <w:p>
      <w:pPr>
        <w:spacing w:line="360" w:lineRule="auto"/>
        <w:ind w:firstLine="482" w:firstLineChars="200"/>
        <w:jc w:val="center"/>
        <w:rPr>
          <w:rFonts w:ascii="Times New Roman" w:hAnsi="Times New Roman" w:cs="Times New Roman"/>
          <w:b/>
          <w:bCs/>
          <w:color w:val="000000" w:themeColor="text1"/>
          <w:sz w:val="24"/>
          <w:szCs w:val="24"/>
        </w:rPr>
      </w:pPr>
    </w:p>
    <w:p>
      <w:pPr>
        <w:spacing w:line="360" w:lineRule="auto"/>
        <w:ind w:firstLine="482" w:firstLineChars="200"/>
        <w:jc w:val="center"/>
        <w:rPr>
          <w:rFonts w:ascii="Times New Roman" w:hAnsi="Times New Roman" w:cs="Times New Roman"/>
          <w:b/>
          <w:bCs/>
          <w:color w:val="000000" w:themeColor="text1"/>
          <w:sz w:val="24"/>
          <w:szCs w:val="24"/>
        </w:rPr>
      </w:pPr>
    </w:p>
    <w:p>
      <w:pPr>
        <w:spacing w:line="360" w:lineRule="auto"/>
        <w:ind w:firstLine="482" w:firstLineChars="200"/>
        <w:jc w:val="center"/>
        <w:rPr>
          <w:rFonts w:ascii="Times New Roman" w:hAnsi="Times New Roman" w:cs="Times New Roman"/>
          <w:b/>
          <w:bCs/>
          <w:color w:val="000000" w:themeColor="text1"/>
          <w:sz w:val="24"/>
          <w:szCs w:val="24"/>
        </w:rPr>
      </w:pPr>
    </w:p>
    <w:p>
      <w:pPr>
        <w:spacing w:line="360" w:lineRule="auto"/>
        <w:ind w:firstLine="482" w:firstLineChars="200"/>
        <w:jc w:val="center"/>
        <w:rPr>
          <w:rFonts w:ascii="Times New Roman" w:hAnsi="Times New Roman" w:cs="Times New Roman"/>
          <w:b/>
          <w:bCs/>
          <w:color w:val="000000" w:themeColor="text1"/>
          <w:sz w:val="24"/>
          <w:szCs w:val="24"/>
        </w:rPr>
      </w:pPr>
    </w:p>
    <w:p>
      <w:pPr>
        <w:spacing w:line="360" w:lineRule="auto"/>
        <w:ind w:firstLine="482" w:firstLineChars="200"/>
        <w:jc w:val="center"/>
        <w:rPr>
          <w:rFonts w:ascii="Times New Roman" w:hAnsi="Times New Roman" w:cs="Times New Roman"/>
          <w:b/>
          <w:bCs/>
          <w:color w:val="000000" w:themeColor="text1"/>
          <w:sz w:val="24"/>
          <w:szCs w:val="24"/>
        </w:rPr>
      </w:pPr>
    </w:p>
    <w:p>
      <w:pPr>
        <w:spacing w:line="360" w:lineRule="auto"/>
        <w:rPr>
          <w:rFonts w:ascii="Times New Roman" w:hAnsi="Times New Roman" w:cs="Times New Roman"/>
          <w:b/>
          <w:bCs/>
          <w:color w:val="000000" w:themeColor="text1"/>
          <w:sz w:val="24"/>
          <w:szCs w:val="24"/>
        </w:rPr>
      </w:pPr>
    </w:p>
    <w:p>
      <w:pPr>
        <w:spacing w:line="360" w:lineRule="auto"/>
        <w:ind w:firstLine="482" w:firstLineChars="200"/>
        <w:jc w:val="center"/>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 xml:space="preserve">表8-2  </w:t>
      </w:r>
      <w:r>
        <w:rPr>
          <w:rFonts w:ascii="Times New Roman" w:hAnsi="Times New Roman" w:cs="Times New Roman"/>
          <w:b/>
          <w:bCs/>
          <w:color w:val="000000" w:themeColor="text1"/>
          <w:sz w:val="24"/>
          <w:szCs w:val="24"/>
        </w:rPr>
        <w:t xml:space="preserve"> </w:t>
      </w:r>
      <w:r>
        <w:rPr>
          <w:rFonts w:hint="eastAsia" w:ascii="Times New Roman" w:hAnsi="Times New Roman" w:cs="Times New Roman"/>
          <w:b/>
          <w:bCs/>
          <w:color w:val="000000" w:themeColor="text1"/>
          <w:sz w:val="24"/>
          <w:szCs w:val="24"/>
        </w:rPr>
        <w:t>排污口标志牌示例</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9"/>
        <w:gridCol w:w="2841"/>
        <w:gridCol w:w="2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39" w:type="dxa"/>
            <w:shd w:val="clear" w:color="auto" w:fill="auto"/>
            <w:vAlign w:val="center"/>
          </w:tcPr>
          <w:p>
            <w:pPr>
              <w:spacing w:line="30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排污口名称</w:t>
            </w:r>
          </w:p>
        </w:tc>
        <w:tc>
          <w:tcPr>
            <w:tcW w:w="2841" w:type="dxa"/>
            <w:shd w:val="clear" w:color="auto" w:fill="auto"/>
            <w:vAlign w:val="center"/>
          </w:tcPr>
          <w:p>
            <w:pPr>
              <w:spacing w:line="30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编号示例</w:t>
            </w:r>
          </w:p>
        </w:tc>
        <w:tc>
          <w:tcPr>
            <w:tcW w:w="2842" w:type="dxa"/>
            <w:shd w:val="clear" w:color="auto" w:fill="auto"/>
            <w:vAlign w:val="center"/>
          </w:tcPr>
          <w:p>
            <w:pPr>
              <w:spacing w:line="30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图形标志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39" w:type="dxa"/>
            <w:shd w:val="clear" w:color="auto" w:fill="auto"/>
            <w:vAlign w:val="center"/>
          </w:tcPr>
          <w:p>
            <w:pPr>
              <w:spacing w:line="30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废气排放口</w:t>
            </w:r>
          </w:p>
        </w:tc>
        <w:tc>
          <w:tcPr>
            <w:tcW w:w="2841" w:type="dxa"/>
            <w:shd w:val="clear" w:color="auto" w:fill="auto"/>
            <w:vAlign w:val="center"/>
          </w:tcPr>
          <w:p>
            <w:pPr>
              <w:spacing w:line="30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FQ-01</w:t>
            </w:r>
          </w:p>
        </w:tc>
        <w:tc>
          <w:tcPr>
            <w:tcW w:w="2842" w:type="dxa"/>
            <w:shd w:val="clear" w:color="auto" w:fill="auto"/>
            <w:vAlign w:val="center"/>
          </w:tcPr>
          <w:p>
            <w:pPr>
              <w:spacing w:line="30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 w:val="24"/>
                <w:szCs w:val="20"/>
              </w:rPr>
              <w:drawing>
                <wp:anchor distT="0" distB="0" distL="114300" distR="114300" simplePos="0" relativeHeight="252391424" behindDoc="0" locked="0" layoutInCell="1" allowOverlap="1">
                  <wp:simplePos x="0" y="0"/>
                  <wp:positionH relativeFrom="column">
                    <wp:posOffset>509270</wp:posOffset>
                  </wp:positionH>
                  <wp:positionV relativeFrom="paragraph">
                    <wp:posOffset>43815</wp:posOffset>
                  </wp:positionV>
                  <wp:extent cx="775970" cy="820420"/>
                  <wp:effectExtent l="0" t="0" r="0"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775970" cy="8204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39" w:type="dxa"/>
            <w:shd w:val="clear" w:color="auto" w:fill="auto"/>
            <w:vAlign w:val="center"/>
          </w:tcPr>
          <w:p>
            <w:pPr>
              <w:spacing w:line="30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废水排放口</w:t>
            </w:r>
          </w:p>
        </w:tc>
        <w:tc>
          <w:tcPr>
            <w:tcW w:w="2841" w:type="dxa"/>
            <w:shd w:val="clear" w:color="auto" w:fill="auto"/>
            <w:vAlign w:val="center"/>
          </w:tcPr>
          <w:p>
            <w:pPr>
              <w:spacing w:line="30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FW-01</w:t>
            </w:r>
          </w:p>
        </w:tc>
        <w:tc>
          <w:tcPr>
            <w:tcW w:w="2842" w:type="dxa"/>
            <w:shd w:val="clear" w:color="auto" w:fill="auto"/>
            <w:vAlign w:val="center"/>
          </w:tcPr>
          <w:p>
            <w:pPr>
              <w:spacing w:line="30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 w:val="24"/>
                <w:szCs w:val="20"/>
              </w:rPr>
              <w:drawing>
                <wp:anchor distT="0" distB="0" distL="114300" distR="114300" simplePos="0" relativeHeight="252392448" behindDoc="0" locked="0" layoutInCell="1" allowOverlap="1">
                  <wp:simplePos x="0" y="0"/>
                  <wp:positionH relativeFrom="column">
                    <wp:posOffset>555625</wp:posOffset>
                  </wp:positionH>
                  <wp:positionV relativeFrom="paragraph">
                    <wp:posOffset>-1270</wp:posOffset>
                  </wp:positionV>
                  <wp:extent cx="732155" cy="758190"/>
                  <wp:effectExtent l="0" t="0" r="0" b="0"/>
                  <wp:wrapSquare wrapText="bothSides"/>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732155" cy="7581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39" w:type="dxa"/>
            <w:shd w:val="clear" w:color="auto" w:fill="auto"/>
            <w:vAlign w:val="center"/>
          </w:tcPr>
          <w:p>
            <w:pPr>
              <w:spacing w:line="30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噪声源</w:t>
            </w:r>
          </w:p>
        </w:tc>
        <w:tc>
          <w:tcPr>
            <w:tcW w:w="2841" w:type="dxa"/>
            <w:shd w:val="clear" w:color="auto" w:fill="auto"/>
            <w:vAlign w:val="center"/>
          </w:tcPr>
          <w:p>
            <w:pPr>
              <w:spacing w:line="30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ZS-01</w:t>
            </w:r>
          </w:p>
        </w:tc>
        <w:tc>
          <w:tcPr>
            <w:tcW w:w="2842" w:type="dxa"/>
            <w:shd w:val="clear" w:color="auto" w:fill="auto"/>
            <w:vAlign w:val="center"/>
          </w:tcPr>
          <w:p>
            <w:pPr>
              <w:spacing w:line="30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 w:val="24"/>
                <w:szCs w:val="20"/>
              </w:rPr>
              <w:drawing>
                <wp:anchor distT="0" distB="0" distL="114300" distR="114300" simplePos="0" relativeHeight="252393472" behindDoc="0" locked="0" layoutInCell="1" allowOverlap="1">
                  <wp:simplePos x="0" y="0"/>
                  <wp:positionH relativeFrom="column">
                    <wp:posOffset>558165</wp:posOffset>
                  </wp:positionH>
                  <wp:positionV relativeFrom="paragraph">
                    <wp:posOffset>-5080</wp:posOffset>
                  </wp:positionV>
                  <wp:extent cx="762000" cy="805815"/>
                  <wp:effectExtent l="0" t="0" r="0" b="0"/>
                  <wp:wrapSquare wrapText="bothSides"/>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762000" cy="8058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839" w:type="dxa"/>
            <w:shd w:val="clear" w:color="auto" w:fill="auto"/>
            <w:vAlign w:val="center"/>
          </w:tcPr>
          <w:p>
            <w:pPr>
              <w:spacing w:line="30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一般固废堆放场所</w:t>
            </w:r>
          </w:p>
        </w:tc>
        <w:tc>
          <w:tcPr>
            <w:tcW w:w="2841" w:type="dxa"/>
            <w:shd w:val="clear" w:color="auto" w:fill="auto"/>
            <w:vAlign w:val="center"/>
          </w:tcPr>
          <w:p>
            <w:pPr>
              <w:spacing w:line="30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GF-01</w:t>
            </w:r>
          </w:p>
        </w:tc>
        <w:tc>
          <w:tcPr>
            <w:tcW w:w="2842" w:type="dxa"/>
            <w:shd w:val="clear" w:color="auto" w:fill="auto"/>
            <w:vAlign w:val="center"/>
          </w:tcPr>
          <w:p>
            <w:pPr>
              <w:spacing w:line="300" w:lineRule="exact"/>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 w:val="24"/>
                <w:szCs w:val="20"/>
              </w:rPr>
              <w:drawing>
                <wp:anchor distT="0" distB="0" distL="114300" distR="114300" simplePos="0" relativeHeight="252394496" behindDoc="0" locked="0" layoutInCell="1" allowOverlap="1">
                  <wp:simplePos x="0" y="0"/>
                  <wp:positionH relativeFrom="column">
                    <wp:posOffset>556895</wp:posOffset>
                  </wp:positionH>
                  <wp:positionV relativeFrom="paragraph">
                    <wp:posOffset>-2540</wp:posOffset>
                  </wp:positionV>
                  <wp:extent cx="801370" cy="801370"/>
                  <wp:effectExtent l="0" t="0" r="0" b="0"/>
                  <wp:wrapSquare wrapText="bothSides"/>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801370" cy="801370"/>
                          </a:xfrm>
                          <a:prstGeom prst="rect">
                            <a:avLst/>
                          </a:prstGeom>
                          <a:noFill/>
                          <a:ln>
                            <a:noFill/>
                          </a:ln>
                        </pic:spPr>
                      </pic:pic>
                    </a:graphicData>
                  </a:graphic>
                </wp:anchor>
              </w:drawing>
            </w:r>
          </w:p>
        </w:tc>
      </w:tr>
    </w:tbl>
    <w:p>
      <w:pPr>
        <w:spacing w:line="360" w:lineRule="auto"/>
        <w:ind w:firstLine="482" w:firstLineChars="20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表</w:t>
      </w:r>
      <w:r>
        <w:rPr>
          <w:rFonts w:hint="eastAsia" w:ascii="Times New Roman" w:hAnsi="Times New Roman" w:cs="Times New Roman"/>
          <w:b/>
          <w:bCs/>
          <w:color w:val="000000" w:themeColor="text1"/>
          <w:sz w:val="24"/>
          <w:szCs w:val="24"/>
        </w:rPr>
        <w:t>8-3</w:t>
      </w:r>
      <w:r>
        <w:rPr>
          <w:rFonts w:ascii="Times New Roman" w:hAnsi="Times New Roman" w:cs="Times New Roman"/>
          <w:b/>
          <w:bCs/>
          <w:color w:val="000000" w:themeColor="text1"/>
          <w:sz w:val="24"/>
          <w:szCs w:val="24"/>
        </w:rPr>
        <w:t xml:space="preserve">  </w:t>
      </w:r>
      <w:r>
        <w:rPr>
          <w:rFonts w:hint="eastAsia" w:ascii="Times New Roman" w:hAnsi="Times New Roman" w:cs="Times New Roman"/>
          <w:b/>
          <w:bCs/>
          <w:color w:val="000000" w:themeColor="text1"/>
          <w:sz w:val="24"/>
          <w:szCs w:val="24"/>
        </w:rPr>
        <w:t>医疗废物暂存间及储存容器标签示例</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4111"/>
        <w:gridCol w:w="2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24" w:type="dxa"/>
            <w:shd w:val="clear" w:color="auto" w:fill="auto"/>
            <w:vAlign w:val="center"/>
          </w:tcPr>
          <w:p>
            <w:pPr>
              <w:widowControl/>
              <w:adjustRightInd w:val="0"/>
              <w:spacing w:line="320" w:lineRule="exact"/>
              <w:jc w:val="center"/>
              <w:textAlignment w:val="baseline"/>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场合</w:t>
            </w:r>
          </w:p>
        </w:tc>
        <w:tc>
          <w:tcPr>
            <w:tcW w:w="4111" w:type="dxa"/>
            <w:shd w:val="clear" w:color="auto" w:fill="auto"/>
            <w:vAlign w:val="center"/>
          </w:tcPr>
          <w:p>
            <w:pPr>
              <w:widowControl/>
              <w:adjustRightInd w:val="0"/>
              <w:spacing w:line="320" w:lineRule="exact"/>
              <w:jc w:val="center"/>
              <w:textAlignment w:val="baseline"/>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样式</w:t>
            </w:r>
          </w:p>
        </w:tc>
        <w:tc>
          <w:tcPr>
            <w:tcW w:w="2887" w:type="dxa"/>
            <w:shd w:val="clear" w:color="auto" w:fill="auto"/>
            <w:vAlign w:val="center"/>
          </w:tcPr>
          <w:p>
            <w:pPr>
              <w:widowControl/>
              <w:adjustRightInd w:val="0"/>
              <w:spacing w:line="320" w:lineRule="exact"/>
              <w:jc w:val="center"/>
              <w:textAlignment w:val="baseline"/>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24" w:type="dxa"/>
            <w:shd w:val="clear" w:color="auto" w:fill="auto"/>
            <w:vAlign w:val="center"/>
          </w:tcPr>
          <w:p>
            <w:pPr>
              <w:widowControl/>
              <w:adjustRightInd w:val="0"/>
              <w:spacing w:line="320" w:lineRule="exact"/>
              <w:jc w:val="center"/>
              <w:textAlignment w:val="baseline"/>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室外（粘贴于门上或悬挂）</w:t>
            </w:r>
          </w:p>
        </w:tc>
        <w:tc>
          <w:tcPr>
            <w:tcW w:w="4111" w:type="dxa"/>
            <w:shd w:val="clear" w:color="auto" w:fill="auto"/>
            <w:vAlign w:val="center"/>
          </w:tcPr>
          <w:p>
            <w:pPr>
              <w:widowControl/>
              <w:adjustRightInd w:val="0"/>
              <w:spacing w:line="320" w:lineRule="exact"/>
              <w:textAlignment w:val="baseline"/>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drawing>
                <wp:anchor distT="0" distB="0" distL="114300" distR="114300" simplePos="0" relativeHeight="252396544" behindDoc="1" locked="0" layoutInCell="1" allowOverlap="1">
                  <wp:simplePos x="0" y="0"/>
                  <wp:positionH relativeFrom="column">
                    <wp:posOffset>542925</wp:posOffset>
                  </wp:positionH>
                  <wp:positionV relativeFrom="paragraph">
                    <wp:posOffset>540385</wp:posOffset>
                  </wp:positionV>
                  <wp:extent cx="1400175" cy="1314450"/>
                  <wp:effectExtent l="0" t="0" r="0" b="0"/>
                  <wp:wrapSquare wrapText="bothSides"/>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400175" cy="1314450"/>
                          </a:xfrm>
                          <a:prstGeom prst="rect">
                            <a:avLst/>
                          </a:prstGeom>
                          <a:noFill/>
                        </pic:spPr>
                      </pic:pic>
                    </a:graphicData>
                  </a:graphic>
                </wp:anchor>
              </w:drawing>
            </w:r>
          </w:p>
        </w:tc>
        <w:tc>
          <w:tcPr>
            <w:tcW w:w="2887" w:type="dxa"/>
            <w:shd w:val="clear" w:color="auto" w:fill="auto"/>
            <w:vAlign w:val="center"/>
          </w:tcPr>
          <w:p>
            <w:pPr>
              <w:widowControl/>
              <w:numPr>
                <w:ilvl w:val="0"/>
                <w:numId w:val="14"/>
              </w:numPr>
              <w:adjustRightInd w:val="0"/>
              <w:spacing w:line="320" w:lineRule="exact"/>
              <w:jc w:val="left"/>
              <w:textAlignment w:val="baseline"/>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危险废物警告标志规格色：</w:t>
            </w:r>
          </w:p>
          <w:p>
            <w:pP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形状：等边三角形，边长40cm</w:t>
            </w:r>
          </w:p>
          <w:p>
            <w:pP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颜色：背景为黄色，图形为黑色</w:t>
            </w:r>
          </w:p>
          <w:p>
            <w:pPr>
              <w:numPr>
                <w:ilvl w:val="0"/>
                <w:numId w:val="14"/>
              </w:numP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警告标志外檐2.5cm</w:t>
            </w:r>
          </w:p>
          <w:p>
            <w:pPr>
              <w:numPr>
                <w:ilvl w:val="0"/>
                <w:numId w:val="14"/>
              </w:numPr>
              <w:jc w:val="left"/>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适用于：危险废物贮存设施为房屋的，建有围墙或防护栅栏，且高度高于100cm时；部分危险废物利用、处置场所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24" w:type="dxa"/>
            <w:shd w:val="clear" w:color="auto" w:fill="auto"/>
            <w:vAlign w:val="center"/>
          </w:tcPr>
          <w:p>
            <w:pPr>
              <w:widowControl/>
              <w:adjustRightInd w:val="0"/>
              <w:spacing w:line="320" w:lineRule="exact"/>
              <w:jc w:val="center"/>
              <w:textAlignment w:val="baseline"/>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粘贴于危险废物储存容器</w:t>
            </w:r>
          </w:p>
        </w:tc>
        <w:tc>
          <w:tcPr>
            <w:tcW w:w="4111" w:type="dxa"/>
            <w:shd w:val="clear" w:color="auto" w:fill="auto"/>
            <w:vAlign w:val="center"/>
          </w:tcPr>
          <w:p>
            <w:pPr>
              <w:widowControl/>
              <w:adjustRightInd w:val="0"/>
              <w:spacing w:line="320" w:lineRule="exact"/>
              <w:jc w:val="center"/>
              <w:textAlignment w:val="baseline"/>
              <w:rPr>
                <w:rFonts w:ascii="Times New Roman" w:hAnsi="Times New Roman" w:eastAsia="宋体" w:cs="Times New Roman"/>
                <w:bCs/>
                <w:color w:val="000000" w:themeColor="text1"/>
                <w:szCs w:val="21"/>
              </w:rPr>
            </w:pPr>
            <w:r>
              <w:rPr>
                <w:rFonts w:ascii="Arial" w:hAnsi="Arial" w:eastAsia="宋体" w:cs="Times New Roman"/>
                <w:bCs/>
                <w:color w:val="000000" w:themeColor="text1"/>
                <w:szCs w:val="21"/>
              </w:rPr>
              <w:drawing>
                <wp:anchor distT="0" distB="0" distL="114300" distR="114300" simplePos="0" relativeHeight="252397568" behindDoc="0" locked="0" layoutInCell="1" allowOverlap="1">
                  <wp:simplePos x="0" y="0"/>
                  <wp:positionH relativeFrom="column">
                    <wp:posOffset>-62865</wp:posOffset>
                  </wp:positionH>
                  <wp:positionV relativeFrom="paragraph">
                    <wp:posOffset>-1760220</wp:posOffset>
                  </wp:positionV>
                  <wp:extent cx="2465705" cy="1861820"/>
                  <wp:effectExtent l="0" t="0" r="0" b="0"/>
                  <wp:wrapSquare wrapText="bothSides"/>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465705" cy="1861820"/>
                          </a:xfrm>
                          <a:prstGeom prst="rect">
                            <a:avLst/>
                          </a:prstGeom>
                          <a:noFill/>
                          <a:ln>
                            <a:noFill/>
                          </a:ln>
                        </pic:spPr>
                      </pic:pic>
                    </a:graphicData>
                  </a:graphic>
                </wp:anchor>
              </w:drawing>
            </w:r>
          </w:p>
        </w:tc>
        <w:tc>
          <w:tcPr>
            <w:tcW w:w="2887" w:type="dxa"/>
            <w:shd w:val="clear" w:color="auto" w:fill="auto"/>
            <w:vAlign w:val="center"/>
          </w:tcPr>
          <w:p>
            <w:pPr>
              <w:widowControl/>
              <w:numPr>
                <w:ilvl w:val="0"/>
                <w:numId w:val="15"/>
              </w:numPr>
              <w:adjustRightInd w:val="0"/>
              <w:spacing w:line="320" w:lineRule="exact"/>
              <w:jc w:val="center"/>
              <w:textAlignment w:val="baseline"/>
              <w:rPr>
                <w:rFonts w:ascii="Times New Roman" w:hAnsi="Times New Roman" w:eastAsia="宋体" w:cs="Times New Roman"/>
                <w:bCs/>
                <w:color w:val="000000" w:themeColor="text1"/>
                <w:szCs w:val="21"/>
              </w:rPr>
            </w:pPr>
            <w:r>
              <w:rPr>
                <w:rFonts w:hint="eastAsia" w:ascii="Times New Roman" w:hAnsi="Times New Roman" w:eastAsia="宋体" w:cs="Times New Roman"/>
                <w:bCs/>
                <w:color w:val="000000" w:themeColor="text1"/>
                <w:szCs w:val="21"/>
              </w:rPr>
              <w:t>危险废物标签尺寸颜色：</w:t>
            </w:r>
          </w:p>
          <w:p>
            <w:pP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尺寸：20×20cm</w:t>
            </w:r>
          </w:p>
          <w:p>
            <w:pP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底色：醒目的橘黄色</w:t>
            </w:r>
          </w:p>
          <w:p>
            <w:pP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字体：黑字体</w:t>
            </w:r>
          </w:p>
          <w:p>
            <w:pP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字体颜色：黑色</w:t>
            </w:r>
          </w:p>
          <w:p>
            <w:pPr>
              <w:rPr>
                <w:rFonts w:ascii="Times New Roman" w:hAnsi="Times New Roman" w:eastAsia="宋体" w:cs="Times New Roman"/>
                <w:color w:val="000000" w:themeColor="text1"/>
                <w:kern w:val="0"/>
                <w:szCs w:val="21"/>
              </w:rPr>
            </w:pPr>
            <w:r>
              <w:rPr>
                <w:rFonts w:hint="eastAsia" w:ascii="Times New Roman" w:hAnsi="Times New Roman" w:eastAsia="宋体" w:cs="Times New Roman"/>
                <w:color w:val="000000" w:themeColor="text1"/>
                <w:kern w:val="0"/>
                <w:szCs w:val="21"/>
              </w:rPr>
              <w:t>2、危险类别：按危险废物种类选择</w:t>
            </w:r>
          </w:p>
        </w:tc>
      </w:tr>
    </w:tbl>
    <w:p>
      <w:pPr>
        <w:pStyle w:val="3"/>
        <w:spacing w:before="0"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Pr>
          <w:rFonts w:hint="eastAsia"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环境监测计划</w:t>
      </w:r>
      <w:bookmarkEnd w:id="52"/>
    </w:p>
    <w:p>
      <w:pPr>
        <w:pStyle w:val="4"/>
        <w:spacing w:before="0" w:after="0" w:line="36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8.4.1环境监测机构</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根据项目的实际情况，企业可组建环保监测机构负责监测计划的落实，也可委托当地环境保护部门或监测单位进行监测。</w:t>
      </w:r>
    </w:p>
    <w:p>
      <w:pPr>
        <w:pStyle w:val="4"/>
        <w:spacing w:before="0" w:after="0" w:line="36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8.4.2环境现状监测计划</w:t>
      </w:r>
    </w:p>
    <w:p>
      <w:pPr>
        <w:spacing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（1）地下水环境监测</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监测点位：在厂区上、下游及项目场地各布设</w:t>
      </w:r>
      <w:r>
        <w:rPr>
          <w:rFonts w:ascii="Times New Roman" w:hAnsi="Times New Roman" w:cs="Times New Roman"/>
          <w:color w:val="000000" w:themeColor="text1"/>
          <w:sz w:val="24"/>
          <w:szCs w:val="24"/>
        </w:rPr>
        <w:t xml:space="preserve">1 </w:t>
      </w:r>
      <w:r>
        <w:rPr>
          <w:rFonts w:hint="eastAsia" w:ascii="Times New Roman" w:hAnsi="Times New Roman" w:cs="Times New Roman"/>
          <w:color w:val="000000" w:themeColor="text1"/>
          <w:sz w:val="24"/>
          <w:szCs w:val="24"/>
        </w:rPr>
        <w:t>个地下水监测点。</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监测项目：</w:t>
      </w:r>
      <w:r>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vertAlign w:val="superscript"/>
        </w:rPr>
        <w:t>+</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Na</w:t>
      </w:r>
      <w:r>
        <w:rPr>
          <w:rFonts w:ascii="Times New Roman" w:hAnsi="Times New Roman" w:cs="Times New Roman"/>
          <w:color w:val="000000" w:themeColor="text1"/>
          <w:sz w:val="24"/>
          <w:szCs w:val="24"/>
          <w:vertAlign w:val="superscript"/>
        </w:rPr>
        <w:t>+</w:t>
      </w:r>
      <w:r>
        <w:rPr>
          <w:rFonts w:ascii="Times New Roman" w:hAnsi="Times New Roman" w:cs="Times New Roman"/>
          <w:color w:val="000000" w:themeColor="text1"/>
          <w:sz w:val="24"/>
          <w:szCs w:val="24"/>
        </w:rPr>
        <w:t>、Ca</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、Mg</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、CO</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、HCO</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vertAlign w:val="superscript"/>
        </w:rPr>
        <w:t>-</w:t>
      </w:r>
      <w:r>
        <w:rPr>
          <w:rFonts w:ascii="Times New Roman" w:hAnsi="Times New Roman" w:cs="Times New Roman"/>
          <w:color w:val="000000" w:themeColor="text1"/>
          <w:sz w:val="24"/>
          <w:szCs w:val="24"/>
        </w:rPr>
        <w:t>、Cl</w:t>
      </w:r>
      <w:r>
        <w:rPr>
          <w:rFonts w:ascii="Times New Roman" w:hAnsi="Times New Roman" w:cs="Times New Roman"/>
          <w:color w:val="000000" w:themeColor="text1"/>
          <w:sz w:val="24"/>
          <w:szCs w:val="24"/>
          <w:vertAlign w:val="superscript"/>
        </w:rPr>
        <w:t>-</w:t>
      </w:r>
      <w:r>
        <w:rPr>
          <w:rFonts w:ascii="Times New Roman" w:hAnsi="Times New Roman" w:cs="Times New Roman"/>
          <w:color w:val="000000" w:themeColor="text1"/>
          <w:sz w:val="24"/>
          <w:szCs w:val="24"/>
        </w:rPr>
        <w:t>、SO</w:t>
      </w:r>
      <w:r>
        <w:rPr>
          <w:rFonts w:ascii="Times New Roman" w:hAnsi="Times New Roman" w:cs="Times New Roman"/>
          <w:color w:val="000000" w:themeColor="text1"/>
          <w:sz w:val="24"/>
          <w:szCs w:val="24"/>
          <w:vertAlign w:val="subscript"/>
        </w:rPr>
        <w:t>4</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、pH、氨氮、</w:t>
      </w:r>
      <w:r>
        <w:rPr>
          <w:rFonts w:hint="eastAsia" w:ascii="Times New Roman" w:hAnsi="Times New Roman" w:cs="Times New Roman"/>
          <w:color w:val="000000" w:themeColor="text1"/>
          <w:sz w:val="24"/>
          <w:szCs w:val="24"/>
        </w:rPr>
        <w:t>硫化物、</w:t>
      </w:r>
      <w:r>
        <w:rPr>
          <w:rFonts w:ascii="Times New Roman" w:hAnsi="Times New Roman" w:cs="Times New Roman"/>
          <w:color w:val="000000" w:themeColor="text1"/>
          <w:sz w:val="24"/>
          <w:szCs w:val="24"/>
        </w:rPr>
        <w:t>硝酸盐、亚硝酸盐、挥发性酚类、氰化物、砷、汞、铬（六价）、总硬度、铅、氟</w:t>
      </w:r>
      <w:r>
        <w:rPr>
          <w:rFonts w:hint="eastAsia" w:ascii="Times New Roman" w:hAnsi="Times New Roman" w:cs="Times New Roman"/>
          <w:color w:val="000000" w:themeColor="text1"/>
          <w:sz w:val="24"/>
          <w:szCs w:val="24"/>
        </w:rPr>
        <w:t>化物</w:t>
      </w:r>
      <w:r>
        <w:rPr>
          <w:rFonts w:ascii="Times New Roman" w:hAnsi="Times New Roman" w:cs="Times New Roman"/>
          <w:color w:val="000000" w:themeColor="text1"/>
          <w:sz w:val="24"/>
          <w:szCs w:val="24"/>
        </w:rPr>
        <w:t>、</w:t>
      </w:r>
      <w:r>
        <w:rPr>
          <w:rFonts w:hint="eastAsia" w:ascii="Times New Roman" w:hAnsi="Times New Roman" w:cs="Times New Roman"/>
          <w:color w:val="000000" w:themeColor="text1"/>
          <w:sz w:val="24"/>
          <w:szCs w:val="24"/>
        </w:rPr>
        <w:t>碘化物、</w:t>
      </w:r>
      <w:r>
        <w:rPr>
          <w:rFonts w:ascii="Times New Roman" w:hAnsi="Times New Roman" w:cs="Times New Roman"/>
          <w:color w:val="000000" w:themeColor="text1"/>
          <w:sz w:val="24"/>
          <w:szCs w:val="24"/>
        </w:rPr>
        <w:t>镉、铁、锰、</w:t>
      </w:r>
      <w:r>
        <w:rPr>
          <w:rFonts w:hint="eastAsia" w:ascii="Times New Roman" w:hAnsi="Times New Roman" w:cs="Times New Roman"/>
          <w:color w:val="000000" w:themeColor="text1"/>
          <w:sz w:val="24"/>
          <w:szCs w:val="24"/>
        </w:rPr>
        <w:t>锌、钼、铜、硒、阴离子表面活性剂、</w:t>
      </w:r>
      <w:r>
        <w:rPr>
          <w:rFonts w:ascii="Times New Roman" w:hAnsi="Times New Roman" w:cs="Times New Roman"/>
          <w:color w:val="000000" w:themeColor="text1"/>
          <w:sz w:val="24"/>
          <w:szCs w:val="24"/>
        </w:rPr>
        <w:t>溶解性总固体、</w:t>
      </w:r>
      <w:r>
        <w:rPr>
          <w:rFonts w:hint="eastAsia" w:ascii="Times New Roman" w:hAnsi="Times New Roman" w:cs="Times New Roman"/>
          <w:color w:val="000000" w:themeColor="text1"/>
          <w:sz w:val="24"/>
          <w:szCs w:val="24"/>
        </w:rPr>
        <w:t>耗氧量</w:t>
      </w:r>
      <w:r>
        <w:rPr>
          <w:rFonts w:ascii="Times New Roman" w:hAnsi="Times New Roman" w:cs="Times New Roman"/>
          <w:color w:val="000000" w:themeColor="text1"/>
          <w:sz w:val="24"/>
          <w:szCs w:val="24"/>
        </w:rPr>
        <w:t>、总大肠菌群、</w:t>
      </w:r>
      <w:r>
        <w:rPr>
          <w:rFonts w:hint="eastAsia" w:ascii="Times New Roman" w:hAnsi="Times New Roman" w:cs="Times New Roman"/>
          <w:color w:val="000000" w:themeColor="text1"/>
          <w:sz w:val="24"/>
          <w:szCs w:val="24"/>
        </w:rPr>
        <w:t>菌落</w:t>
      </w:r>
      <w:r>
        <w:rPr>
          <w:rFonts w:ascii="Times New Roman" w:hAnsi="Times New Roman" w:cs="Times New Roman"/>
          <w:color w:val="000000" w:themeColor="text1"/>
          <w:sz w:val="24"/>
          <w:szCs w:val="24"/>
        </w:rPr>
        <w:t>总数</w:t>
      </w:r>
      <w:r>
        <w:rPr>
          <w:rFonts w:hint="eastAsia" w:ascii="Times New Roman" w:hAnsi="Times New Roman" w:cs="Times New Roman"/>
          <w:color w:val="000000" w:themeColor="text1"/>
          <w:sz w:val="24"/>
          <w:szCs w:val="24"/>
        </w:rPr>
        <w:t>。</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监测频率：每年监测一次，每次取水样一件。</w:t>
      </w:r>
    </w:p>
    <w:p>
      <w:pPr>
        <w:pStyle w:val="4"/>
        <w:spacing w:before="0" w:after="0" w:line="360" w:lineRule="auto"/>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8.4.3污染源监测计划</w:t>
      </w:r>
    </w:p>
    <w:p>
      <w:pPr>
        <w:spacing w:line="360" w:lineRule="auto"/>
        <w:ind w:firstLine="480" w:firstLineChars="200"/>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根据</w:t>
      </w:r>
      <w:r>
        <w:rPr>
          <w:rFonts w:ascii="Times New Roman" w:hAnsi="Calibri" w:eastAsia="宋体" w:cs="Times New Roman"/>
          <w:color w:val="000000" w:themeColor="text1"/>
          <w:sz w:val="24"/>
          <w:szCs w:val="24"/>
        </w:rPr>
        <w:t>《排污单位自行监测技术指南</w:t>
      </w:r>
      <w:r>
        <w:rPr>
          <w:rFonts w:ascii="Times New Roman" w:hAnsi="Times New Roman" w:eastAsia="宋体" w:cs="Times New Roman"/>
          <w:color w:val="000000" w:themeColor="text1"/>
          <w:sz w:val="24"/>
          <w:szCs w:val="24"/>
        </w:rPr>
        <w:t xml:space="preserve">  </w:t>
      </w:r>
      <w:r>
        <w:rPr>
          <w:rFonts w:ascii="Times New Roman" w:hAnsi="Calibri" w:eastAsia="宋体" w:cs="Times New Roman"/>
          <w:color w:val="000000" w:themeColor="text1"/>
          <w:sz w:val="24"/>
          <w:szCs w:val="24"/>
        </w:rPr>
        <w:t>总则》（</w:t>
      </w:r>
      <w:r>
        <w:rPr>
          <w:rFonts w:ascii="Times New Roman" w:hAnsi="Times New Roman" w:eastAsia="宋体" w:cs="Times New Roman"/>
          <w:color w:val="000000" w:themeColor="text1"/>
          <w:sz w:val="24"/>
          <w:szCs w:val="24"/>
        </w:rPr>
        <w:t>HJ819-2017</w:t>
      </w:r>
      <w:r>
        <w:rPr>
          <w:rFonts w:ascii="Times New Roman" w:hAnsi="Calibri" w:eastAsia="宋体" w:cs="Times New Roman"/>
          <w:color w:val="000000" w:themeColor="text1"/>
          <w:sz w:val="24"/>
          <w:szCs w:val="24"/>
        </w:rPr>
        <w:t>）</w:t>
      </w:r>
      <w:r>
        <w:rPr>
          <w:rFonts w:hint="eastAsia" w:ascii="Times New Roman" w:cs="Times New Roman"/>
          <w:color w:val="000000" w:themeColor="text1"/>
          <w:sz w:val="24"/>
          <w:szCs w:val="24"/>
        </w:rPr>
        <w:t>，确定本项目</w:t>
      </w:r>
      <w:r>
        <w:rPr>
          <w:rFonts w:ascii="Calibri" w:hAnsi="Calibri" w:eastAsia="宋体" w:cs="Times New Roman"/>
          <w:color w:val="000000" w:themeColor="text1"/>
          <w:sz w:val="24"/>
          <w:szCs w:val="24"/>
        </w:rPr>
        <w:t>监测点位、监测项目、监测频次</w:t>
      </w:r>
      <w:r>
        <w:rPr>
          <w:rFonts w:hint="eastAsia"/>
          <w:color w:val="000000" w:themeColor="text1"/>
          <w:sz w:val="24"/>
          <w:szCs w:val="24"/>
        </w:rPr>
        <w:t>。</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（1）废气监测</w:t>
      </w:r>
    </w:p>
    <w:p>
      <w:pPr>
        <w:spacing w:line="360" w:lineRule="auto"/>
        <w:ind w:firstLine="480" w:firstLineChars="200"/>
        <w:rPr>
          <w:rFonts w:ascii="Times New Roman" w:hAnsi="Times New Roman" w:cs="Times New Roman"/>
          <w:color w:val="000000" w:themeColor="text1"/>
          <w:sz w:val="24"/>
          <w:szCs w:val="24"/>
        </w:rPr>
      </w:pPr>
      <w:r>
        <w:rPr>
          <w:rFonts w:hint="eastAsia" w:cs="Times New Roman" w:asciiTheme="minorEastAsia" w:hAnsiTheme="minorEastAsia"/>
          <w:color w:val="000000" w:themeColor="text1"/>
          <w:sz w:val="24"/>
          <w:szCs w:val="24"/>
        </w:rPr>
        <w:t>①</w:t>
      </w:r>
      <w:r>
        <w:rPr>
          <w:rFonts w:hint="eastAsia" w:ascii="Times New Roman" w:hAnsi="Times New Roman" w:cs="Times New Roman"/>
          <w:color w:val="000000" w:themeColor="text1"/>
          <w:sz w:val="24"/>
          <w:szCs w:val="24"/>
        </w:rPr>
        <w:t>有组织废气监测</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监测布点：水喷淋装置</w:t>
      </w:r>
      <w:r>
        <w:rPr>
          <w:rFonts w:ascii="Times New Roman" w:hAnsi="Times New Roman" w:cs="Times New Roman"/>
          <w:color w:val="000000" w:themeColor="text1"/>
          <w:sz w:val="24"/>
          <w:szCs w:val="24"/>
        </w:rPr>
        <w:t>+UV</w:t>
      </w:r>
      <w:r>
        <w:rPr>
          <w:rFonts w:hint="eastAsia" w:ascii="Times New Roman" w:hAnsi="Times New Roman" w:cs="Times New Roman"/>
          <w:color w:val="000000" w:themeColor="text1"/>
          <w:sz w:val="24"/>
          <w:szCs w:val="24"/>
        </w:rPr>
        <w:t>紫外线光解净化器装置进口，排气筒出口预留采样孔各设1 个监测点。</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监测项目：废气量、氨、硫化氢、臭气浓度。</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监测频率：每半年监测一次。</w:t>
      </w:r>
    </w:p>
    <w:p>
      <w:pPr>
        <w:spacing w:line="360" w:lineRule="auto"/>
        <w:ind w:firstLine="480" w:firstLineChars="200"/>
        <w:rPr>
          <w:rFonts w:ascii="Times New Roman" w:hAnsi="Times New Roman" w:cs="Times New Roman"/>
          <w:color w:val="000000" w:themeColor="text1"/>
          <w:sz w:val="24"/>
          <w:szCs w:val="24"/>
        </w:rPr>
      </w:pPr>
      <w:r>
        <w:rPr>
          <w:rFonts w:hint="eastAsia" w:cs="Times New Roman" w:asciiTheme="minorEastAsia" w:hAnsiTheme="minorEastAsia"/>
          <w:color w:val="000000" w:themeColor="text1"/>
          <w:sz w:val="24"/>
          <w:szCs w:val="24"/>
        </w:rPr>
        <w:t>②</w:t>
      </w:r>
      <w:r>
        <w:rPr>
          <w:rFonts w:hint="eastAsia" w:ascii="Times New Roman" w:hAnsi="Times New Roman" w:cs="Times New Roman"/>
          <w:color w:val="000000" w:themeColor="text1"/>
          <w:sz w:val="24"/>
          <w:szCs w:val="24"/>
        </w:rPr>
        <w:t>无组织废气监测</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监测布点：厂界下风向。</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监测项目：氨、硫化氢、臭气浓度。</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监测频率：每半年监测一次。</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（2）废水监测</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监测布点：厂区污水出口。</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监测项目：废水量、COD、SS、氨氮、总氮、总磷、</w:t>
      </w:r>
      <w:r>
        <w:rPr>
          <w:rFonts w:ascii="Times New Roman" w:hAnsi="Times New Roman" w:eastAsia="宋体"/>
          <w:color w:val="000000" w:themeColor="text1"/>
          <w:sz w:val="24"/>
          <w:szCs w:val="24"/>
        </w:rPr>
        <w:t>粪大肠菌群</w:t>
      </w:r>
      <w:r>
        <w:rPr>
          <w:rFonts w:hint="eastAsia" w:ascii="Times New Roman" w:hAnsi="Times New Roman" w:eastAsia="宋体"/>
          <w:color w:val="000000" w:themeColor="text1"/>
          <w:sz w:val="24"/>
          <w:szCs w:val="24"/>
        </w:rPr>
        <w:t>、总余氯</w:t>
      </w:r>
      <w:r>
        <w:rPr>
          <w:rFonts w:hint="eastAsia" w:ascii="Times New Roman" w:hAnsi="Times New Roman" w:cs="Times New Roman"/>
          <w:color w:val="000000" w:themeColor="text1"/>
          <w:sz w:val="24"/>
          <w:szCs w:val="24"/>
        </w:rPr>
        <w:t>。</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监测频率：每季度监测一次。</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噪声监测</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监测点位置：在</w:t>
      </w:r>
      <w:r>
        <w:rPr>
          <w:rFonts w:hint="eastAsia" w:ascii="Times New Roman" w:hAnsi="Times New Roman" w:cs="Times New Roman"/>
          <w:color w:val="000000" w:themeColor="text1"/>
          <w:sz w:val="24"/>
          <w:szCs w:val="24"/>
        </w:rPr>
        <w:t>厂区</w:t>
      </w:r>
      <w:r>
        <w:rPr>
          <w:rFonts w:ascii="Times New Roman" w:hAnsi="Times New Roman" w:cs="Times New Roman"/>
          <w:color w:val="000000" w:themeColor="text1"/>
          <w:sz w:val="24"/>
          <w:szCs w:val="24"/>
        </w:rPr>
        <w:t>东、西、南、北</w:t>
      </w:r>
      <w:r>
        <w:rPr>
          <w:rFonts w:hint="eastAsia" w:ascii="Times New Roman" w:hAnsi="Times New Roman" w:cs="Times New Roman"/>
          <w:color w:val="000000" w:themeColor="text1"/>
          <w:sz w:val="24"/>
          <w:szCs w:val="24"/>
        </w:rPr>
        <w:t>厂界外1m</w:t>
      </w:r>
      <w:r>
        <w:rPr>
          <w:rFonts w:ascii="Times New Roman" w:hAnsi="Times New Roman" w:cs="Times New Roman"/>
          <w:color w:val="000000" w:themeColor="text1"/>
          <w:sz w:val="24"/>
          <w:szCs w:val="24"/>
        </w:rPr>
        <w:t>各设一个监测点。</w:t>
      </w:r>
      <w:r>
        <w:rPr>
          <w:rFonts w:hint="eastAsia" w:ascii="Times New Roman" w:hAnsi="Times New Roman" w:cs="Times New Roman"/>
          <w:color w:val="000000" w:themeColor="text1"/>
          <w:sz w:val="24"/>
          <w:szCs w:val="24"/>
        </w:rPr>
        <w:t>西侧敏感点文景苑小区、东侧敏感点中央司法警官学院、北侧华北电力大学各设一个</w:t>
      </w:r>
      <w:r>
        <w:rPr>
          <w:rFonts w:ascii="Times New Roman" w:hAnsi="Times New Roman" w:cs="Times New Roman"/>
          <w:color w:val="000000" w:themeColor="text1"/>
          <w:sz w:val="24"/>
          <w:szCs w:val="24"/>
        </w:rPr>
        <w:t>监测点。</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监测项目：等效连续A声级。</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监测频率：每</w:t>
      </w:r>
      <w:r>
        <w:rPr>
          <w:rFonts w:hint="eastAsia" w:ascii="Times New Roman" w:hAnsi="Times New Roman" w:cs="Times New Roman"/>
          <w:color w:val="000000" w:themeColor="text1"/>
          <w:sz w:val="24"/>
          <w:szCs w:val="24"/>
        </w:rPr>
        <w:t>季度</w:t>
      </w:r>
      <w:r>
        <w:rPr>
          <w:rFonts w:ascii="Times New Roman" w:hAnsi="Times New Roman" w:cs="Times New Roman"/>
          <w:color w:val="000000" w:themeColor="text1"/>
          <w:sz w:val="24"/>
          <w:szCs w:val="24"/>
        </w:rPr>
        <w:t>监测一次，</w:t>
      </w:r>
      <w:r>
        <w:rPr>
          <w:rFonts w:hint="eastAsia" w:ascii="Times New Roman" w:hAnsi="Times New Roman" w:cs="Times New Roman"/>
          <w:color w:val="000000" w:themeColor="text1"/>
          <w:sz w:val="24"/>
          <w:szCs w:val="24"/>
        </w:rPr>
        <w:t>分昼、夜两时段进行</w:t>
      </w:r>
      <w:r>
        <w:rPr>
          <w:rFonts w:ascii="Times New Roman" w:hAnsi="Times New Roman" w:cs="Times New Roman"/>
          <w:color w:val="000000" w:themeColor="text1"/>
          <w:sz w:val="24"/>
          <w:szCs w:val="24"/>
        </w:rPr>
        <w:t>。</w:t>
      </w:r>
    </w:p>
    <w:p>
      <w:pPr>
        <w:pStyle w:val="3"/>
        <w:spacing w:before="0" w:after="0" w:line="360" w:lineRule="auto"/>
        <w:rPr>
          <w:rFonts w:ascii="Times New Roman" w:hAnsi="Times New Roman" w:cs="Times New Roman"/>
          <w:sz w:val="28"/>
          <w:szCs w:val="28"/>
        </w:rPr>
      </w:pPr>
      <w:bookmarkStart w:id="53" w:name="_Toc13725375"/>
      <w:r>
        <w:rPr>
          <w:rFonts w:hint="eastAsia" w:ascii="Times New Roman" w:hAnsi="Times New Roman" w:cs="Times New Roman"/>
          <w:sz w:val="28"/>
          <w:szCs w:val="28"/>
        </w:rPr>
        <w:t>8.5建设项目竣工环境保护验收内容</w:t>
      </w:r>
      <w:bookmarkEnd w:id="53"/>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依据建设项目管理办法，环境保护设施必须与主体工程同时设计、同时施工、同时投入使用，在建设项目完成后，应对环境保护设施进行验收。</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本项目环境保护验收内容见表8-2。</w:t>
      </w: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p>
    <w:p>
      <w:pPr>
        <w:spacing w:line="360" w:lineRule="auto"/>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r>
        <w:rPr>
          <w:rFonts w:hint="eastAsia" w:ascii="Times New Roman" w:hAnsi="Times New Roman" w:cs="Times New Roman"/>
          <w:b/>
          <w:sz w:val="24"/>
          <w:szCs w:val="24"/>
        </w:rPr>
        <w:t>表8-2 建设项目环境保护“三同时”一览表</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26"/>
        <w:gridCol w:w="107"/>
        <w:gridCol w:w="1093"/>
        <w:gridCol w:w="2324"/>
        <w:gridCol w:w="1119"/>
        <w:gridCol w:w="853"/>
        <w:gridCol w:w="2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vAlign w:val="center"/>
          </w:tcPr>
          <w:p>
            <w:pPr>
              <w:spacing w:line="28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类型</w:t>
            </w:r>
          </w:p>
        </w:tc>
        <w:tc>
          <w:tcPr>
            <w:tcW w:w="1626" w:type="dxa"/>
            <w:gridSpan w:val="3"/>
            <w:vAlign w:val="center"/>
          </w:tcPr>
          <w:p>
            <w:pPr>
              <w:spacing w:line="28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治理对象</w:t>
            </w:r>
          </w:p>
        </w:tc>
        <w:tc>
          <w:tcPr>
            <w:tcW w:w="2324" w:type="dxa"/>
            <w:vAlign w:val="center"/>
          </w:tcPr>
          <w:p>
            <w:pPr>
              <w:spacing w:line="28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治理措施</w:t>
            </w:r>
          </w:p>
        </w:tc>
        <w:tc>
          <w:tcPr>
            <w:tcW w:w="1972" w:type="dxa"/>
            <w:gridSpan w:val="2"/>
            <w:vAlign w:val="center"/>
          </w:tcPr>
          <w:p>
            <w:pPr>
              <w:spacing w:line="28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治理效果</w:t>
            </w:r>
          </w:p>
        </w:tc>
        <w:tc>
          <w:tcPr>
            <w:tcW w:w="2174" w:type="dxa"/>
            <w:vAlign w:val="center"/>
          </w:tcPr>
          <w:p>
            <w:pPr>
              <w:spacing w:line="28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trPr>
        <w:tc>
          <w:tcPr>
            <w:tcW w:w="426" w:type="dxa"/>
            <w:vMerge w:val="restart"/>
            <w:vAlign w:val="center"/>
          </w:tcPr>
          <w:p>
            <w:pPr>
              <w:spacing w:line="28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废气</w:t>
            </w:r>
          </w:p>
        </w:tc>
        <w:tc>
          <w:tcPr>
            <w:tcW w:w="426" w:type="dxa"/>
            <w:vMerge w:val="restart"/>
            <w:vAlign w:val="center"/>
          </w:tcPr>
          <w:p>
            <w:pPr>
              <w:spacing w:line="28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有组织</w:t>
            </w:r>
          </w:p>
        </w:tc>
        <w:tc>
          <w:tcPr>
            <w:tcW w:w="1200" w:type="dxa"/>
            <w:gridSpan w:val="2"/>
            <w:vMerge w:val="restart"/>
            <w:vAlign w:val="center"/>
          </w:tcPr>
          <w:p>
            <w:pPr>
              <w:spacing w:line="28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污水处理站运行产生恶臭气体</w:t>
            </w:r>
          </w:p>
        </w:tc>
        <w:tc>
          <w:tcPr>
            <w:tcW w:w="2324" w:type="dxa"/>
            <w:vMerge w:val="restart"/>
            <w:vAlign w:val="center"/>
          </w:tcPr>
          <w:p>
            <w:pPr>
              <w:spacing w:line="280" w:lineRule="exact"/>
              <w:jc w:val="center"/>
              <w:rPr>
                <w:rFonts w:ascii="Times New Roman" w:hAnsi="Times New Roman" w:cs="Times New Roman"/>
                <w:color w:val="000000" w:themeColor="text1"/>
                <w:szCs w:val="21"/>
              </w:rPr>
            </w:pPr>
            <w:r>
              <w:rPr>
                <w:rFonts w:hint="eastAsia"/>
                <w:color w:val="000000" w:themeColor="text1"/>
                <w:szCs w:val="21"/>
              </w:rPr>
              <w:t>通过集气管道</w:t>
            </w:r>
            <w:r>
              <w:rPr>
                <w:color w:val="000000" w:themeColor="text1"/>
                <w:szCs w:val="21"/>
              </w:rPr>
              <w:t>+</w:t>
            </w:r>
            <w:r>
              <w:rPr>
                <w:rFonts w:hint="eastAsia"/>
                <w:color w:val="000000" w:themeColor="text1"/>
                <w:szCs w:val="21"/>
              </w:rPr>
              <w:t>水喷淋装置</w:t>
            </w:r>
            <w:r>
              <w:rPr>
                <w:color w:val="000000" w:themeColor="text1"/>
                <w:szCs w:val="21"/>
              </w:rPr>
              <w:t>+UV</w:t>
            </w:r>
            <w:r>
              <w:rPr>
                <w:rFonts w:hint="eastAsia"/>
                <w:color w:val="000000" w:themeColor="text1"/>
                <w:szCs w:val="21"/>
              </w:rPr>
              <w:t>紫外线光解净化器</w:t>
            </w:r>
            <w:r>
              <w:rPr>
                <w:color w:val="000000" w:themeColor="text1"/>
                <w:szCs w:val="21"/>
              </w:rPr>
              <w:t>+1</w:t>
            </w:r>
            <w:r>
              <w:rPr>
                <w:rFonts w:hint="eastAsia"/>
                <w:color w:val="000000" w:themeColor="text1"/>
                <w:szCs w:val="21"/>
              </w:rPr>
              <w:t>根</w:t>
            </w:r>
            <w:r>
              <w:rPr>
                <w:color w:val="000000" w:themeColor="text1"/>
                <w:szCs w:val="21"/>
              </w:rPr>
              <w:t>15m</w:t>
            </w:r>
            <w:r>
              <w:rPr>
                <w:rFonts w:hint="eastAsia"/>
                <w:color w:val="000000" w:themeColor="text1"/>
                <w:szCs w:val="21"/>
              </w:rPr>
              <w:t>高排气筒</w:t>
            </w:r>
          </w:p>
        </w:tc>
        <w:tc>
          <w:tcPr>
            <w:tcW w:w="1972" w:type="dxa"/>
            <w:gridSpan w:val="2"/>
            <w:vAlign w:val="center"/>
          </w:tcPr>
          <w:p>
            <w:pPr>
              <w:spacing w:line="28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臭气浓度≤</w:t>
            </w:r>
            <w:r>
              <w:rPr>
                <w:rFonts w:ascii="Times New Roman" w:hAnsi="Times New Roman" w:cs="Times New Roman"/>
                <w:color w:val="000000" w:themeColor="text1"/>
                <w:szCs w:val="21"/>
              </w:rPr>
              <w:t>2000</w:t>
            </w:r>
            <w:r>
              <w:rPr>
                <w:rFonts w:hint="eastAsia" w:ascii="Times New Roman" w:hAnsi="Times New Roman" w:cs="Times New Roman"/>
                <w:color w:val="000000" w:themeColor="text1"/>
                <w:szCs w:val="21"/>
              </w:rPr>
              <w:t>（无量纲）</w:t>
            </w:r>
          </w:p>
        </w:tc>
        <w:tc>
          <w:tcPr>
            <w:tcW w:w="2174" w:type="dxa"/>
            <w:vMerge w:val="restart"/>
            <w:vAlign w:val="center"/>
          </w:tcPr>
          <w:p>
            <w:pPr>
              <w:spacing w:line="28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《恶臭污染物排放标准》（</w:t>
            </w:r>
            <w:r>
              <w:rPr>
                <w:rFonts w:ascii="Times New Roman" w:hAnsi="Times New Roman" w:cs="Times New Roman"/>
                <w:color w:val="000000" w:themeColor="text1"/>
                <w:szCs w:val="21"/>
              </w:rPr>
              <w:t>GB14554-93</w:t>
            </w:r>
            <w:r>
              <w:rPr>
                <w:rFonts w:hint="eastAsia" w:ascii="Times New Roman" w:hAnsi="Times New Roman" w:cs="Times New Roman"/>
                <w:color w:val="000000" w:themeColor="text1"/>
                <w:szCs w:val="21"/>
              </w:rPr>
              <w:t>）表</w:t>
            </w:r>
            <w:r>
              <w:rPr>
                <w:rFonts w:ascii="Times New Roman" w:hAnsi="Times New Roman" w:cs="Times New Roman"/>
                <w:color w:val="000000" w:themeColor="text1"/>
                <w:szCs w:val="21"/>
              </w:rPr>
              <w:t>2</w:t>
            </w:r>
            <w:r>
              <w:rPr>
                <w:rFonts w:hint="eastAsia" w:ascii="Times New Roman" w:hAnsi="Times New Roman" w:cs="Times New Roman"/>
                <w:color w:val="000000" w:themeColor="text1"/>
                <w:szCs w:val="21"/>
              </w:rPr>
              <w:t>污染物排放标准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trPr>
        <w:tc>
          <w:tcPr>
            <w:tcW w:w="426" w:type="dxa"/>
            <w:vMerge w:val="continue"/>
            <w:vAlign w:val="center"/>
          </w:tcPr>
          <w:p>
            <w:pPr>
              <w:spacing w:line="280" w:lineRule="exact"/>
              <w:jc w:val="center"/>
              <w:rPr>
                <w:rFonts w:ascii="Times New Roman" w:hAnsi="Times New Roman" w:cs="Times New Roman"/>
                <w:color w:val="000000" w:themeColor="text1"/>
                <w:szCs w:val="21"/>
              </w:rPr>
            </w:pPr>
          </w:p>
        </w:tc>
        <w:tc>
          <w:tcPr>
            <w:tcW w:w="426" w:type="dxa"/>
            <w:vMerge w:val="continue"/>
            <w:vAlign w:val="center"/>
          </w:tcPr>
          <w:p>
            <w:pPr>
              <w:spacing w:line="280" w:lineRule="exact"/>
              <w:jc w:val="center"/>
              <w:rPr>
                <w:rFonts w:ascii="Times New Roman" w:hAnsi="Times New Roman" w:cs="Times New Roman"/>
                <w:color w:val="000000" w:themeColor="text1"/>
                <w:szCs w:val="21"/>
              </w:rPr>
            </w:pPr>
          </w:p>
        </w:tc>
        <w:tc>
          <w:tcPr>
            <w:tcW w:w="1200" w:type="dxa"/>
            <w:gridSpan w:val="2"/>
            <w:vMerge w:val="continue"/>
            <w:vAlign w:val="center"/>
          </w:tcPr>
          <w:p>
            <w:pPr>
              <w:spacing w:line="280" w:lineRule="exact"/>
              <w:jc w:val="center"/>
              <w:rPr>
                <w:rFonts w:ascii="Times New Roman" w:hAnsi="Times New Roman" w:cs="Times New Roman"/>
                <w:color w:val="000000" w:themeColor="text1"/>
                <w:szCs w:val="21"/>
              </w:rPr>
            </w:pPr>
          </w:p>
        </w:tc>
        <w:tc>
          <w:tcPr>
            <w:tcW w:w="2324" w:type="dxa"/>
            <w:vMerge w:val="continue"/>
            <w:vAlign w:val="center"/>
          </w:tcPr>
          <w:p>
            <w:pPr>
              <w:spacing w:line="280" w:lineRule="exact"/>
              <w:jc w:val="center"/>
              <w:rPr>
                <w:color w:val="000000" w:themeColor="text1"/>
                <w:szCs w:val="21"/>
              </w:rPr>
            </w:pPr>
          </w:p>
        </w:tc>
        <w:tc>
          <w:tcPr>
            <w:tcW w:w="1119" w:type="dxa"/>
            <w:vAlign w:val="center"/>
          </w:tcPr>
          <w:p>
            <w:pPr>
              <w:spacing w:line="28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氨≤</w:t>
            </w:r>
            <w:r>
              <w:rPr>
                <w:rFonts w:ascii="Times New Roman" w:hAnsi="Times New Roman" w:cs="Times New Roman"/>
                <w:color w:val="000000" w:themeColor="text1"/>
                <w:szCs w:val="21"/>
              </w:rPr>
              <w:t>4.9kg/h</w:t>
            </w:r>
            <w:r>
              <w:rPr>
                <w:rFonts w:hint="eastAsia" w:ascii="Times New Roman" w:hAnsi="Times New Roman" w:cs="Times New Roman"/>
                <w:color w:val="000000" w:themeColor="text1"/>
                <w:szCs w:val="21"/>
              </w:rPr>
              <w:t>；</w:t>
            </w:r>
          </w:p>
        </w:tc>
        <w:tc>
          <w:tcPr>
            <w:tcW w:w="853" w:type="dxa"/>
            <w:vMerge w:val="restart"/>
            <w:vAlign w:val="center"/>
          </w:tcPr>
          <w:p>
            <w:pPr>
              <w:spacing w:line="28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排气筒高度为</w:t>
            </w:r>
            <w:r>
              <w:rPr>
                <w:rFonts w:ascii="Times New Roman" w:hAnsi="Times New Roman" w:cs="Times New Roman"/>
                <w:color w:val="000000" w:themeColor="text1"/>
                <w:szCs w:val="21"/>
              </w:rPr>
              <w:t>15m</w:t>
            </w:r>
            <w:r>
              <w:rPr>
                <w:rFonts w:hint="eastAsia" w:ascii="Times New Roman" w:hAnsi="Times New Roman" w:cs="Times New Roman"/>
                <w:color w:val="000000" w:themeColor="text1"/>
                <w:szCs w:val="21"/>
              </w:rPr>
              <w:t>时</w:t>
            </w:r>
          </w:p>
        </w:tc>
        <w:tc>
          <w:tcPr>
            <w:tcW w:w="2174" w:type="dxa"/>
            <w:vMerge w:val="continue"/>
            <w:vAlign w:val="center"/>
          </w:tcPr>
          <w:p>
            <w:pPr>
              <w:spacing w:line="280" w:lineRule="exact"/>
              <w:jc w:val="center"/>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trPr>
        <w:tc>
          <w:tcPr>
            <w:tcW w:w="426" w:type="dxa"/>
            <w:vMerge w:val="continue"/>
            <w:vAlign w:val="center"/>
          </w:tcPr>
          <w:p>
            <w:pPr>
              <w:spacing w:line="280" w:lineRule="exact"/>
              <w:jc w:val="center"/>
              <w:rPr>
                <w:rFonts w:ascii="Times New Roman" w:hAnsi="Times New Roman" w:cs="Times New Roman"/>
                <w:color w:val="000000" w:themeColor="text1"/>
                <w:szCs w:val="21"/>
              </w:rPr>
            </w:pPr>
          </w:p>
        </w:tc>
        <w:tc>
          <w:tcPr>
            <w:tcW w:w="426" w:type="dxa"/>
            <w:vMerge w:val="continue"/>
            <w:vAlign w:val="center"/>
          </w:tcPr>
          <w:p>
            <w:pPr>
              <w:spacing w:line="280" w:lineRule="exact"/>
              <w:jc w:val="center"/>
              <w:rPr>
                <w:rFonts w:ascii="Times New Roman" w:hAnsi="Times New Roman" w:cs="Times New Roman"/>
                <w:color w:val="000000" w:themeColor="text1"/>
                <w:szCs w:val="21"/>
              </w:rPr>
            </w:pPr>
          </w:p>
        </w:tc>
        <w:tc>
          <w:tcPr>
            <w:tcW w:w="1200" w:type="dxa"/>
            <w:gridSpan w:val="2"/>
            <w:vMerge w:val="continue"/>
            <w:vAlign w:val="center"/>
          </w:tcPr>
          <w:p>
            <w:pPr>
              <w:spacing w:line="280" w:lineRule="exact"/>
              <w:jc w:val="center"/>
              <w:rPr>
                <w:rFonts w:ascii="Times New Roman" w:hAnsi="Times New Roman" w:cs="Times New Roman"/>
                <w:color w:val="000000" w:themeColor="text1"/>
                <w:szCs w:val="21"/>
              </w:rPr>
            </w:pPr>
          </w:p>
        </w:tc>
        <w:tc>
          <w:tcPr>
            <w:tcW w:w="2324" w:type="dxa"/>
            <w:vMerge w:val="continue"/>
            <w:vAlign w:val="center"/>
          </w:tcPr>
          <w:p>
            <w:pPr>
              <w:spacing w:line="280" w:lineRule="exact"/>
              <w:jc w:val="center"/>
              <w:rPr>
                <w:color w:val="000000" w:themeColor="text1"/>
                <w:szCs w:val="21"/>
              </w:rPr>
            </w:pPr>
          </w:p>
        </w:tc>
        <w:tc>
          <w:tcPr>
            <w:tcW w:w="1119" w:type="dxa"/>
            <w:vAlign w:val="center"/>
          </w:tcPr>
          <w:p>
            <w:pPr>
              <w:spacing w:line="28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硫化氢≤</w:t>
            </w:r>
            <w:r>
              <w:rPr>
                <w:rFonts w:ascii="Times New Roman" w:hAnsi="Times New Roman" w:cs="Times New Roman"/>
                <w:color w:val="000000" w:themeColor="text1"/>
                <w:szCs w:val="21"/>
              </w:rPr>
              <w:t>0.33kg/h</w:t>
            </w:r>
          </w:p>
        </w:tc>
        <w:tc>
          <w:tcPr>
            <w:tcW w:w="853" w:type="dxa"/>
            <w:vMerge w:val="continue"/>
            <w:vAlign w:val="center"/>
          </w:tcPr>
          <w:p>
            <w:pPr>
              <w:spacing w:line="280" w:lineRule="exact"/>
              <w:jc w:val="center"/>
              <w:rPr>
                <w:rFonts w:ascii="Times New Roman" w:hAnsi="Times New Roman" w:cs="Times New Roman"/>
                <w:color w:val="000000" w:themeColor="text1"/>
                <w:szCs w:val="21"/>
              </w:rPr>
            </w:pPr>
          </w:p>
        </w:tc>
        <w:tc>
          <w:tcPr>
            <w:tcW w:w="2174" w:type="dxa"/>
            <w:vMerge w:val="continue"/>
            <w:vAlign w:val="center"/>
          </w:tcPr>
          <w:p>
            <w:pPr>
              <w:spacing w:line="280" w:lineRule="exact"/>
              <w:jc w:val="center"/>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5" w:hRule="atLeast"/>
        </w:trPr>
        <w:tc>
          <w:tcPr>
            <w:tcW w:w="426" w:type="dxa"/>
            <w:vMerge w:val="continue"/>
            <w:vAlign w:val="center"/>
          </w:tcPr>
          <w:p>
            <w:pPr>
              <w:spacing w:line="280" w:lineRule="exact"/>
              <w:jc w:val="center"/>
              <w:rPr>
                <w:rFonts w:ascii="Times New Roman" w:hAnsi="Times New Roman" w:cs="Times New Roman"/>
                <w:color w:val="000000" w:themeColor="text1"/>
                <w:szCs w:val="21"/>
              </w:rPr>
            </w:pPr>
          </w:p>
        </w:tc>
        <w:tc>
          <w:tcPr>
            <w:tcW w:w="426" w:type="dxa"/>
            <w:vMerge w:val="continue"/>
            <w:vAlign w:val="center"/>
          </w:tcPr>
          <w:p>
            <w:pPr>
              <w:spacing w:line="280" w:lineRule="exact"/>
              <w:jc w:val="center"/>
              <w:rPr>
                <w:rFonts w:ascii="Times New Roman" w:hAnsi="Times New Roman" w:cs="Times New Roman"/>
                <w:color w:val="000000" w:themeColor="text1"/>
                <w:szCs w:val="21"/>
              </w:rPr>
            </w:pPr>
          </w:p>
        </w:tc>
        <w:tc>
          <w:tcPr>
            <w:tcW w:w="1200" w:type="dxa"/>
            <w:gridSpan w:val="2"/>
            <w:vAlign w:val="center"/>
          </w:tcPr>
          <w:p>
            <w:pPr>
              <w:spacing w:line="280" w:lineRule="exact"/>
              <w:jc w:val="center"/>
              <w:rPr>
                <w:rFonts w:ascii="Times New Roman" w:hAnsi="Times New Roman" w:cs="Times New Roman"/>
                <w:color w:val="000000" w:themeColor="text1"/>
                <w:szCs w:val="21"/>
              </w:rPr>
            </w:pPr>
            <w:r>
              <w:rPr>
                <w:rFonts w:hint="eastAsia"/>
                <w:color w:val="000000" w:themeColor="text1"/>
                <w:szCs w:val="21"/>
              </w:rPr>
              <w:t>食堂油烟</w:t>
            </w:r>
          </w:p>
        </w:tc>
        <w:tc>
          <w:tcPr>
            <w:tcW w:w="2324" w:type="dxa"/>
            <w:vAlign w:val="center"/>
          </w:tcPr>
          <w:p>
            <w:pPr>
              <w:spacing w:line="28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安装油烟净化器进行治理后于食堂楼顶排放</w:t>
            </w:r>
          </w:p>
        </w:tc>
        <w:tc>
          <w:tcPr>
            <w:tcW w:w="1972" w:type="dxa"/>
            <w:gridSpan w:val="2"/>
            <w:vAlign w:val="center"/>
          </w:tcPr>
          <w:p>
            <w:pPr>
              <w:spacing w:line="28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排放浓度≤2.0mg/m</w:t>
            </w:r>
            <w:r>
              <w:rPr>
                <w:rFonts w:hint="eastAsia" w:ascii="Times New Roman" w:hAnsi="Times New Roman" w:cs="Times New Roman"/>
                <w:color w:val="000000" w:themeColor="text1"/>
                <w:szCs w:val="21"/>
                <w:vertAlign w:val="superscript"/>
              </w:rPr>
              <w:t>3</w:t>
            </w:r>
          </w:p>
          <w:p>
            <w:pPr>
              <w:spacing w:line="28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净化效率≥75%</w:t>
            </w:r>
          </w:p>
        </w:tc>
        <w:tc>
          <w:tcPr>
            <w:tcW w:w="2174" w:type="dxa"/>
            <w:vAlign w:val="center"/>
          </w:tcPr>
          <w:p>
            <w:pPr>
              <w:spacing w:line="28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《饮食业油烟排放标准（试行）》（GB18483-2001）中型标准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vMerge w:val="continue"/>
            <w:vAlign w:val="center"/>
          </w:tcPr>
          <w:p>
            <w:pPr>
              <w:spacing w:line="280" w:lineRule="exact"/>
              <w:jc w:val="center"/>
              <w:rPr>
                <w:rFonts w:ascii="Times New Roman" w:hAnsi="Times New Roman" w:cs="Times New Roman"/>
                <w:color w:val="000000" w:themeColor="text1"/>
                <w:szCs w:val="21"/>
              </w:rPr>
            </w:pPr>
          </w:p>
        </w:tc>
        <w:tc>
          <w:tcPr>
            <w:tcW w:w="426" w:type="dxa"/>
            <w:vMerge w:val="restart"/>
            <w:vAlign w:val="center"/>
          </w:tcPr>
          <w:p>
            <w:pPr>
              <w:spacing w:line="28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无组织</w:t>
            </w:r>
          </w:p>
        </w:tc>
        <w:tc>
          <w:tcPr>
            <w:tcW w:w="1200" w:type="dxa"/>
            <w:gridSpan w:val="2"/>
            <w:vMerge w:val="restart"/>
            <w:vAlign w:val="center"/>
          </w:tcPr>
          <w:p>
            <w:pPr>
              <w:spacing w:line="28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无组织废气</w:t>
            </w:r>
          </w:p>
        </w:tc>
        <w:tc>
          <w:tcPr>
            <w:tcW w:w="2324" w:type="dxa"/>
            <w:vMerge w:val="restart"/>
            <w:vAlign w:val="center"/>
          </w:tcPr>
          <w:p>
            <w:pPr>
              <w:spacing w:line="28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煎药设备煎药过程密闭，及时通风；污水站密闭</w:t>
            </w:r>
            <w:r>
              <w:rPr>
                <w:rFonts w:ascii="Times New Roman" w:hAnsi="Times New Roman" w:cs="Times New Roman"/>
                <w:color w:val="000000" w:themeColor="text1"/>
                <w:szCs w:val="21"/>
              </w:rPr>
              <w:t xml:space="preserve"> </w:t>
            </w:r>
          </w:p>
        </w:tc>
        <w:tc>
          <w:tcPr>
            <w:tcW w:w="1972" w:type="dxa"/>
            <w:gridSpan w:val="2"/>
            <w:vAlign w:val="center"/>
          </w:tcPr>
          <w:p>
            <w:pPr>
              <w:spacing w:line="28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臭气浓度≤1</w:t>
            </w:r>
            <w:r>
              <w:rPr>
                <w:rFonts w:ascii="Times New Roman" w:hAnsi="Times New Roman" w:cs="Times New Roman"/>
                <w:color w:val="000000" w:themeColor="text1"/>
                <w:szCs w:val="21"/>
              </w:rPr>
              <w:t>0</w:t>
            </w:r>
            <w:r>
              <w:rPr>
                <w:rFonts w:hint="eastAsia" w:ascii="Times New Roman" w:hAnsi="Times New Roman" w:cs="Times New Roman"/>
                <w:color w:val="000000" w:themeColor="text1"/>
                <w:szCs w:val="21"/>
              </w:rPr>
              <w:t>（无量纲）</w:t>
            </w:r>
          </w:p>
        </w:tc>
        <w:tc>
          <w:tcPr>
            <w:tcW w:w="2174" w:type="dxa"/>
            <w:vMerge w:val="restart"/>
            <w:vAlign w:val="center"/>
          </w:tcPr>
          <w:p>
            <w:pPr>
              <w:spacing w:line="280" w:lineRule="exact"/>
              <w:jc w:val="center"/>
              <w:rPr>
                <w:rFonts w:ascii="Times New Roman" w:hAnsi="Times New Roman" w:cs="Times New Roman"/>
                <w:color w:val="000000" w:themeColor="text1"/>
                <w:szCs w:val="21"/>
              </w:rPr>
            </w:pPr>
            <w:r>
              <w:rPr>
                <w:rFonts w:hint="eastAsia" w:ascii="Times New Roman" w:hAnsi="Times New Roman" w:eastAsia="宋体" w:cs="Times New Roman"/>
                <w:color w:val="000000" w:themeColor="text1"/>
                <w:szCs w:val="21"/>
              </w:rPr>
              <w:t>《医疗机构水污染物排放标准》（GB18466-2005）表3污水处理站周边大气污染物最高允许浓度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vMerge w:val="continue"/>
            <w:vAlign w:val="center"/>
          </w:tcPr>
          <w:p>
            <w:pPr>
              <w:spacing w:line="280" w:lineRule="exact"/>
              <w:jc w:val="center"/>
              <w:rPr>
                <w:rFonts w:ascii="Times New Roman" w:hAnsi="Times New Roman" w:cs="Times New Roman"/>
                <w:color w:val="000000" w:themeColor="text1"/>
                <w:szCs w:val="21"/>
              </w:rPr>
            </w:pPr>
          </w:p>
        </w:tc>
        <w:tc>
          <w:tcPr>
            <w:tcW w:w="426" w:type="dxa"/>
            <w:vMerge w:val="continue"/>
            <w:vAlign w:val="center"/>
          </w:tcPr>
          <w:p>
            <w:pPr>
              <w:spacing w:line="280" w:lineRule="exact"/>
              <w:jc w:val="center"/>
              <w:rPr>
                <w:rFonts w:ascii="Times New Roman" w:hAnsi="Times New Roman" w:cs="Times New Roman"/>
                <w:color w:val="000000" w:themeColor="text1"/>
                <w:szCs w:val="21"/>
              </w:rPr>
            </w:pPr>
          </w:p>
        </w:tc>
        <w:tc>
          <w:tcPr>
            <w:tcW w:w="1200" w:type="dxa"/>
            <w:gridSpan w:val="2"/>
            <w:vMerge w:val="continue"/>
            <w:vAlign w:val="center"/>
          </w:tcPr>
          <w:p>
            <w:pPr>
              <w:spacing w:line="280" w:lineRule="exact"/>
              <w:jc w:val="center"/>
              <w:rPr>
                <w:rFonts w:ascii="Times New Roman" w:hAnsi="Times New Roman" w:cs="Times New Roman"/>
                <w:color w:val="000000" w:themeColor="text1"/>
                <w:szCs w:val="21"/>
              </w:rPr>
            </w:pPr>
          </w:p>
        </w:tc>
        <w:tc>
          <w:tcPr>
            <w:tcW w:w="2324" w:type="dxa"/>
            <w:vMerge w:val="continue"/>
            <w:vAlign w:val="center"/>
          </w:tcPr>
          <w:p>
            <w:pPr>
              <w:spacing w:line="280" w:lineRule="exact"/>
              <w:jc w:val="center"/>
              <w:rPr>
                <w:rFonts w:ascii="Times New Roman" w:hAnsi="Times New Roman" w:cs="Times New Roman"/>
                <w:color w:val="000000" w:themeColor="text1"/>
                <w:szCs w:val="21"/>
              </w:rPr>
            </w:pPr>
          </w:p>
        </w:tc>
        <w:tc>
          <w:tcPr>
            <w:tcW w:w="1972" w:type="dxa"/>
            <w:gridSpan w:val="2"/>
            <w:vAlign w:val="center"/>
          </w:tcPr>
          <w:p>
            <w:pPr>
              <w:spacing w:line="28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氨≤</w:t>
            </w:r>
            <w:r>
              <w:rPr>
                <w:rFonts w:ascii="Times New Roman" w:hAnsi="Times New Roman" w:cs="Times New Roman"/>
                <w:color w:val="000000" w:themeColor="text1"/>
                <w:szCs w:val="21"/>
              </w:rPr>
              <w:t>1.</w:t>
            </w:r>
            <w:r>
              <w:rPr>
                <w:rFonts w:hint="eastAsia" w:ascii="Times New Roman" w:hAnsi="Times New Roman" w:cs="Times New Roman"/>
                <w:color w:val="000000" w:themeColor="text1"/>
                <w:szCs w:val="21"/>
              </w:rPr>
              <w:t>0</w:t>
            </w:r>
            <w:r>
              <w:rPr>
                <w:rFonts w:ascii="Times New Roman" w:hAnsi="Times New Roman" w:cs="Times New Roman"/>
                <w:color w:val="000000" w:themeColor="text1"/>
                <w:szCs w:val="21"/>
              </w:rPr>
              <w:t>mg/m</w:t>
            </w:r>
            <w:r>
              <w:rPr>
                <w:rFonts w:ascii="Times New Roman" w:hAnsi="Times New Roman" w:cs="Times New Roman"/>
                <w:color w:val="000000" w:themeColor="text1"/>
                <w:szCs w:val="21"/>
                <w:vertAlign w:val="superscript"/>
              </w:rPr>
              <w:t>3</w:t>
            </w:r>
          </w:p>
        </w:tc>
        <w:tc>
          <w:tcPr>
            <w:tcW w:w="2174" w:type="dxa"/>
            <w:vMerge w:val="continue"/>
            <w:vAlign w:val="center"/>
          </w:tcPr>
          <w:p>
            <w:pPr>
              <w:spacing w:line="280" w:lineRule="exact"/>
              <w:jc w:val="center"/>
              <w:rPr>
                <w:rFonts w:ascii="Times New Roman" w:hAnsi="Times New Roman" w:eastAsia="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vMerge w:val="continue"/>
            <w:vAlign w:val="center"/>
          </w:tcPr>
          <w:p>
            <w:pPr>
              <w:spacing w:line="280" w:lineRule="exact"/>
              <w:jc w:val="center"/>
              <w:rPr>
                <w:rFonts w:ascii="Times New Roman" w:hAnsi="Times New Roman" w:cs="Times New Roman"/>
                <w:color w:val="000000" w:themeColor="text1"/>
                <w:szCs w:val="21"/>
              </w:rPr>
            </w:pPr>
          </w:p>
        </w:tc>
        <w:tc>
          <w:tcPr>
            <w:tcW w:w="426" w:type="dxa"/>
            <w:vMerge w:val="continue"/>
            <w:vAlign w:val="center"/>
          </w:tcPr>
          <w:p>
            <w:pPr>
              <w:spacing w:line="280" w:lineRule="exact"/>
              <w:jc w:val="center"/>
              <w:rPr>
                <w:rFonts w:ascii="Times New Roman" w:hAnsi="Times New Roman" w:cs="Times New Roman"/>
                <w:color w:val="000000" w:themeColor="text1"/>
                <w:szCs w:val="21"/>
              </w:rPr>
            </w:pPr>
          </w:p>
        </w:tc>
        <w:tc>
          <w:tcPr>
            <w:tcW w:w="1200" w:type="dxa"/>
            <w:gridSpan w:val="2"/>
            <w:vMerge w:val="continue"/>
            <w:vAlign w:val="center"/>
          </w:tcPr>
          <w:p>
            <w:pPr>
              <w:spacing w:line="280" w:lineRule="exact"/>
              <w:jc w:val="center"/>
              <w:rPr>
                <w:rFonts w:ascii="Times New Roman" w:hAnsi="Times New Roman" w:cs="Times New Roman"/>
                <w:color w:val="000000" w:themeColor="text1"/>
                <w:szCs w:val="21"/>
              </w:rPr>
            </w:pPr>
          </w:p>
        </w:tc>
        <w:tc>
          <w:tcPr>
            <w:tcW w:w="2324" w:type="dxa"/>
            <w:vMerge w:val="continue"/>
            <w:vAlign w:val="center"/>
          </w:tcPr>
          <w:p>
            <w:pPr>
              <w:spacing w:line="280" w:lineRule="exact"/>
              <w:jc w:val="center"/>
              <w:rPr>
                <w:rFonts w:ascii="Times New Roman" w:hAnsi="Times New Roman" w:cs="Times New Roman"/>
                <w:color w:val="000000" w:themeColor="text1"/>
                <w:szCs w:val="21"/>
              </w:rPr>
            </w:pPr>
          </w:p>
        </w:tc>
        <w:tc>
          <w:tcPr>
            <w:tcW w:w="1972" w:type="dxa"/>
            <w:gridSpan w:val="2"/>
            <w:vAlign w:val="center"/>
          </w:tcPr>
          <w:p>
            <w:pPr>
              <w:spacing w:line="28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硫化氢≤</w:t>
            </w:r>
            <w:r>
              <w:rPr>
                <w:rFonts w:ascii="Times New Roman" w:hAnsi="Times New Roman" w:cs="Times New Roman"/>
                <w:color w:val="000000" w:themeColor="text1"/>
                <w:szCs w:val="21"/>
              </w:rPr>
              <w:t>0.0</w:t>
            </w:r>
            <w:r>
              <w:rPr>
                <w:rFonts w:hint="eastAsia" w:ascii="Times New Roman" w:hAnsi="Times New Roman" w:cs="Times New Roman"/>
                <w:color w:val="000000" w:themeColor="text1"/>
                <w:szCs w:val="21"/>
              </w:rPr>
              <w:t>3</w:t>
            </w:r>
            <w:r>
              <w:rPr>
                <w:rFonts w:ascii="Times New Roman" w:hAnsi="Times New Roman" w:cs="Times New Roman"/>
                <w:color w:val="000000" w:themeColor="text1"/>
                <w:szCs w:val="21"/>
              </w:rPr>
              <w:t>mg/m</w:t>
            </w:r>
            <w:r>
              <w:rPr>
                <w:rFonts w:ascii="Times New Roman" w:hAnsi="Times New Roman" w:cs="Times New Roman"/>
                <w:color w:val="000000" w:themeColor="text1"/>
                <w:szCs w:val="21"/>
                <w:vertAlign w:val="superscript"/>
              </w:rPr>
              <w:t>3</w:t>
            </w:r>
          </w:p>
        </w:tc>
        <w:tc>
          <w:tcPr>
            <w:tcW w:w="2174" w:type="dxa"/>
            <w:vMerge w:val="continue"/>
            <w:vAlign w:val="center"/>
          </w:tcPr>
          <w:p>
            <w:pPr>
              <w:spacing w:line="280" w:lineRule="exact"/>
              <w:jc w:val="center"/>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vAlign w:val="center"/>
          </w:tcPr>
          <w:p>
            <w:pPr>
              <w:spacing w:line="28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废水</w:t>
            </w:r>
          </w:p>
        </w:tc>
        <w:tc>
          <w:tcPr>
            <w:tcW w:w="1626" w:type="dxa"/>
            <w:gridSpan w:val="3"/>
            <w:vAlign w:val="center"/>
          </w:tcPr>
          <w:p>
            <w:pPr>
              <w:spacing w:line="28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医疗废水、生活污水和食堂废水</w:t>
            </w:r>
          </w:p>
        </w:tc>
        <w:tc>
          <w:tcPr>
            <w:tcW w:w="2324" w:type="dxa"/>
            <w:vAlign w:val="center"/>
          </w:tcPr>
          <w:p>
            <w:pPr>
              <w:spacing w:line="28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食堂废水经隔油池</w:t>
            </w:r>
            <w:r>
              <w:rPr>
                <w:rFonts w:hint="eastAsia" w:ascii="Times New Roman" w:hAnsi="Times New Roman" w:cs="Times New Roman"/>
                <w:color w:val="000000" w:themeColor="text1"/>
                <w:szCs w:val="21"/>
              </w:rPr>
              <w:t>预处理后，与医疗废水、生活污水一并进入</w:t>
            </w:r>
            <w:r>
              <w:rPr>
                <w:rFonts w:ascii="Times New Roman" w:hAnsi="Times New Roman" w:cs="Times New Roman"/>
                <w:color w:val="000000" w:themeColor="text1"/>
                <w:szCs w:val="21"/>
              </w:rPr>
              <w:t>化粪池处理后排入医院污水处理站处理，</w:t>
            </w:r>
            <w:r>
              <w:rPr>
                <w:rFonts w:hint="eastAsia" w:ascii="Times New Roman" w:hAnsi="Times New Roman" w:cs="Times New Roman"/>
                <w:color w:val="000000" w:themeColor="text1"/>
                <w:szCs w:val="21"/>
              </w:rPr>
              <w:t>最终排入银定庄污水处理厂。</w:t>
            </w:r>
            <w:r>
              <w:rPr>
                <w:rFonts w:ascii="Times New Roman" w:hAnsi="Times New Roman" w:cs="Times New Roman"/>
                <w:color w:val="000000" w:themeColor="text1"/>
                <w:szCs w:val="21"/>
              </w:rPr>
              <w:t>医院污水处理站</w:t>
            </w:r>
            <w:r>
              <w:rPr>
                <w:rFonts w:hint="eastAsia" w:ascii="Times New Roman" w:hAnsi="Times New Roman" w:cs="Times New Roman"/>
                <w:color w:val="000000" w:themeColor="text1"/>
                <w:szCs w:val="21"/>
              </w:rPr>
              <w:t>处理工艺为“格栅+调节池+混凝沉淀+消毒”，处理能力500</w:t>
            </w:r>
            <w:r>
              <w:rPr>
                <w:rFonts w:ascii="Times New Roman" w:hAnsi="Times New Roman" w:cs="Times New Roman"/>
                <w:color w:val="000000" w:themeColor="text1"/>
                <w:szCs w:val="21"/>
              </w:rPr>
              <w:t xml:space="preserve"> m</w:t>
            </w:r>
            <w:r>
              <w:rPr>
                <w:rFonts w:ascii="Times New Roman" w:hAnsi="Times New Roman" w:cs="Times New Roman"/>
                <w:color w:val="000000" w:themeColor="text1"/>
                <w:szCs w:val="21"/>
                <w:vertAlign w:val="superscript"/>
              </w:rPr>
              <w:t>3</w:t>
            </w:r>
            <w:r>
              <w:rPr>
                <w:rFonts w:ascii="Times New Roman" w:hAnsi="Times New Roman" w:cs="Times New Roman"/>
                <w:color w:val="000000" w:themeColor="text1"/>
                <w:szCs w:val="21"/>
              </w:rPr>
              <w:t>/d</w:t>
            </w:r>
            <w:r>
              <w:rPr>
                <w:rFonts w:hint="eastAsia" w:ascii="Times New Roman" w:hAnsi="Times New Roman" w:cs="Times New Roman"/>
                <w:color w:val="000000" w:themeColor="text1"/>
                <w:szCs w:val="21"/>
              </w:rPr>
              <w:t>。同时安装流量计、COD在线监测装置、氨氮在线监测装置。</w:t>
            </w:r>
          </w:p>
        </w:tc>
        <w:tc>
          <w:tcPr>
            <w:tcW w:w="1972" w:type="dxa"/>
            <w:gridSpan w:val="2"/>
            <w:vAlign w:val="center"/>
          </w:tcPr>
          <w:p>
            <w:pPr>
              <w:spacing w:line="280" w:lineRule="exact"/>
              <w:jc w:val="center"/>
              <w:rPr>
                <w:rFonts w:ascii="Times New Roman" w:hAnsi="Times New Roman" w:cs="Times New Roman"/>
                <w:color w:val="000000" w:themeColor="text1"/>
                <w:szCs w:val="21"/>
              </w:rPr>
            </w:pPr>
            <w:r>
              <w:rPr>
                <w:rFonts w:ascii="Times New Roman" w:hAnsi="Times New Roman" w:cs="Times New Roman"/>
                <w:color w:val="000000" w:themeColor="text1"/>
                <w:szCs w:val="21"/>
              </w:rPr>
              <w:t>pH</w:t>
            </w:r>
            <w:r>
              <w:rPr>
                <w:rFonts w:hint="eastAsia" w:ascii="Times New Roman" w:hAnsi="Times New Roman" w:cs="Times New Roman"/>
                <w:color w:val="000000" w:themeColor="text1"/>
                <w:szCs w:val="21"/>
              </w:rPr>
              <w:t>：</w:t>
            </w:r>
            <w:r>
              <w:rPr>
                <w:rFonts w:ascii="Times New Roman" w:hAnsi="Times New Roman" w:cs="Times New Roman"/>
                <w:color w:val="000000" w:themeColor="text1"/>
                <w:szCs w:val="21"/>
              </w:rPr>
              <w:t>6~9</w:t>
            </w:r>
            <w:r>
              <w:rPr>
                <w:rFonts w:hint="eastAsia" w:ascii="Times New Roman" w:hAnsi="Times New Roman" w:cs="Times New Roman"/>
                <w:color w:val="000000" w:themeColor="text1"/>
                <w:szCs w:val="21"/>
              </w:rPr>
              <w:t>、COD</w:t>
            </w:r>
            <w:r>
              <w:rPr>
                <w:rFonts w:hint="eastAsia" w:ascii="宋体" w:hAnsi="宋体" w:eastAsia="宋体" w:cs="Times New Roman"/>
                <w:color w:val="000000" w:themeColor="text1"/>
                <w:szCs w:val="21"/>
              </w:rPr>
              <w:t>≤</w:t>
            </w:r>
            <w:r>
              <w:rPr>
                <w:rFonts w:hint="eastAsia" w:ascii="Times New Roman" w:hAnsi="Times New Roman" w:cs="Times New Roman"/>
                <w:color w:val="000000" w:themeColor="text1"/>
                <w:szCs w:val="21"/>
              </w:rPr>
              <w:t>250</w:t>
            </w:r>
            <w:r>
              <w:rPr>
                <w:rFonts w:ascii="Times New Roman" w:hAnsi="Times New Roman" w:cs="Times New Roman"/>
                <w:color w:val="000000" w:themeColor="text1"/>
                <w:szCs w:val="21"/>
              </w:rPr>
              <w:t xml:space="preserve"> mg/L</w:t>
            </w:r>
            <w:r>
              <w:rPr>
                <w:rFonts w:hint="eastAsia" w:ascii="Times New Roman" w:hAnsi="Times New Roman" w:cs="Times New Roman"/>
                <w:color w:val="000000" w:themeColor="text1"/>
                <w:szCs w:val="21"/>
              </w:rPr>
              <w:t>、总氮</w:t>
            </w:r>
            <w:r>
              <w:rPr>
                <w:rFonts w:hint="eastAsia" w:ascii="宋体" w:hAnsi="宋体" w:eastAsia="宋体" w:cs="Times New Roman"/>
                <w:color w:val="000000" w:themeColor="text1"/>
                <w:szCs w:val="21"/>
              </w:rPr>
              <w:t>≤</w:t>
            </w:r>
            <w:r>
              <w:rPr>
                <w:rFonts w:hint="eastAsia" w:ascii="Times New Roman" w:hAnsi="Times New Roman" w:cs="Times New Roman"/>
                <w:color w:val="000000" w:themeColor="text1"/>
                <w:szCs w:val="21"/>
              </w:rPr>
              <w:t>70</w:t>
            </w:r>
            <w:r>
              <w:rPr>
                <w:rFonts w:ascii="Times New Roman" w:hAnsi="Times New Roman" w:cs="Times New Roman"/>
                <w:color w:val="000000" w:themeColor="text1"/>
                <w:szCs w:val="21"/>
              </w:rPr>
              <w:t xml:space="preserve"> mg/L</w:t>
            </w:r>
            <w:r>
              <w:rPr>
                <w:rFonts w:hint="eastAsia" w:ascii="Times New Roman" w:hAnsi="Times New Roman" w:cs="Times New Roman"/>
                <w:color w:val="000000" w:themeColor="text1"/>
                <w:szCs w:val="21"/>
              </w:rPr>
              <w:t>、总磷</w:t>
            </w:r>
            <w:r>
              <w:rPr>
                <w:rFonts w:hint="eastAsia" w:ascii="宋体" w:hAnsi="宋体" w:eastAsia="宋体" w:cs="Times New Roman"/>
                <w:color w:val="000000" w:themeColor="text1"/>
                <w:szCs w:val="21"/>
              </w:rPr>
              <w:t>≤</w:t>
            </w:r>
            <w:r>
              <w:rPr>
                <w:rFonts w:hint="eastAsia" w:ascii="Times New Roman" w:hAnsi="Times New Roman" w:cs="Times New Roman"/>
                <w:color w:val="000000" w:themeColor="text1"/>
                <w:szCs w:val="21"/>
              </w:rPr>
              <w:t>7.0</w:t>
            </w:r>
            <w:r>
              <w:rPr>
                <w:rFonts w:ascii="Times New Roman" w:hAnsi="Times New Roman" w:cs="Times New Roman"/>
                <w:color w:val="000000" w:themeColor="text1"/>
                <w:szCs w:val="21"/>
              </w:rPr>
              <w:t>mg/L</w:t>
            </w:r>
            <w:r>
              <w:rPr>
                <w:rFonts w:hint="eastAsia" w:ascii="Times New Roman" w:hAnsi="Times New Roman" w:cs="Times New Roman"/>
                <w:color w:val="000000" w:themeColor="text1"/>
                <w:szCs w:val="21"/>
              </w:rPr>
              <w:t>、动植物油≤20</w:t>
            </w:r>
            <w:r>
              <w:rPr>
                <w:rFonts w:ascii="Times New Roman" w:hAnsi="Times New Roman" w:cs="Times New Roman"/>
                <w:color w:val="000000" w:themeColor="text1"/>
                <w:szCs w:val="21"/>
              </w:rPr>
              <w:t>mg/L</w:t>
            </w:r>
            <w:r>
              <w:rPr>
                <w:rFonts w:hint="eastAsia" w:ascii="Times New Roman" w:hAnsi="Times New Roman" w:cs="Times New Roman"/>
                <w:color w:val="000000" w:themeColor="text1"/>
                <w:szCs w:val="21"/>
              </w:rPr>
              <w:t>、总余氯（</w:t>
            </w:r>
            <w:r>
              <w:rPr>
                <w:rFonts w:ascii="Times New Roman" w:cs="Times New Roman" w:hAnsiTheme="majorEastAsia" w:eastAsiaTheme="majorEastAsia"/>
                <w:color w:val="000000" w:themeColor="text1"/>
                <w:szCs w:val="21"/>
              </w:rPr>
              <w:t>消毒接触池接触时间</w:t>
            </w:r>
            <w:r>
              <w:rPr>
                <w:rFonts w:ascii="Times New Roman" w:hAnsi="Times New Roman" w:cs="Times New Roman" w:eastAsiaTheme="majorEastAsia"/>
                <w:color w:val="000000" w:themeColor="text1"/>
                <w:szCs w:val="21"/>
              </w:rPr>
              <w:t xml:space="preserve">≥1h </w:t>
            </w:r>
            <w:r>
              <w:rPr>
                <w:rFonts w:ascii="Times New Roman" w:cs="Times New Roman" w:hAnsiTheme="majorEastAsia" w:eastAsiaTheme="majorEastAsia"/>
                <w:color w:val="000000" w:themeColor="text1"/>
                <w:szCs w:val="21"/>
              </w:rPr>
              <w:t>，接触池出口总余氯</w:t>
            </w:r>
            <w:r>
              <w:rPr>
                <w:rFonts w:ascii="Times New Roman" w:hAnsi="Times New Roman" w:cs="Times New Roman" w:eastAsiaTheme="majorEastAsia"/>
                <w:color w:val="000000" w:themeColor="text1"/>
                <w:szCs w:val="21"/>
              </w:rPr>
              <w:t>2~8mg/L</w:t>
            </w:r>
            <w:r>
              <w:rPr>
                <w:rFonts w:hint="eastAsia" w:ascii="Times New Roman" w:hAnsi="Times New Roman" w:cs="Times New Roman"/>
                <w:color w:val="000000" w:themeColor="text1"/>
                <w:szCs w:val="21"/>
              </w:rPr>
              <w:t>）</w:t>
            </w:r>
          </w:p>
        </w:tc>
        <w:tc>
          <w:tcPr>
            <w:tcW w:w="2174" w:type="dxa"/>
            <w:vAlign w:val="center"/>
          </w:tcPr>
          <w:p>
            <w:pPr>
              <w:spacing w:line="280" w:lineRule="exact"/>
              <w:jc w:val="center"/>
              <w:rPr>
                <w:rFonts w:ascii="Times New Roman" w:hAnsi="Times New Roman" w:eastAsia="宋体"/>
                <w:color w:val="000000" w:themeColor="text1"/>
                <w:szCs w:val="21"/>
              </w:rPr>
            </w:pPr>
            <w:r>
              <w:rPr>
                <w:rFonts w:hint="eastAsia" w:ascii="Times New Roman" w:cs="Times New Roman" w:hAnsiTheme="minorEastAsia"/>
                <w:color w:val="000000" w:themeColor="text1"/>
                <w:szCs w:val="21"/>
              </w:rPr>
              <w:t>《医疗机构水污染物排放标准》（GB18466-2005）表2预处理标准，同时满足银定庄污水处理厂进水水质要求。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3" w:hRule="atLeast"/>
        </w:trPr>
        <w:tc>
          <w:tcPr>
            <w:tcW w:w="426" w:type="dxa"/>
            <w:vMerge w:val="restart"/>
            <w:vAlign w:val="center"/>
          </w:tcPr>
          <w:p>
            <w:pPr>
              <w:spacing w:line="28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噪声</w:t>
            </w:r>
          </w:p>
        </w:tc>
        <w:tc>
          <w:tcPr>
            <w:tcW w:w="1626" w:type="dxa"/>
            <w:gridSpan w:val="3"/>
            <w:vAlign w:val="center"/>
          </w:tcPr>
          <w:p>
            <w:pPr>
              <w:spacing w:line="320" w:lineRule="exact"/>
              <w:ind w:left="-107" w:leftChars="-51" w:right="-107" w:rightChars="-51"/>
              <w:jc w:val="center"/>
              <w:rPr>
                <w:szCs w:val="21"/>
              </w:rPr>
            </w:pPr>
            <w:r>
              <w:rPr>
                <w:szCs w:val="21"/>
              </w:rPr>
              <w:t>污水处理站</w:t>
            </w:r>
          </w:p>
          <w:p>
            <w:pPr>
              <w:spacing w:line="320" w:lineRule="exact"/>
              <w:ind w:left="-107" w:leftChars="-51" w:right="-107" w:rightChars="-51"/>
              <w:jc w:val="center"/>
              <w:rPr>
                <w:szCs w:val="21"/>
              </w:rPr>
            </w:pPr>
            <w:r>
              <w:rPr>
                <w:rFonts w:hint="eastAsia"/>
                <w:szCs w:val="21"/>
              </w:rPr>
              <w:t>水泵、风机</w:t>
            </w:r>
          </w:p>
        </w:tc>
        <w:tc>
          <w:tcPr>
            <w:tcW w:w="2324" w:type="dxa"/>
            <w:vAlign w:val="center"/>
          </w:tcPr>
          <w:p>
            <w:pPr>
              <w:spacing w:line="320" w:lineRule="exact"/>
              <w:jc w:val="center"/>
              <w:rPr>
                <w:szCs w:val="21"/>
              </w:rPr>
            </w:pPr>
            <w:r>
              <w:rPr>
                <w:szCs w:val="21"/>
              </w:rPr>
              <w:t>水泵均置于地下</w:t>
            </w:r>
            <w:r>
              <w:rPr>
                <w:bCs/>
                <w:szCs w:val="21"/>
              </w:rPr>
              <w:t>+基础减</w:t>
            </w:r>
            <w:r>
              <w:rPr>
                <w:rFonts w:hint="eastAsia"/>
                <w:bCs/>
                <w:szCs w:val="21"/>
              </w:rPr>
              <w:t>振</w:t>
            </w:r>
            <w:r>
              <w:rPr>
                <w:szCs w:val="21"/>
              </w:rPr>
              <w:t xml:space="preserve"> +</w:t>
            </w:r>
            <w:r>
              <w:rPr>
                <w:bCs/>
                <w:szCs w:val="21"/>
              </w:rPr>
              <w:t>消声性能好的建筑材料</w:t>
            </w:r>
          </w:p>
        </w:tc>
        <w:tc>
          <w:tcPr>
            <w:tcW w:w="1972" w:type="dxa"/>
            <w:gridSpan w:val="2"/>
            <w:vMerge w:val="restart"/>
            <w:vAlign w:val="center"/>
          </w:tcPr>
          <w:p>
            <w:pPr>
              <w:spacing w:line="28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昼间</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70</w:t>
            </w:r>
            <w:r>
              <w:rPr>
                <w:rFonts w:ascii="Times New Roman" w:hAnsi="Times New Roman" w:cs="Times New Roman"/>
                <w:color w:val="000000" w:themeColor="text1"/>
                <w:szCs w:val="21"/>
              </w:rPr>
              <w:t>dB(A)</w:t>
            </w:r>
            <w:r>
              <w:rPr>
                <w:rFonts w:hint="eastAsia" w:ascii="Times New Roman" w:hAnsi="Times New Roman" w:cs="Times New Roman"/>
                <w:color w:val="000000" w:themeColor="text1"/>
                <w:szCs w:val="21"/>
              </w:rPr>
              <w:t>；</w:t>
            </w:r>
          </w:p>
          <w:p>
            <w:pPr>
              <w:spacing w:line="28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夜间</w:t>
            </w:r>
            <w:r>
              <w:rPr>
                <w:rFonts w:ascii="Times New Roman" w:hAnsi="Times New Roman" w:cs="Times New Roman"/>
                <w:color w:val="000000" w:themeColor="text1"/>
                <w:szCs w:val="21"/>
              </w:rPr>
              <w:t>≤55dB(A)</w:t>
            </w:r>
            <w:r>
              <w:rPr>
                <w:rFonts w:hint="eastAsia" w:ascii="Times New Roman" w:hAnsi="Times New Roman" w:cs="Times New Roman"/>
                <w:color w:val="000000" w:themeColor="text1"/>
                <w:szCs w:val="21"/>
              </w:rPr>
              <w:t>。</w:t>
            </w:r>
          </w:p>
          <w:p>
            <w:pPr>
              <w:spacing w:line="28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昼间</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55</w:t>
            </w:r>
            <w:r>
              <w:rPr>
                <w:rFonts w:ascii="Times New Roman" w:hAnsi="Times New Roman" w:cs="Times New Roman"/>
                <w:color w:val="000000" w:themeColor="text1"/>
                <w:szCs w:val="21"/>
              </w:rPr>
              <w:t>dB(A)</w:t>
            </w:r>
            <w:r>
              <w:rPr>
                <w:rFonts w:hint="eastAsia" w:ascii="Times New Roman" w:hAnsi="Times New Roman" w:cs="Times New Roman"/>
                <w:color w:val="000000" w:themeColor="text1"/>
                <w:szCs w:val="21"/>
              </w:rPr>
              <w:t>；</w:t>
            </w:r>
          </w:p>
          <w:p>
            <w:pPr>
              <w:spacing w:line="28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夜间</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45</w:t>
            </w:r>
            <w:r>
              <w:rPr>
                <w:rFonts w:ascii="Times New Roman" w:hAnsi="Times New Roman" w:cs="Times New Roman"/>
                <w:color w:val="000000" w:themeColor="text1"/>
                <w:szCs w:val="21"/>
              </w:rPr>
              <w:t>dB(A)</w:t>
            </w:r>
            <w:r>
              <w:rPr>
                <w:rFonts w:hint="eastAsia" w:ascii="Times New Roman" w:hAnsi="Times New Roman" w:cs="Times New Roman"/>
                <w:color w:val="000000" w:themeColor="text1"/>
                <w:szCs w:val="21"/>
              </w:rPr>
              <w:t>。</w:t>
            </w:r>
          </w:p>
          <w:p>
            <w:pPr>
              <w:spacing w:line="280" w:lineRule="exact"/>
              <w:jc w:val="center"/>
              <w:rPr>
                <w:rFonts w:ascii="Times New Roman" w:hAnsi="Times New Roman" w:cs="Times New Roman"/>
                <w:color w:val="000000" w:themeColor="text1"/>
                <w:szCs w:val="21"/>
              </w:rPr>
            </w:pPr>
          </w:p>
        </w:tc>
        <w:tc>
          <w:tcPr>
            <w:tcW w:w="2174" w:type="dxa"/>
            <w:vMerge w:val="restart"/>
            <w:vAlign w:val="center"/>
          </w:tcPr>
          <w:p>
            <w:pPr>
              <w:spacing w:line="28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北</w:t>
            </w:r>
            <w:r>
              <w:rPr>
                <w:rFonts w:ascii="Times New Roman" w:hAnsi="Times New Roman" w:cs="Times New Roman"/>
                <w:color w:val="000000" w:themeColor="text1"/>
                <w:szCs w:val="21"/>
              </w:rPr>
              <w:t>边界噪声</w:t>
            </w:r>
            <w:r>
              <w:rPr>
                <w:rFonts w:hint="eastAsia" w:ascii="Times New Roman" w:hAnsi="Times New Roman" w:cs="Times New Roman"/>
                <w:color w:val="000000" w:themeColor="text1"/>
                <w:szCs w:val="21"/>
              </w:rPr>
              <w:t>执行</w:t>
            </w:r>
            <w:r>
              <w:rPr>
                <w:rFonts w:ascii="Times New Roman" w:hAnsi="Times New Roman" w:cs="Times New Roman"/>
                <w:color w:val="000000" w:themeColor="text1"/>
                <w:szCs w:val="21"/>
              </w:rPr>
              <w:t>《工业企业厂界环境噪声排放标准》</w:t>
            </w:r>
            <w:r>
              <w:rPr>
                <w:rFonts w:hint="eastAsia" w:ascii="Times New Roman" w:hAnsi="Times New Roman" w:cs="Times New Roman"/>
                <w:color w:val="000000" w:themeColor="text1"/>
                <w:szCs w:val="21"/>
              </w:rPr>
              <w:t>（</w:t>
            </w:r>
            <w:r>
              <w:rPr>
                <w:rFonts w:ascii="Times New Roman" w:hAnsi="Times New Roman" w:cs="Times New Roman"/>
                <w:color w:val="000000" w:themeColor="text1"/>
                <w:szCs w:val="21"/>
              </w:rPr>
              <w:t>GB12348-2008）</w:t>
            </w:r>
            <w:r>
              <w:rPr>
                <w:rFonts w:hint="eastAsia" w:ascii="Times New Roman" w:hAnsi="Times New Roman" w:cs="Times New Roman"/>
                <w:color w:val="000000" w:themeColor="text1"/>
                <w:szCs w:val="21"/>
              </w:rPr>
              <w:t>4类标准，</w:t>
            </w:r>
          </w:p>
          <w:p>
            <w:pPr>
              <w:spacing w:line="280" w:lineRule="exact"/>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其它边界执行</w:t>
            </w:r>
            <w:r>
              <w:rPr>
                <w:rFonts w:ascii="Times New Roman" w:hAnsi="Times New Roman" w:cs="Times New Roman"/>
                <w:color w:val="000000" w:themeColor="text1"/>
                <w:szCs w:val="21"/>
              </w:rPr>
              <w:t>《工业企业厂界环境噪声排放标准》</w:t>
            </w:r>
            <w:r>
              <w:rPr>
                <w:rFonts w:hint="eastAsia" w:ascii="Times New Roman" w:hAnsi="Times New Roman" w:cs="Times New Roman"/>
                <w:color w:val="000000" w:themeColor="text1"/>
                <w:szCs w:val="21"/>
              </w:rPr>
              <w:t>（</w:t>
            </w:r>
            <w:r>
              <w:rPr>
                <w:rFonts w:ascii="Times New Roman" w:hAnsi="Times New Roman" w:cs="Times New Roman"/>
                <w:color w:val="000000" w:themeColor="text1"/>
                <w:szCs w:val="21"/>
              </w:rPr>
              <w:t>GB12348-2008）</w:t>
            </w:r>
            <w:r>
              <w:rPr>
                <w:rFonts w:hint="eastAsia" w:ascii="Times New Roman" w:hAnsi="Times New Roman" w:cs="Times New Roman"/>
                <w:color w:val="000000" w:themeColor="text1"/>
                <w:szCs w:val="21"/>
              </w:rPr>
              <w:t>1类标准</w:t>
            </w:r>
            <w:r>
              <w:rPr>
                <w:rFonts w:ascii="Times New Roman" w:hAnsi="Times New Roman" w:cs="Times New Roman"/>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trPr>
        <w:tc>
          <w:tcPr>
            <w:tcW w:w="426" w:type="dxa"/>
            <w:vMerge w:val="continue"/>
            <w:vAlign w:val="center"/>
          </w:tcPr>
          <w:p>
            <w:pPr>
              <w:spacing w:line="280" w:lineRule="exact"/>
              <w:jc w:val="center"/>
              <w:rPr>
                <w:rFonts w:ascii="Times New Roman" w:hAnsi="Times New Roman" w:cs="Times New Roman"/>
                <w:color w:val="000000" w:themeColor="text1"/>
                <w:szCs w:val="21"/>
              </w:rPr>
            </w:pPr>
          </w:p>
        </w:tc>
        <w:tc>
          <w:tcPr>
            <w:tcW w:w="533" w:type="dxa"/>
            <w:gridSpan w:val="2"/>
            <w:vMerge w:val="restart"/>
            <w:vAlign w:val="center"/>
          </w:tcPr>
          <w:p>
            <w:pPr>
              <w:spacing w:line="320" w:lineRule="exact"/>
              <w:ind w:left="-107" w:leftChars="-51" w:right="-107" w:rightChars="-51"/>
              <w:jc w:val="center"/>
              <w:rPr>
                <w:szCs w:val="21"/>
              </w:rPr>
            </w:pPr>
            <w:r>
              <w:rPr>
                <w:rFonts w:hint="eastAsia"/>
                <w:szCs w:val="21"/>
              </w:rPr>
              <w:t>中</w:t>
            </w:r>
          </w:p>
          <w:p>
            <w:pPr>
              <w:spacing w:line="320" w:lineRule="exact"/>
              <w:ind w:left="-107" w:leftChars="-51" w:right="-107" w:rightChars="-51"/>
              <w:jc w:val="center"/>
              <w:rPr>
                <w:szCs w:val="21"/>
              </w:rPr>
            </w:pPr>
            <w:r>
              <w:rPr>
                <w:rFonts w:hint="eastAsia"/>
                <w:szCs w:val="21"/>
              </w:rPr>
              <w:t>央</w:t>
            </w:r>
          </w:p>
          <w:p>
            <w:pPr>
              <w:spacing w:line="320" w:lineRule="exact"/>
              <w:ind w:left="-107" w:leftChars="-51" w:right="-107" w:rightChars="-51"/>
              <w:jc w:val="center"/>
              <w:rPr>
                <w:szCs w:val="21"/>
              </w:rPr>
            </w:pPr>
            <w:r>
              <w:rPr>
                <w:rFonts w:hint="eastAsia"/>
                <w:szCs w:val="21"/>
              </w:rPr>
              <w:t>空</w:t>
            </w:r>
          </w:p>
          <w:p>
            <w:pPr>
              <w:spacing w:line="320" w:lineRule="exact"/>
              <w:ind w:left="-107" w:leftChars="-51" w:right="-107" w:rightChars="-51"/>
              <w:jc w:val="center"/>
              <w:rPr>
                <w:szCs w:val="21"/>
              </w:rPr>
            </w:pPr>
            <w:r>
              <w:rPr>
                <w:rFonts w:hint="eastAsia"/>
                <w:szCs w:val="21"/>
              </w:rPr>
              <w:t>调</w:t>
            </w:r>
          </w:p>
        </w:tc>
        <w:tc>
          <w:tcPr>
            <w:tcW w:w="1093" w:type="dxa"/>
            <w:vAlign w:val="center"/>
          </w:tcPr>
          <w:p>
            <w:pPr>
              <w:spacing w:line="320" w:lineRule="exact"/>
              <w:ind w:left="-107" w:leftChars="-51" w:right="-107" w:rightChars="-51"/>
              <w:jc w:val="center"/>
              <w:rPr>
                <w:szCs w:val="21"/>
              </w:rPr>
            </w:pPr>
            <w:r>
              <w:rPr>
                <w:rFonts w:hint="eastAsia"/>
                <w:szCs w:val="21"/>
              </w:rPr>
              <w:t>风机</w:t>
            </w:r>
          </w:p>
        </w:tc>
        <w:tc>
          <w:tcPr>
            <w:tcW w:w="2324" w:type="dxa"/>
            <w:vAlign w:val="center"/>
          </w:tcPr>
          <w:p>
            <w:pPr>
              <w:spacing w:line="320" w:lineRule="exact"/>
              <w:jc w:val="center"/>
              <w:rPr>
                <w:szCs w:val="21"/>
              </w:rPr>
            </w:pPr>
            <w:r>
              <w:rPr>
                <w:szCs w:val="21"/>
              </w:rPr>
              <w:t>基础减振</w:t>
            </w:r>
            <w:r>
              <w:rPr>
                <w:rFonts w:hint="eastAsia"/>
                <w:szCs w:val="21"/>
              </w:rPr>
              <w:t>+</w:t>
            </w:r>
            <w:r>
              <w:rPr>
                <w:szCs w:val="21"/>
              </w:rPr>
              <w:t>消音器</w:t>
            </w:r>
            <w:r>
              <w:rPr>
                <w:rFonts w:hint="eastAsia"/>
                <w:szCs w:val="21"/>
              </w:rPr>
              <w:t>+</w:t>
            </w:r>
            <w:r>
              <w:rPr>
                <w:szCs w:val="21"/>
              </w:rPr>
              <w:t>软管连接</w:t>
            </w:r>
          </w:p>
        </w:tc>
        <w:tc>
          <w:tcPr>
            <w:tcW w:w="1972" w:type="dxa"/>
            <w:gridSpan w:val="2"/>
            <w:vMerge w:val="continue"/>
            <w:vAlign w:val="center"/>
          </w:tcPr>
          <w:p>
            <w:pPr>
              <w:spacing w:line="280" w:lineRule="exact"/>
              <w:jc w:val="center"/>
              <w:rPr>
                <w:rFonts w:ascii="Times New Roman" w:hAnsi="Times New Roman" w:cs="Times New Roman"/>
                <w:color w:val="000000" w:themeColor="text1"/>
                <w:szCs w:val="21"/>
              </w:rPr>
            </w:pPr>
          </w:p>
        </w:tc>
        <w:tc>
          <w:tcPr>
            <w:tcW w:w="2174" w:type="dxa"/>
            <w:vMerge w:val="continue"/>
            <w:vAlign w:val="center"/>
          </w:tcPr>
          <w:p>
            <w:pPr>
              <w:spacing w:line="280" w:lineRule="exact"/>
              <w:jc w:val="center"/>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2" w:hRule="atLeast"/>
        </w:trPr>
        <w:tc>
          <w:tcPr>
            <w:tcW w:w="426" w:type="dxa"/>
            <w:vMerge w:val="continue"/>
            <w:vAlign w:val="center"/>
          </w:tcPr>
          <w:p>
            <w:pPr>
              <w:spacing w:line="280" w:lineRule="exact"/>
              <w:jc w:val="center"/>
              <w:rPr>
                <w:rFonts w:ascii="Times New Roman" w:hAnsi="Times New Roman" w:cs="Times New Roman"/>
                <w:color w:val="000000" w:themeColor="text1"/>
                <w:szCs w:val="21"/>
              </w:rPr>
            </w:pPr>
          </w:p>
        </w:tc>
        <w:tc>
          <w:tcPr>
            <w:tcW w:w="533" w:type="dxa"/>
            <w:gridSpan w:val="2"/>
            <w:vMerge w:val="continue"/>
            <w:vAlign w:val="center"/>
          </w:tcPr>
          <w:p>
            <w:pPr>
              <w:spacing w:line="280" w:lineRule="exact"/>
              <w:jc w:val="center"/>
              <w:rPr>
                <w:rFonts w:ascii="Times New Roman" w:hAnsi="Times New Roman" w:cs="Times New Roman"/>
                <w:color w:val="000000" w:themeColor="text1"/>
                <w:szCs w:val="21"/>
              </w:rPr>
            </w:pPr>
          </w:p>
        </w:tc>
        <w:tc>
          <w:tcPr>
            <w:tcW w:w="1093" w:type="dxa"/>
            <w:vAlign w:val="center"/>
          </w:tcPr>
          <w:p>
            <w:pPr>
              <w:spacing w:line="280" w:lineRule="exact"/>
              <w:jc w:val="center"/>
              <w:rPr>
                <w:rFonts w:ascii="Times New Roman" w:hAnsi="Times New Roman" w:cs="Times New Roman"/>
                <w:color w:val="000000" w:themeColor="text1"/>
                <w:szCs w:val="21"/>
              </w:rPr>
            </w:pPr>
            <w:r>
              <w:rPr>
                <w:rFonts w:hint="eastAsia"/>
                <w:szCs w:val="21"/>
              </w:rPr>
              <w:t>冷却塔</w:t>
            </w:r>
          </w:p>
        </w:tc>
        <w:tc>
          <w:tcPr>
            <w:tcW w:w="2324" w:type="dxa"/>
            <w:vAlign w:val="center"/>
          </w:tcPr>
          <w:p>
            <w:pPr>
              <w:spacing w:line="280" w:lineRule="exact"/>
              <w:jc w:val="center"/>
              <w:rPr>
                <w:szCs w:val="21"/>
              </w:rPr>
            </w:pPr>
            <w:r>
              <w:rPr>
                <w:szCs w:val="21"/>
              </w:rPr>
              <w:t>消声器</w:t>
            </w:r>
            <w:r>
              <w:rPr>
                <w:rFonts w:hint="eastAsia"/>
                <w:szCs w:val="21"/>
              </w:rPr>
              <w:t>+</w:t>
            </w:r>
            <w:r>
              <w:rPr>
                <w:szCs w:val="21"/>
              </w:rPr>
              <w:t>基础减</w:t>
            </w:r>
            <w:r>
              <w:rPr>
                <w:rFonts w:hint="eastAsia"/>
                <w:szCs w:val="21"/>
              </w:rPr>
              <w:t>振+</w:t>
            </w:r>
            <w:r>
              <w:rPr>
                <w:szCs w:val="21"/>
              </w:rPr>
              <w:t>铺设聚胺脂多孔泡沫塑料垫</w:t>
            </w:r>
          </w:p>
        </w:tc>
        <w:tc>
          <w:tcPr>
            <w:tcW w:w="1972" w:type="dxa"/>
            <w:gridSpan w:val="2"/>
            <w:vMerge w:val="continue"/>
            <w:vAlign w:val="center"/>
          </w:tcPr>
          <w:p>
            <w:pPr>
              <w:spacing w:line="280" w:lineRule="exact"/>
              <w:jc w:val="center"/>
              <w:rPr>
                <w:rFonts w:ascii="Times New Roman" w:hAnsi="Times New Roman" w:cs="Times New Roman"/>
                <w:color w:val="000000" w:themeColor="text1"/>
                <w:szCs w:val="21"/>
              </w:rPr>
            </w:pPr>
          </w:p>
        </w:tc>
        <w:tc>
          <w:tcPr>
            <w:tcW w:w="2174" w:type="dxa"/>
            <w:vMerge w:val="continue"/>
            <w:vAlign w:val="center"/>
          </w:tcPr>
          <w:p>
            <w:pPr>
              <w:spacing w:line="280" w:lineRule="exact"/>
              <w:jc w:val="center"/>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2" w:hRule="atLeast"/>
        </w:trPr>
        <w:tc>
          <w:tcPr>
            <w:tcW w:w="426" w:type="dxa"/>
            <w:vMerge w:val="continue"/>
            <w:vAlign w:val="center"/>
          </w:tcPr>
          <w:p>
            <w:pPr>
              <w:spacing w:line="280" w:lineRule="exact"/>
              <w:jc w:val="center"/>
              <w:rPr>
                <w:rFonts w:ascii="Times New Roman" w:hAnsi="Times New Roman" w:cs="Times New Roman"/>
                <w:color w:val="000000" w:themeColor="text1"/>
                <w:szCs w:val="21"/>
              </w:rPr>
            </w:pPr>
          </w:p>
        </w:tc>
        <w:tc>
          <w:tcPr>
            <w:tcW w:w="1626" w:type="dxa"/>
            <w:gridSpan w:val="3"/>
            <w:vAlign w:val="center"/>
          </w:tcPr>
          <w:p>
            <w:pPr>
              <w:spacing w:line="280" w:lineRule="exact"/>
              <w:jc w:val="center"/>
              <w:rPr>
                <w:szCs w:val="21"/>
              </w:rPr>
            </w:pPr>
            <w:r>
              <w:rPr>
                <w:rFonts w:hint="eastAsia" w:ascii="Times New Roman" w:hAnsi="Times New Roman" w:cs="Times New Roman"/>
                <w:color w:val="000000" w:themeColor="text1"/>
                <w:szCs w:val="21"/>
              </w:rPr>
              <w:t>废气治理风机</w:t>
            </w:r>
          </w:p>
        </w:tc>
        <w:tc>
          <w:tcPr>
            <w:tcW w:w="2324" w:type="dxa"/>
            <w:vAlign w:val="center"/>
          </w:tcPr>
          <w:p>
            <w:pPr>
              <w:spacing w:line="280" w:lineRule="exact"/>
              <w:jc w:val="center"/>
              <w:rPr>
                <w:szCs w:val="21"/>
              </w:rPr>
            </w:pPr>
            <w:r>
              <w:rPr>
                <w:szCs w:val="21"/>
              </w:rPr>
              <w:t>基础减振</w:t>
            </w:r>
            <w:r>
              <w:rPr>
                <w:rFonts w:hint="eastAsia"/>
                <w:szCs w:val="21"/>
              </w:rPr>
              <w:t>+</w:t>
            </w:r>
            <w:r>
              <w:rPr>
                <w:szCs w:val="21"/>
              </w:rPr>
              <w:t>消音器</w:t>
            </w:r>
            <w:r>
              <w:rPr>
                <w:rFonts w:hint="eastAsia"/>
                <w:szCs w:val="21"/>
              </w:rPr>
              <w:t>+</w:t>
            </w:r>
            <w:r>
              <w:rPr>
                <w:szCs w:val="21"/>
              </w:rPr>
              <w:t>软管连接</w:t>
            </w:r>
          </w:p>
        </w:tc>
        <w:tc>
          <w:tcPr>
            <w:tcW w:w="1972" w:type="dxa"/>
            <w:gridSpan w:val="2"/>
            <w:vMerge w:val="continue"/>
            <w:vAlign w:val="center"/>
          </w:tcPr>
          <w:p>
            <w:pPr>
              <w:spacing w:line="280" w:lineRule="exact"/>
              <w:jc w:val="center"/>
              <w:rPr>
                <w:rFonts w:ascii="Times New Roman" w:hAnsi="Times New Roman" w:cs="Times New Roman"/>
                <w:color w:val="000000" w:themeColor="text1"/>
                <w:szCs w:val="21"/>
              </w:rPr>
            </w:pPr>
          </w:p>
        </w:tc>
        <w:tc>
          <w:tcPr>
            <w:tcW w:w="2174" w:type="dxa"/>
            <w:vMerge w:val="continue"/>
            <w:vAlign w:val="center"/>
          </w:tcPr>
          <w:p>
            <w:pPr>
              <w:spacing w:line="280" w:lineRule="exact"/>
              <w:jc w:val="center"/>
              <w:rPr>
                <w:rFonts w:ascii="Times New Roman" w:hAnsi="Times New Roman" w:cs="Times New Roman"/>
                <w:color w:val="000000" w:themeColor="text1"/>
                <w:szCs w:val="21"/>
              </w:rPr>
            </w:pPr>
          </w:p>
        </w:tc>
      </w:tr>
    </w:tbl>
    <w:p>
      <w:pPr>
        <w:spacing w:line="360" w:lineRule="auto"/>
        <w:rPr>
          <w:rFonts w:ascii="Times New Roman" w:hAnsi="Times New Roman" w:cs="Times New Roman"/>
          <w:b/>
          <w:sz w:val="24"/>
          <w:szCs w:val="24"/>
        </w:rPr>
      </w:pPr>
    </w:p>
    <w:p>
      <w:pPr>
        <w:spacing w:line="360" w:lineRule="auto"/>
        <w:rPr>
          <w:rFonts w:ascii="Times New Roman" w:hAnsi="Times New Roman" w:cs="Times New Roman"/>
          <w:b/>
          <w:sz w:val="24"/>
          <w:szCs w:val="24"/>
        </w:rPr>
      </w:pPr>
    </w:p>
    <w:p>
      <w:pPr>
        <w:spacing w:line="360" w:lineRule="auto"/>
        <w:ind w:firstLine="482" w:firstLineChars="200"/>
        <w:jc w:val="center"/>
        <w:rPr>
          <w:rFonts w:ascii="Times New Roman" w:hAnsi="Times New Roman" w:cs="Times New Roman"/>
          <w:b/>
          <w:sz w:val="24"/>
          <w:szCs w:val="24"/>
        </w:rPr>
      </w:pPr>
      <w:r>
        <w:rPr>
          <w:rFonts w:hint="eastAsia" w:ascii="Times New Roman" w:hAnsi="Times New Roman" w:cs="Times New Roman"/>
          <w:b/>
          <w:sz w:val="24"/>
          <w:szCs w:val="24"/>
        </w:rPr>
        <w:t>续表8-2 建设项目环境保护“三同时”一览表</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667"/>
        <w:gridCol w:w="2410"/>
        <w:gridCol w:w="1842"/>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vAlign w:val="center"/>
          </w:tcPr>
          <w:p>
            <w:pPr>
              <w:jc w:val="center"/>
              <w:rPr>
                <w:rFonts w:ascii="Times New Roman" w:hAnsi="Times New Roman" w:cs="Times New Roman"/>
                <w:szCs w:val="21"/>
              </w:rPr>
            </w:pPr>
            <w:r>
              <w:rPr>
                <w:rFonts w:hint="eastAsia" w:ascii="Times New Roman" w:hAnsi="Times New Roman" w:cs="Times New Roman"/>
                <w:szCs w:val="21"/>
              </w:rPr>
              <w:t>类型</w:t>
            </w:r>
          </w:p>
        </w:tc>
        <w:tc>
          <w:tcPr>
            <w:tcW w:w="1667" w:type="dxa"/>
            <w:vAlign w:val="center"/>
          </w:tcPr>
          <w:p>
            <w:pPr>
              <w:jc w:val="center"/>
              <w:rPr>
                <w:rFonts w:ascii="Times New Roman" w:hAnsi="Times New Roman" w:cs="Times New Roman"/>
                <w:szCs w:val="21"/>
              </w:rPr>
            </w:pPr>
            <w:r>
              <w:rPr>
                <w:rFonts w:hint="eastAsia" w:ascii="Times New Roman" w:hAnsi="Times New Roman" w:cs="Times New Roman"/>
                <w:szCs w:val="21"/>
              </w:rPr>
              <w:t>治理对象</w:t>
            </w:r>
          </w:p>
        </w:tc>
        <w:tc>
          <w:tcPr>
            <w:tcW w:w="2410" w:type="dxa"/>
            <w:vAlign w:val="center"/>
          </w:tcPr>
          <w:p>
            <w:pPr>
              <w:jc w:val="center"/>
              <w:rPr>
                <w:rFonts w:ascii="Times New Roman" w:hAnsi="Times New Roman" w:cs="Times New Roman"/>
                <w:szCs w:val="21"/>
              </w:rPr>
            </w:pPr>
            <w:r>
              <w:rPr>
                <w:rFonts w:hint="eastAsia" w:ascii="Times New Roman" w:hAnsi="Times New Roman" w:cs="Times New Roman"/>
                <w:szCs w:val="21"/>
              </w:rPr>
              <w:t>治理措施</w:t>
            </w:r>
          </w:p>
        </w:tc>
        <w:tc>
          <w:tcPr>
            <w:tcW w:w="1842" w:type="dxa"/>
            <w:vAlign w:val="center"/>
          </w:tcPr>
          <w:p>
            <w:pPr>
              <w:jc w:val="center"/>
              <w:rPr>
                <w:rFonts w:ascii="Times New Roman" w:hAnsi="Times New Roman" w:cs="Times New Roman"/>
                <w:szCs w:val="21"/>
              </w:rPr>
            </w:pPr>
            <w:r>
              <w:rPr>
                <w:rFonts w:hint="eastAsia" w:ascii="Times New Roman" w:hAnsi="Times New Roman" w:cs="Times New Roman"/>
                <w:szCs w:val="21"/>
              </w:rPr>
              <w:t>治理效果</w:t>
            </w:r>
          </w:p>
        </w:tc>
        <w:tc>
          <w:tcPr>
            <w:tcW w:w="2177" w:type="dxa"/>
            <w:vAlign w:val="center"/>
          </w:tcPr>
          <w:p>
            <w:pPr>
              <w:jc w:val="center"/>
              <w:rPr>
                <w:rFonts w:ascii="Times New Roman" w:hAnsi="Times New Roman" w:cs="Times New Roman"/>
                <w:szCs w:val="21"/>
              </w:rPr>
            </w:pPr>
            <w:r>
              <w:rPr>
                <w:rFonts w:hint="eastAsia" w:ascii="Times New Roman" w:hAnsi="Times New Roman" w:cs="Times New Roman"/>
                <w:szCs w:val="21"/>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3" w:hRule="atLeast"/>
        </w:trPr>
        <w:tc>
          <w:tcPr>
            <w:tcW w:w="426" w:type="dxa"/>
            <w:vMerge w:val="restart"/>
            <w:vAlign w:val="center"/>
          </w:tcPr>
          <w:p>
            <w:pPr>
              <w:jc w:val="center"/>
              <w:rPr>
                <w:rFonts w:ascii="Times New Roman" w:hAnsi="Times New Roman" w:cs="Times New Roman"/>
                <w:szCs w:val="21"/>
              </w:rPr>
            </w:pPr>
            <w:r>
              <w:rPr>
                <w:rFonts w:hint="eastAsia" w:ascii="Times New Roman" w:hAnsi="Times New Roman" w:cs="Times New Roman"/>
                <w:szCs w:val="21"/>
              </w:rPr>
              <w:t>固废</w:t>
            </w:r>
          </w:p>
        </w:tc>
        <w:tc>
          <w:tcPr>
            <w:tcW w:w="1667" w:type="dxa"/>
            <w:vAlign w:val="center"/>
          </w:tcPr>
          <w:p>
            <w:pPr>
              <w:adjustRightInd w:val="0"/>
              <w:snapToGrid w:val="0"/>
              <w:spacing w:line="340" w:lineRule="exact"/>
              <w:jc w:val="center"/>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医疗废物</w:t>
            </w:r>
          </w:p>
        </w:tc>
        <w:tc>
          <w:tcPr>
            <w:tcW w:w="2410" w:type="dxa"/>
            <w:vMerge w:val="restart"/>
            <w:vAlign w:val="center"/>
          </w:tcPr>
          <w:p>
            <w:pPr>
              <w:widowControl/>
              <w:jc w:val="left"/>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置于医疗废物暂存间，由有相应危废资质的单位回收</w:t>
            </w:r>
          </w:p>
        </w:tc>
        <w:tc>
          <w:tcPr>
            <w:tcW w:w="4019" w:type="dxa"/>
            <w:gridSpan w:val="2"/>
            <w:vMerge w:val="restart"/>
            <w:vAlign w:val="center"/>
          </w:tcPr>
          <w:p>
            <w:pPr>
              <w:jc w:val="center"/>
              <w:rPr>
                <w:rFonts w:ascii="Times New Roman" w:hAnsi="Times New Roman" w:cs="Times New Roman"/>
                <w:szCs w:val="21"/>
              </w:rPr>
            </w:pPr>
            <w:r>
              <w:rPr>
                <w:rFonts w:hint="eastAsia" w:ascii="Times New Roman" w:hAnsi="Times New Roman" w:cs="Times New Roman"/>
                <w:szCs w:val="21"/>
              </w:rPr>
              <w:t>全部合理处置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4" w:hRule="atLeast"/>
        </w:trPr>
        <w:tc>
          <w:tcPr>
            <w:tcW w:w="426" w:type="dxa"/>
            <w:vMerge w:val="continue"/>
            <w:vAlign w:val="center"/>
          </w:tcPr>
          <w:p>
            <w:pPr>
              <w:jc w:val="center"/>
              <w:rPr>
                <w:rFonts w:ascii="Times New Roman" w:hAnsi="Times New Roman" w:cs="Times New Roman"/>
                <w:szCs w:val="21"/>
              </w:rPr>
            </w:pPr>
          </w:p>
        </w:tc>
        <w:tc>
          <w:tcPr>
            <w:tcW w:w="1667" w:type="dxa"/>
            <w:vAlign w:val="center"/>
          </w:tcPr>
          <w:p>
            <w:pPr>
              <w:adjustRightInd w:val="0"/>
              <w:snapToGrid w:val="0"/>
              <w:spacing w:line="340" w:lineRule="exac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COD</w:t>
            </w:r>
            <w:r>
              <w:rPr>
                <w:rFonts w:hint="eastAsia" w:ascii="Times New Roman" w:hAnsi="Times New Roman" w:eastAsia="宋体" w:cs="Times New Roman"/>
                <w:color w:val="000000"/>
                <w:szCs w:val="21"/>
              </w:rPr>
              <w:t>、氨氮在线监测产生废液</w:t>
            </w:r>
          </w:p>
        </w:tc>
        <w:tc>
          <w:tcPr>
            <w:tcW w:w="2410" w:type="dxa"/>
            <w:vMerge w:val="continue"/>
            <w:vAlign w:val="center"/>
          </w:tcPr>
          <w:p>
            <w:pPr>
              <w:jc w:val="center"/>
              <w:rPr>
                <w:rFonts w:ascii="Times New Roman" w:hAnsi="Times New Roman" w:cs="Times New Roman"/>
                <w:szCs w:val="21"/>
              </w:rPr>
            </w:pPr>
          </w:p>
        </w:tc>
        <w:tc>
          <w:tcPr>
            <w:tcW w:w="4019" w:type="dxa"/>
            <w:gridSpan w:val="2"/>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trPr>
        <w:tc>
          <w:tcPr>
            <w:tcW w:w="426" w:type="dxa"/>
            <w:vMerge w:val="continue"/>
            <w:vAlign w:val="center"/>
          </w:tcPr>
          <w:p>
            <w:pPr>
              <w:jc w:val="center"/>
              <w:rPr>
                <w:rFonts w:ascii="Times New Roman" w:hAnsi="Times New Roman" w:cs="Times New Roman"/>
                <w:szCs w:val="21"/>
              </w:rPr>
            </w:pPr>
          </w:p>
        </w:tc>
        <w:tc>
          <w:tcPr>
            <w:tcW w:w="1667" w:type="dxa"/>
            <w:vAlign w:val="center"/>
          </w:tcPr>
          <w:p>
            <w:pPr>
              <w:adjustRightInd w:val="0"/>
              <w:snapToGrid w:val="0"/>
              <w:spacing w:line="34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污泥</w:t>
            </w:r>
          </w:p>
        </w:tc>
        <w:tc>
          <w:tcPr>
            <w:tcW w:w="2410" w:type="dxa"/>
            <w:vAlign w:val="center"/>
          </w:tcPr>
          <w:p>
            <w:pPr>
              <w:adjustRightInd w:val="0"/>
              <w:snapToGrid w:val="0"/>
              <w:spacing w:line="340" w:lineRule="exact"/>
              <w:jc w:val="center"/>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污水处理站建设不小于1m</w:t>
            </w:r>
            <w:r>
              <w:rPr>
                <w:rFonts w:hint="eastAsia" w:ascii="Times New Roman" w:hAnsi="Times New Roman" w:eastAsia="宋体" w:cs="Times New Roman"/>
                <w:bCs/>
                <w:color w:val="000000"/>
                <w:szCs w:val="21"/>
                <w:vertAlign w:val="superscript"/>
              </w:rPr>
              <w:t>3</w:t>
            </w:r>
            <w:r>
              <w:rPr>
                <w:rFonts w:hint="eastAsia" w:ascii="Times New Roman" w:hAnsi="Times New Roman" w:eastAsia="宋体" w:cs="Times New Roman"/>
                <w:bCs/>
                <w:color w:val="000000"/>
                <w:szCs w:val="21"/>
              </w:rPr>
              <w:t>的污泥消毒池，内设搅拌措施，采取二氧化氯发生器消毒后，定期清掏、脱水，由有资质单位统一处理。</w:t>
            </w:r>
          </w:p>
        </w:tc>
        <w:tc>
          <w:tcPr>
            <w:tcW w:w="4019" w:type="dxa"/>
            <w:gridSpan w:val="2"/>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trPr>
        <w:tc>
          <w:tcPr>
            <w:tcW w:w="426" w:type="dxa"/>
            <w:vMerge w:val="continue"/>
            <w:vAlign w:val="center"/>
          </w:tcPr>
          <w:p>
            <w:pPr>
              <w:jc w:val="center"/>
              <w:rPr>
                <w:rFonts w:ascii="Times New Roman" w:hAnsi="Times New Roman" w:cs="Times New Roman"/>
                <w:szCs w:val="21"/>
              </w:rPr>
            </w:pPr>
          </w:p>
        </w:tc>
        <w:tc>
          <w:tcPr>
            <w:tcW w:w="1667" w:type="dxa"/>
            <w:vAlign w:val="center"/>
          </w:tcPr>
          <w:p>
            <w:pPr>
              <w:adjustRightInd w:val="0"/>
              <w:snapToGrid w:val="0"/>
              <w:spacing w:line="340" w:lineRule="exact"/>
              <w:jc w:val="center"/>
              <w:rPr>
                <w:rFonts w:ascii="Times New Roman" w:hAnsi="Times New Roman" w:eastAsia="宋体" w:cs="Times New Roman"/>
                <w:bCs/>
                <w:color w:val="000000"/>
                <w:szCs w:val="21"/>
              </w:rPr>
            </w:pPr>
            <w:r>
              <w:rPr>
                <w:rFonts w:hint="eastAsia" w:ascii="Times New Roman" w:hAnsi="Times New Roman" w:eastAsia="宋体" w:cs="Times New Roman"/>
                <w:bCs/>
                <w:color w:val="000000"/>
                <w:szCs w:val="21"/>
              </w:rPr>
              <w:t>煎药室药渣</w:t>
            </w:r>
          </w:p>
        </w:tc>
        <w:tc>
          <w:tcPr>
            <w:tcW w:w="2410" w:type="dxa"/>
            <w:vAlign w:val="center"/>
          </w:tcPr>
          <w:p>
            <w:pPr>
              <w:adjustRightInd w:val="0"/>
              <w:snapToGrid w:val="0"/>
              <w:spacing w:line="34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环卫部门统一收集处理</w:t>
            </w:r>
          </w:p>
        </w:tc>
        <w:tc>
          <w:tcPr>
            <w:tcW w:w="4019" w:type="dxa"/>
            <w:gridSpan w:val="2"/>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trPr>
        <w:tc>
          <w:tcPr>
            <w:tcW w:w="426" w:type="dxa"/>
            <w:vMerge w:val="continue"/>
            <w:vAlign w:val="center"/>
          </w:tcPr>
          <w:p>
            <w:pPr>
              <w:jc w:val="center"/>
              <w:rPr>
                <w:rFonts w:ascii="Times New Roman" w:hAnsi="Times New Roman" w:cs="Times New Roman"/>
                <w:szCs w:val="21"/>
              </w:rPr>
            </w:pPr>
          </w:p>
        </w:tc>
        <w:tc>
          <w:tcPr>
            <w:tcW w:w="1667" w:type="dxa"/>
            <w:vAlign w:val="center"/>
          </w:tcPr>
          <w:p>
            <w:pPr>
              <w:adjustRightInd w:val="0"/>
              <w:snapToGrid w:val="0"/>
              <w:spacing w:line="340" w:lineRule="exact"/>
              <w:jc w:val="center"/>
              <w:rPr>
                <w:rFonts w:ascii="Times New Roman" w:hAnsi="Times New Roman" w:eastAsia="宋体" w:cs="Times New Roman"/>
                <w:color w:val="000000"/>
                <w:szCs w:val="21"/>
              </w:rPr>
            </w:pPr>
            <w:r>
              <w:rPr>
                <w:rFonts w:hint="eastAsia" w:ascii="Times New Roman" w:hAnsi="Times New Roman" w:eastAsia="宋体" w:cs="Times New Roman"/>
                <w:bCs/>
                <w:color w:val="000000"/>
                <w:szCs w:val="21"/>
              </w:rPr>
              <w:t>生活垃圾</w:t>
            </w:r>
          </w:p>
        </w:tc>
        <w:tc>
          <w:tcPr>
            <w:tcW w:w="2410" w:type="dxa"/>
            <w:vAlign w:val="center"/>
          </w:tcPr>
          <w:p>
            <w:pPr>
              <w:adjustRightInd w:val="0"/>
              <w:snapToGrid w:val="0"/>
              <w:spacing w:line="34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环卫部门统一收集处理</w:t>
            </w:r>
          </w:p>
        </w:tc>
        <w:tc>
          <w:tcPr>
            <w:tcW w:w="4019" w:type="dxa"/>
            <w:gridSpan w:val="2"/>
            <w:vMerge w:val="continue"/>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trPr>
        <w:tc>
          <w:tcPr>
            <w:tcW w:w="426" w:type="dxa"/>
            <w:vAlign w:val="center"/>
          </w:tcPr>
          <w:p>
            <w:pPr>
              <w:jc w:val="center"/>
              <w:rPr>
                <w:rFonts w:ascii="Times New Roman" w:hAnsi="Times New Roman" w:cs="Times New Roman"/>
                <w:szCs w:val="21"/>
              </w:rPr>
            </w:pPr>
            <w:r>
              <w:rPr>
                <w:rFonts w:hint="eastAsia" w:ascii="Times New Roman" w:hAnsi="Times New Roman" w:cs="Times New Roman"/>
                <w:szCs w:val="21"/>
              </w:rPr>
              <w:t>其它</w:t>
            </w:r>
          </w:p>
        </w:tc>
        <w:tc>
          <w:tcPr>
            <w:tcW w:w="8096" w:type="dxa"/>
            <w:gridSpan w:val="4"/>
            <w:vAlign w:val="center"/>
          </w:tcPr>
          <w:p>
            <w:pPr>
              <w:adjustRightInd w:val="0"/>
              <w:snapToGrid w:val="0"/>
              <w:spacing w:line="260" w:lineRule="exact"/>
              <w:jc w:val="center"/>
              <w:rPr>
                <w:rFonts w:ascii="Times New Roman" w:hAnsi="Times New Roman" w:cs="Times New Roman" w:eastAsiaTheme="majorEastAsia"/>
                <w:bCs/>
                <w:snapToGrid w:val="0"/>
                <w:spacing w:val="-6"/>
                <w:kern w:val="0"/>
                <w:szCs w:val="21"/>
              </w:rPr>
            </w:pPr>
            <w:r>
              <w:rPr>
                <w:rFonts w:hint="eastAsia" w:ascii="Times New Roman" w:cs="Times New Roman" w:hAnsiTheme="majorEastAsia" w:eastAsiaTheme="majorEastAsia"/>
                <w:color w:val="000000"/>
                <w:szCs w:val="21"/>
              </w:rPr>
              <w:t>医疗废物</w:t>
            </w:r>
            <w:r>
              <w:rPr>
                <w:rFonts w:ascii="Times New Roman" w:cs="Times New Roman" w:hAnsiTheme="majorEastAsia" w:eastAsiaTheme="majorEastAsia"/>
                <w:color w:val="000000"/>
                <w:szCs w:val="21"/>
              </w:rPr>
              <w:t>暂存间要防风、防雨、防晒。四周围堰</w:t>
            </w:r>
            <w:r>
              <w:rPr>
                <w:rFonts w:ascii="Times New Roman" w:hAnsi="Times New Roman" w:cs="Times New Roman" w:eastAsiaTheme="majorEastAsia"/>
                <w:color w:val="000000"/>
                <w:szCs w:val="21"/>
              </w:rPr>
              <w:t>0.3m</w:t>
            </w:r>
            <w:r>
              <w:rPr>
                <w:rFonts w:ascii="Times New Roman" w:cs="Times New Roman" w:hAnsiTheme="majorEastAsia" w:eastAsiaTheme="majorEastAsia"/>
                <w:color w:val="000000"/>
                <w:szCs w:val="21"/>
              </w:rPr>
              <w:t>，防渗采用</w:t>
            </w:r>
            <w:r>
              <w:rPr>
                <w:rFonts w:ascii="Times New Roman" w:hAnsi="Times New Roman" w:cs="Times New Roman" w:eastAsiaTheme="majorEastAsia"/>
                <w:color w:val="000000"/>
                <w:szCs w:val="21"/>
              </w:rPr>
              <w:t>“</w:t>
            </w:r>
            <w:r>
              <w:rPr>
                <w:rFonts w:ascii="Times New Roman" w:cs="Times New Roman" w:hAnsiTheme="majorEastAsia" w:eastAsiaTheme="majorEastAsia"/>
                <w:color w:val="000000"/>
                <w:szCs w:val="21"/>
              </w:rPr>
              <w:t>混凝土</w:t>
            </w:r>
            <w:r>
              <w:rPr>
                <w:rFonts w:ascii="Times New Roman" w:hAnsi="Times New Roman" w:cs="Times New Roman" w:eastAsiaTheme="majorEastAsia"/>
                <w:color w:val="000000"/>
                <w:szCs w:val="21"/>
              </w:rPr>
              <w:t>+</w:t>
            </w:r>
            <w:r>
              <w:rPr>
                <w:rFonts w:ascii="Times New Roman" w:cs="Times New Roman" w:hAnsiTheme="majorEastAsia" w:eastAsiaTheme="majorEastAsia"/>
                <w:color w:val="000000"/>
                <w:szCs w:val="21"/>
              </w:rPr>
              <w:t>环氧地坪</w:t>
            </w:r>
            <w:r>
              <w:rPr>
                <w:rFonts w:ascii="Times New Roman" w:hAnsi="Times New Roman" w:cs="Times New Roman" w:eastAsiaTheme="majorEastAsia"/>
                <w:color w:val="000000"/>
                <w:szCs w:val="21"/>
              </w:rPr>
              <w:t>”</w:t>
            </w:r>
            <w:r>
              <w:rPr>
                <w:rFonts w:ascii="Times New Roman" w:cs="Times New Roman" w:hAnsiTheme="majorEastAsia" w:eastAsiaTheme="majorEastAsia"/>
                <w:color w:val="000000"/>
                <w:szCs w:val="21"/>
              </w:rPr>
              <w:t>，墙壁、屋顶全密闭，门口双人双锁管理，</w:t>
            </w:r>
            <w:r>
              <w:rPr>
                <w:rFonts w:ascii="Times New Roman" w:cs="Times New Roman" w:hAnsiTheme="majorEastAsia" w:eastAsiaTheme="majorEastAsia"/>
                <w:szCs w:val="21"/>
              </w:rPr>
              <w:t>渗透系数</w:t>
            </w:r>
            <w:r>
              <w:rPr>
                <w:rFonts w:ascii="Times New Roman" w:hAnsi="Times New Roman" w:cs="Times New Roman" w:eastAsiaTheme="majorEastAsia"/>
                <w:szCs w:val="21"/>
              </w:rPr>
              <w:t>≤10</w:t>
            </w:r>
            <w:r>
              <w:rPr>
                <w:rFonts w:ascii="Times New Roman" w:hAnsi="Times New Roman" w:cs="Times New Roman" w:eastAsiaTheme="majorEastAsia"/>
                <w:szCs w:val="21"/>
                <w:vertAlign w:val="superscript"/>
              </w:rPr>
              <w:t>-10</w:t>
            </w:r>
            <w:r>
              <w:rPr>
                <w:rFonts w:ascii="Times New Roman" w:hAnsi="Times New Roman" w:cs="Times New Roman" w:eastAsiaTheme="majorEastAsia"/>
                <w:szCs w:val="21"/>
              </w:rPr>
              <w:t>cm/s</w:t>
            </w:r>
            <w:r>
              <w:rPr>
                <w:rFonts w:ascii="Times New Roman" w:cs="Times New Roman" w:hAnsiTheme="majorEastAsia" w:eastAsiaTheme="majorEastAsia"/>
                <w:color w:val="000000"/>
                <w:szCs w:val="21"/>
              </w:rPr>
              <w:t>。</w:t>
            </w:r>
            <w:r>
              <w:rPr>
                <w:rFonts w:ascii="Times New Roman" w:cs="Times New Roman" w:hAnsiTheme="majorEastAsia" w:eastAsiaTheme="majorEastAsia"/>
                <w:szCs w:val="21"/>
              </w:rPr>
              <w:t>化粪池</w:t>
            </w:r>
            <w:r>
              <w:rPr>
                <w:rFonts w:hint="eastAsia" w:ascii="Times New Roman" w:cs="Times New Roman" w:hAnsiTheme="majorEastAsia" w:eastAsiaTheme="majorEastAsia"/>
                <w:szCs w:val="21"/>
              </w:rPr>
              <w:t>、隔油池</w:t>
            </w:r>
            <w:r>
              <w:rPr>
                <w:rFonts w:ascii="Times New Roman" w:cs="Times New Roman" w:hAnsiTheme="majorEastAsia" w:eastAsiaTheme="majorEastAsia"/>
                <w:szCs w:val="21"/>
              </w:rPr>
              <w:t>防渗处理，渗透系数</w:t>
            </w:r>
            <w:r>
              <w:rPr>
                <w:rFonts w:ascii="Times New Roman" w:hAnsi="Times New Roman" w:cs="Times New Roman" w:eastAsiaTheme="majorEastAsia"/>
                <w:szCs w:val="21"/>
              </w:rPr>
              <w:t>≤10</w:t>
            </w:r>
            <w:r>
              <w:rPr>
                <w:rFonts w:ascii="Times New Roman" w:hAnsi="Times New Roman" w:cs="Times New Roman" w:eastAsiaTheme="majorEastAsia"/>
                <w:szCs w:val="21"/>
                <w:vertAlign w:val="superscript"/>
              </w:rPr>
              <w:t>-7</w:t>
            </w:r>
            <w:r>
              <w:rPr>
                <w:rFonts w:ascii="Times New Roman" w:hAnsi="Times New Roman" w:cs="Times New Roman" w:eastAsiaTheme="majorEastAsia"/>
                <w:szCs w:val="21"/>
              </w:rPr>
              <w:t>cm/s</w:t>
            </w:r>
          </w:p>
        </w:tc>
      </w:tr>
    </w:tbl>
    <w:p>
      <w:pPr>
        <w:spacing w:line="360" w:lineRule="auto"/>
        <w:ind w:firstLine="480" w:firstLineChars="200"/>
        <w:rPr>
          <w:rFonts w:ascii="Times New Roman" w:hAnsi="Times New Roman" w:cs="Times New Roman"/>
          <w:sz w:val="24"/>
          <w:szCs w:val="24"/>
        </w:rPr>
      </w:pPr>
    </w:p>
    <w:p>
      <w:pPr>
        <w:spacing w:line="360" w:lineRule="auto"/>
        <w:ind w:firstLine="120" w:firstLineChars="50"/>
        <w:rPr>
          <w:rFonts w:ascii="Times New Roman" w:hAnsi="Times New Roman" w:cs="Times New Roman"/>
          <w:sz w:val="24"/>
          <w:szCs w:val="24"/>
        </w:rPr>
        <w:sectPr>
          <w:pgSz w:w="11906" w:h="16838"/>
          <w:pgMar w:top="1440" w:right="1800" w:bottom="1440" w:left="1800" w:header="851" w:footer="992" w:gutter="0"/>
          <w:cols w:space="425" w:num="1"/>
          <w:docGrid w:type="lines" w:linePitch="312" w:charSpace="0"/>
        </w:sectPr>
      </w:pPr>
    </w:p>
    <w:p>
      <w:pPr>
        <w:pStyle w:val="2"/>
        <w:spacing w:before="0" w:after="0" w:line="360" w:lineRule="auto"/>
        <w:rPr>
          <w:rFonts w:ascii="Times New Roman" w:hAnsi="Times New Roman" w:cs="Times New Roman"/>
          <w:sz w:val="30"/>
          <w:szCs w:val="30"/>
        </w:rPr>
      </w:pPr>
      <w:bookmarkStart w:id="54" w:name="_Toc13725376"/>
      <w:r>
        <w:rPr>
          <w:rFonts w:ascii="Times New Roman" w:hAnsi="Times New Roman" w:cs="Times New Roman"/>
          <w:sz w:val="30"/>
          <w:szCs w:val="30"/>
        </w:rPr>
        <w:t>9.结论</w:t>
      </w:r>
      <w:bookmarkEnd w:id="54"/>
    </w:p>
    <w:p>
      <w:pPr>
        <w:pStyle w:val="3"/>
        <w:spacing w:before="0" w:after="0" w:line="360" w:lineRule="auto"/>
        <w:rPr>
          <w:rFonts w:ascii="Times New Roman" w:hAnsi="Times New Roman" w:cs="Times New Roman"/>
          <w:sz w:val="28"/>
          <w:szCs w:val="28"/>
        </w:rPr>
      </w:pPr>
      <w:bookmarkStart w:id="55" w:name="_Toc13725377"/>
      <w:r>
        <w:rPr>
          <w:rFonts w:ascii="Times New Roman" w:hAnsi="Times New Roman" w:cs="Times New Roman"/>
          <w:sz w:val="28"/>
          <w:szCs w:val="28"/>
        </w:rPr>
        <w:t>9.1项目概况</w:t>
      </w:r>
      <w:bookmarkEnd w:id="55"/>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1、项目名称：</w:t>
      </w:r>
      <w:r>
        <w:rPr>
          <w:rFonts w:hint="eastAsia" w:ascii="Times New Roman" w:hAnsi="Times New Roman" w:cs="Times New Roman"/>
          <w:bCs/>
          <w:sz w:val="24"/>
          <w:szCs w:val="24"/>
        </w:rPr>
        <w:t>保定市第一中医院门诊、病房及综合培训楼新建项目</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2、建设性质：新建</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3、建设单位：</w:t>
      </w:r>
      <w:r>
        <w:rPr>
          <w:rFonts w:hint="eastAsia" w:ascii="Times New Roman" w:hAnsi="Times New Roman" w:cs="Times New Roman"/>
          <w:bCs/>
          <w:sz w:val="24"/>
          <w:szCs w:val="24"/>
        </w:rPr>
        <w:t>保定市第一中医院</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4、建设地点及周边关系：</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本项目位于保定市莲池区华电路南侧，秀兰﹒文景苑小区东侧，厂区中心地理位置坐标为东经</w:t>
      </w:r>
      <w:r>
        <w:rPr>
          <w:rFonts w:ascii="Times New Roman" w:hAnsi="Times New Roman" w:cs="Times New Roman"/>
          <w:sz w:val="24"/>
          <w:szCs w:val="24"/>
        </w:rPr>
        <w:t>115°</w:t>
      </w:r>
      <w:r>
        <w:rPr>
          <w:rFonts w:hint="eastAsia" w:ascii="Times New Roman" w:hAnsi="Times New Roman" w:cs="Times New Roman"/>
          <w:sz w:val="24"/>
          <w:szCs w:val="24"/>
        </w:rPr>
        <w:t>30</w:t>
      </w:r>
      <w:r>
        <w:rPr>
          <w:rFonts w:ascii="Times New Roman" w:hAnsi="Times New Roman" w:cs="Times New Roman"/>
          <w:sz w:val="24"/>
          <w:szCs w:val="24"/>
        </w:rPr>
        <w:t>′</w:t>
      </w:r>
      <w:r>
        <w:rPr>
          <w:rFonts w:hint="eastAsia" w:ascii="Times New Roman" w:hAnsi="Times New Roman" w:cs="Times New Roman"/>
          <w:sz w:val="24"/>
          <w:szCs w:val="24"/>
        </w:rPr>
        <w:t>21.56</w:t>
      </w:r>
      <w:r>
        <w:rPr>
          <w:rFonts w:ascii="Times New Roman" w:hAnsi="Times New Roman" w:cs="Times New Roman"/>
          <w:sz w:val="24"/>
          <w:szCs w:val="24"/>
        </w:rPr>
        <w:t>″ 、</w:t>
      </w:r>
      <w:r>
        <w:rPr>
          <w:rFonts w:hint="eastAsia" w:ascii="Times New Roman" w:hAnsi="Times New Roman" w:cs="Times New Roman"/>
          <w:sz w:val="24"/>
          <w:szCs w:val="24"/>
        </w:rPr>
        <w:t>北纬</w:t>
      </w:r>
      <w:r>
        <w:rPr>
          <w:rFonts w:ascii="Times New Roman" w:hAnsi="Times New Roman" w:cs="Times New Roman"/>
          <w:sz w:val="24"/>
          <w:szCs w:val="24"/>
        </w:rPr>
        <w:t>3</w:t>
      </w:r>
      <w:r>
        <w:rPr>
          <w:rFonts w:hint="eastAsia" w:ascii="Times New Roman" w:hAnsi="Times New Roman" w:cs="Times New Roman"/>
          <w:sz w:val="24"/>
          <w:szCs w:val="24"/>
        </w:rPr>
        <w:t>8</w:t>
      </w:r>
      <w:r>
        <w:rPr>
          <w:rFonts w:ascii="Times New Roman" w:hAnsi="Times New Roman" w:cs="Times New Roman"/>
          <w:sz w:val="24"/>
          <w:szCs w:val="24"/>
        </w:rPr>
        <w:t>°</w:t>
      </w:r>
      <w:r>
        <w:rPr>
          <w:rFonts w:hint="eastAsia" w:ascii="Times New Roman" w:hAnsi="Times New Roman" w:cs="Times New Roman"/>
          <w:sz w:val="24"/>
          <w:szCs w:val="24"/>
        </w:rPr>
        <w:t>53</w:t>
      </w:r>
      <w:r>
        <w:rPr>
          <w:rFonts w:ascii="Times New Roman" w:hAnsi="Times New Roman" w:cs="Times New Roman"/>
          <w:sz w:val="24"/>
          <w:szCs w:val="24"/>
        </w:rPr>
        <w:t>′</w:t>
      </w:r>
      <w:r>
        <w:rPr>
          <w:rFonts w:hint="eastAsia" w:ascii="Times New Roman" w:hAnsi="Times New Roman" w:cs="Times New Roman"/>
          <w:sz w:val="24"/>
          <w:szCs w:val="24"/>
        </w:rPr>
        <w:t>5.00</w:t>
      </w:r>
      <w:r>
        <w:rPr>
          <w:rFonts w:ascii="Times New Roman" w:hAnsi="Times New Roman" w:cs="Times New Roman"/>
          <w:sz w:val="24"/>
          <w:szCs w:val="24"/>
        </w:rPr>
        <w:t>″</w:t>
      </w:r>
      <w:r>
        <w:rPr>
          <w:rFonts w:hint="eastAsia" w:ascii="Times New Roman" w:hAnsi="Times New Roman" w:cs="Times New Roman"/>
          <w:sz w:val="24"/>
          <w:szCs w:val="24"/>
        </w:rPr>
        <w:t>。项目东侧为中央司法警官学院，南侧为空地，西侧为文景苑小区，北侧为为华电路，隔路为华北电力大学，距离项目最近的环境敏感点为项目西侧文景苑小区和东侧中央司法警官学院。</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5、建设内容：建设1栋8层门诊楼，1栋15层住院楼，1栋6层综合培训楼，设计停车位516个（不设人防），容积率2.17，建筑密度38.30%，绿地率30.00%。</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sz w:val="24"/>
          <w:szCs w:val="24"/>
        </w:rPr>
        <w:t>6、平面布置：</w:t>
      </w:r>
      <w:r>
        <w:rPr>
          <w:rFonts w:hint="eastAsia" w:ascii="Times New Roman" w:hAnsi="Times New Roman" w:cs="Times New Roman"/>
          <w:color w:val="000000" w:themeColor="text1"/>
          <w:sz w:val="24"/>
          <w:szCs w:val="24"/>
        </w:rPr>
        <w:t>大门位于医院北侧，医院北部为门诊部，门诊部南侧为住院部，住院部西侧为综合培训楼，综合培训楼北侧为医疗废物暂存间，污水处理站位于医院南侧。</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7、建设规模：本项目总占地面积为18500m</w:t>
      </w:r>
      <w:r>
        <w:rPr>
          <w:rFonts w:hint="eastAsia" w:ascii="Times New Roman" w:hAnsi="Times New Roman" w:cs="Times New Roman"/>
          <w:sz w:val="24"/>
          <w:szCs w:val="24"/>
          <w:vertAlign w:val="superscript"/>
        </w:rPr>
        <w:t>2</w:t>
      </w:r>
      <w:r>
        <w:rPr>
          <w:rFonts w:hint="eastAsia" w:ascii="Times New Roman" w:hAnsi="Times New Roman" w:cs="Times New Roman"/>
          <w:sz w:val="24"/>
          <w:szCs w:val="24"/>
        </w:rPr>
        <w:t>，建筑基底面积7079.04m</w:t>
      </w:r>
      <w:r>
        <w:rPr>
          <w:rFonts w:hint="eastAsia" w:ascii="Times New Roman" w:hAnsi="Times New Roman" w:cs="Times New Roman"/>
          <w:sz w:val="24"/>
          <w:szCs w:val="24"/>
          <w:vertAlign w:val="superscript"/>
        </w:rPr>
        <w:t>2</w:t>
      </w:r>
      <w:r>
        <w:rPr>
          <w:rFonts w:hint="eastAsia" w:ascii="Times New Roman" w:hAnsi="Times New Roman" w:cs="Times New Roman"/>
          <w:sz w:val="24"/>
          <w:szCs w:val="24"/>
        </w:rPr>
        <w:t>，总建筑面积55350.00m</w:t>
      </w:r>
      <w:r>
        <w:rPr>
          <w:rFonts w:hint="eastAsia" w:ascii="Times New Roman" w:hAnsi="Times New Roman" w:cs="Times New Roman"/>
          <w:sz w:val="24"/>
          <w:szCs w:val="24"/>
          <w:vertAlign w:val="superscript"/>
        </w:rPr>
        <w:t>2</w:t>
      </w:r>
      <w:r>
        <w:rPr>
          <w:rFonts w:hint="eastAsia" w:ascii="Times New Roman" w:hAnsi="Times New Roman" w:cs="Times New Roman"/>
          <w:sz w:val="24"/>
          <w:szCs w:val="24"/>
        </w:rPr>
        <w:t>，项目设计病床数600张，其门诊接待能力2054人次/天，新建污水处理站一座，设计</w:t>
      </w:r>
      <w:r>
        <w:rPr>
          <w:rFonts w:hint="eastAsia" w:ascii="Times New Roman" w:hAnsi="Times New Roman" w:cs="Times New Roman"/>
          <w:color w:val="000000" w:themeColor="text1"/>
          <w:sz w:val="24"/>
          <w:szCs w:val="24"/>
        </w:rPr>
        <w:t>能力500m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8、项目衔接：</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（1）给水</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本项目新鲜水总用水量为494.958m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/d（180622.920m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a），主要分为职工生活用水、病房区生活用水、门诊用水、医疗器械清洗用水、食堂用水、恶臭气体治理水喷淋设施补水、中央空调冷却塔补水。本项目供水水源由市政自来水管网供给，能够满足本项目用水需求。</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（2）排水</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本项目废水总排放量为395.686m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/d（144425.390m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/a），主要为门诊废水、医疗器械清洗废水、职工生活污水、病房区生活污水、食堂废水。本项目废水产生量均按用水量的80%计，则门诊废水产生量为3.286m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/d（1199.390                                                                               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/a）、医疗器械清洗废水产生量为1.2m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/d（438m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/a）、职工生活污水产生量为57.6m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/d（21024m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/a）、病房区生活污水量为312m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/d（113880m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/a）、食堂废水量为21.6m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/d（7884m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/a）。</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项目</w:t>
      </w:r>
      <w:r>
        <w:rPr>
          <w:rFonts w:ascii="Times New Roman" w:hAnsi="Times New Roman" w:cs="Times New Roman"/>
          <w:color w:val="000000" w:themeColor="text1"/>
          <w:sz w:val="24"/>
          <w:szCs w:val="24"/>
        </w:rPr>
        <w:t>食堂废水经隔油池</w:t>
      </w:r>
      <w:r>
        <w:rPr>
          <w:rFonts w:hint="eastAsia" w:ascii="Times New Roman" w:hAnsi="Times New Roman" w:cs="Times New Roman"/>
          <w:color w:val="000000" w:themeColor="text1"/>
          <w:sz w:val="24"/>
          <w:szCs w:val="24"/>
        </w:rPr>
        <w:t>预处理后，与医疗废水、生活污水一并进入</w:t>
      </w:r>
      <w:r>
        <w:rPr>
          <w:rFonts w:ascii="Times New Roman" w:hAnsi="Times New Roman" w:cs="Times New Roman"/>
          <w:color w:val="000000" w:themeColor="text1"/>
          <w:sz w:val="24"/>
          <w:szCs w:val="24"/>
        </w:rPr>
        <w:t>化粪池处理后排入医院污水处理站处理，</w:t>
      </w:r>
      <w:r>
        <w:rPr>
          <w:rFonts w:hint="eastAsia" w:ascii="Times New Roman" w:hAnsi="Times New Roman" w:cs="Times New Roman"/>
          <w:color w:val="000000" w:themeColor="text1"/>
          <w:sz w:val="24"/>
          <w:szCs w:val="24"/>
        </w:rPr>
        <w:t>最终排入银定庄污水处理厂，污水站处理能力为500m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/d，采用“格栅+调节池+混凝沉淀+消毒”处理，</w:t>
      </w:r>
      <w:r>
        <w:rPr>
          <w:rFonts w:ascii="Times New Roman" w:hAnsi="Times New Roman" w:cs="Times New Roman"/>
          <w:color w:val="000000" w:themeColor="text1"/>
          <w:sz w:val="24"/>
          <w:szCs w:val="24"/>
        </w:rPr>
        <w:t>处理达到</w:t>
      </w:r>
      <w:r>
        <w:rPr>
          <w:rFonts w:hint="eastAsia" w:ascii="Times New Roman" w:hAnsi="Times New Roman" w:cs="Times New Roman"/>
          <w:color w:val="000000" w:themeColor="text1"/>
          <w:sz w:val="24"/>
          <w:szCs w:val="24"/>
        </w:rPr>
        <w:t>《医疗机构水污染物排放标准》（GB18466-2005）表2预处理标准，同时满足银定庄污水处理厂进水水质要求，通过市政污水管网排入银定庄污水处理厂进一步处理。</w:t>
      </w:r>
    </w:p>
    <w:p>
      <w:pPr>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（3）供电</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本项目用电由保定市供电公司供应，用电负荷7593.75KW，安装8台1250KVA的变压器，用电量为1155.31万kWh，能够满足本项目用电需求。</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（4）供热</w:t>
      </w:r>
    </w:p>
    <w:p>
      <w:pPr>
        <w:spacing w:line="360" w:lineRule="auto"/>
        <w:ind w:firstLine="480" w:firstLineChars="200"/>
        <w:rPr>
          <w:rFonts w:ascii="Times New Roman" w:hAnsi="Times New Roman" w:cs="Times New Roman"/>
          <w:color w:val="000000" w:themeColor="text1"/>
          <w:sz w:val="24"/>
          <w:szCs w:val="24"/>
        </w:rPr>
      </w:pPr>
      <w:bookmarkStart w:id="56" w:name="_Toc13725378"/>
      <w:r>
        <w:rPr>
          <w:rFonts w:hint="eastAsia" w:ascii="Times New Roman" w:hAnsi="Times New Roman" w:cs="Times New Roman"/>
          <w:color w:val="000000" w:themeColor="text1"/>
          <w:sz w:val="24"/>
          <w:szCs w:val="24"/>
        </w:rPr>
        <w:t>本项目不设燃煤锅炉，夏季制冷采用中央空调，冬季取暖由大唐热电供给。</w:t>
      </w:r>
    </w:p>
    <w:p>
      <w:pPr>
        <w:pStyle w:val="3"/>
        <w:spacing w:before="0" w:after="0" w:line="360" w:lineRule="auto"/>
        <w:rPr>
          <w:rFonts w:ascii="Times New Roman" w:hAnsi="Times New Roman" w:cs="Times New Roman"/>
          <w:sz w:val="28"/>
          <w:szCs w:val="28"/>
        </w:rPr>
      </w:pPr>
      <w:r>
        <w:rPr>
          <w:rFonts w:ascii="Times New Roman" w:hAnsi="Times New Roman" w:cs="Times New Roman"/>
          <w:sz w:val="28"/>
          <w:szCs w:val="28"/>
        </w:rPr>
        <w:t>9.2环境质量现状</w:t>
      </w:r>
      <w:bookmarkEnd w:id="56"/>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9.2.1大气环境质量现状</w:t>
      </w:r>
    </w:p>
    <w:p>
      <w:pPr>
        <w:spacing w:line="360" w:lineRule="auto"/>
        <w:ind w:firstLine="482"/>
        <w:rPr>
          <w:rFonts w:ascii="Times New Roman" w:cs="Times New Roman" w:hAnsiTheme="minorEastAsia"/>
          <w:color w:val="000000" w:themeColor="text1"/>
          <w:sz w:val="24"/>
        </w:rPr>
      </w:pPr>
      <w:r>
        <w:rPr>
          <w:rFonts w:ascii="Times New Roman" w:cs="Times New Roman" w:hAnsiTheme="minorEastAsia"/>
          <w:color w:val="000000" w:themeColor="text1"/>
          <w:sz w:val="24"/>
        </w:rPr>
        <w:t>根据</w:t>
      </w:r>
      <w:r>
        <w:rPr>
          <w:rFonts w:ascii="Times New Roman" w:hAnsi="Times New Roman" w:cs="Times New Roman"/>
          <w:color w:val="000000" w:themeColor="text1"/>
          <w:sz w:val="24"/>
        </w:rPr>
        <w:t>2017</w:t>
      </w:r>
      <w:r>
        <w:rPr>
          <w:rFonts w:ascii="Times New Roman" w:cs="Times New Roman" w:hAnsiTheme="minorEastAsia"/>
          <w:color w:val="000000" w:themeColor="text1"/>
          <w:sz w:val="24"/>
        </w:rPr>
        <w:t>年保定市环境质量公报，项目所在评价区域为不达标区。</w:t>
      </w:r>
      <w:r>
        <w:rPr>
          <w:rFonts w:ascii="Times New Roman" w:hAnsi="Times New Roman" w:cs="Times New Roman"/>
          <w:color w:val="000000" w:themeColor="text1"/>
          <w:sz w:val="24"/>
        </w:rPr>
        <w:t>PM</w:t>
      </w:r>
      <w:r>
        <w:rPr>
          <w:rFonts w:ascii="Times New Roman" w:hAnsi="Times New Roman" w:cs="Times New Roman"/>
          <w:color w:val="000000" w:themeColor="text1"/>
          <w:sz w:val="24"/>
          <w:vertAlign w:val="subscript"/>
        </w:rPr>
        <w:t>10</w:t>
      </w:r>
      <w:r>
        <w:rPr>
          <w:rFonts w:ascii="Times New Roman" w:cs="Times New Roman" w:hAnsiTheme="minorEastAsia"/>
          <w:color w:val="000000" w:themeColor="text1"/>
          <w:sz w:val="24"/>
        </w:rPr>
        <w:t>、</w:t>
      </w:r>
      <w:r>
        <w:rPr>
          <w:rFonts w:ascii="Times New Roman" w:hAnsi="Times New Roman" w:cs="Times New Roman"/>
          <w:color w:val="000000" w:themeColor="text1"/>
          <w:sz w:val="24"/>
        </w:rPr>
        <w:t>PM</w:t>
      </w:r>
      <w:r>
        <w:rPr>
          <w:rFonts w:ascii="Times New Roman" w:hAnsi="Times New Roman" w:cs="Times New Roman"/>
          <w:color w:val="000000" w:themeColor="text1"/>
          <w:sz w:val="24"/>
          <w:vertAlign w:val="subscript"/>
        </w:rPr>
        <w:t>2.5</w:t>
      </w:r>
      <w:r>
        <w:rPr>
          <w:rFonts w:ascii="Times New Roman" w:cs="Times New Roman" w:hAnsiTheme="minorEastAsia"/>
          <w:color w:val="000000" w:themeColor="text1"/>
          <w:sz w:val="24"/>
        </w:rPr>
        <w:t>、</w:t>
      </w:r>
      <w:r>
        <w:rPr>
          <w:rFonts w:ascii="Times New Roman" w:hAnsi="Times New Roman" w:cs="Times New Roman"/>
          <w:color w:val="000000" w:themeColor="text1"/>
          <w:sz w:val="24"/>
        </w:rPr>
        <w:t>NO</w:t>
      </w:r>
      <w:r>
        <w:rPr>
          <w:rFonts w:ascii="Times New Roman" w:hAnsi="Times New Roman" w:cs="Times New Roman"/>
          <w:color w:val="000000" w:themeColor="text1"/>
          <w:sz w:val="24"/>
          <w:vertAlign w:val="subscript"/>
        </w:rPr>
        <w:t>2</w:t>
      </w:r>
      <w:r>
        <w:rPr>
          <w:rFonts w:ascii="Times New Roman" w:cs="Times New Roman" w:hAnsiTheme="minorEastAsia"/>
          <w:color w:val="000000" w:themeColor="text1"/>
          <w:sz w:val="24"/>
        </w:rPr>
        <w:t>、</w:t>
      </w:r>
      <w:r>
        <w:rPr>
          <w:rFonts w:ascii="Times New Roman" w:hAnsi="Times New Roman" w:cs="Times New Roman"/>
          <w:color w:val="000000" w:themeColor="text1"/>
          <w:sz w:val="24"/>
        </w:rPr>
        <w:t>O</w:t>
      </w:r>
      <w:r>
        <w:rPr>
          <w:rFonts w:ascii="Times New Roman" w:hAnsi="Times New Roman" w:cs="Times New Roman"/>
          <w:color w:val="000000" w:themeColor="text1"/>
          <w:sz w:val="24"/>
          <w:vertAlign w:val="subscript"/>
        </w:rPr>
        <w:t>3</w:t>
      </w:r>
      <w:r>
        <w:rPr>
          <w:rFonts w:ascii="Times New Roman" w:cs="Times New Roman" w:hAnsiTheme="minorEastAsia"/>
          <w:color w:val="000000" w:themeColor="text1"/>
          <w:sz w:val="24"/>
        </w:rPr>
        <w:t>均超标，</w:t>
      </w:r>
      <w:r>
        <w:rPr>
          <w:rFonts w:ascii="Times New Roman" w:hAnsi="Times New Roman" w:cs="Times New Roman"/>
          <w:color w:val="000000" w:themeColor="text1"/>
          <w:sz w:val="24"/>
        </w:rPr>
        <w:t>SO</w:t>
      </w:r>
      <w:r>
        <w:rPr>
          <w:rFonts w:ascii="Times New Roman" w:hAnsi="Times New Roman" w:cs="Times New Roman"/>
          <w:color w:val="000000" w:themeColor="text1"/>
          <w:sz w:val="24"/>
          <w:vertAlign w:val="subscript"/>
        </w:rPr>
        <w:t>2</w:t>
      </w:r>
      <w:r>
        <w:rPr>
          <w:rFonts w:ascii="Times New Roman" w:cs="Times New Roman" w:hAnsiTheme="minorEastAsia"/>
          <w:color w:val="000000" w:themeColor="text1"/>
          <w:sz w:val="24"/>
        </w:rPr>
        <w:t>、</w:t>
      </w:r>
      <w:r>
        <w:rPr>
          <w:rFonts w:ascii="Times New Roman" w:hAnsi="Times New Roman" w:cs="Times New Roman"/>
          <w:color w:val="000000" w:themeColor="text1"/>
          <w:sz w:val="24"/>
        </w:rPr>
        <w:t>CO</w:t>
      </w:r>
      <w:r>
        <w:rPr>
          <w:rFonts w:ascii="Times New Roman" w:cs="Times New Roman" w:hAnsiTheme="minorEastAsia"/>
          <w:color w:val="000000" w:themeColor="text1"/>
          <w:sz w:val="24"/>
        </w:rPr>
        <w:t>达标；其他污染物现状评价数据</w:t>
      </w:r>
      <w:r>
        <w:rPr>
          <w:rFonts w:hint="eastAsia" w:ascii="Times New Roman" w:cs="Times New Roman" w:hAnsiTheme="minorEastAsia"/>
          <w:color w:val="000000" w:themeColor="text1"/>
          <w:sz w:val="24"/>
        </w:rPr>
        <w:t>由河北谱尼测试科技有限公司监测，氨、硫化氢满足</w:t>
      </w:r>
      <w:r>
        <w:rPr>
          <w:rFonts w:ascii="Times New Roman" w:cs="Times New Roman" w:hAnsiTheme="minorEastAsia"/>
          <w:color w:val="000000" w:themeColor="text1"/>
          <w:sz w:val="24"/>
        </w:rPr>
        <w:t>《工业企业设计卫生标准》（TJ36-1979）中居住区大气中有害物质的一次最高容许浓度限值</w:t>
      </w:r>
      <w:r>
        <w:rPr>
          <w:rFonts w:hint="eastAsia" w:ascii="Times New Roman" w:cs="Times New Roman" w:hAnsiTheme="minorEastAsia"/>
          <w:color w:val="000000" w:themeColor="text1"/>
          <w:sz w:val="24"/>
        </w:rPr>
        <w:t>。</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9.2.2地下水环境质量现状</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根据项目检测报告，</w:t>
      </w:r>
      <w:r>
        <w:rPr>
          <w:rFonts w:ascii="Times New Roman" w:hAnsi="Times New Roman" w:cs="Times New Roman"/>
          <w:sz w:val="24"/>
          <w:szCs w:val="24"/>
        </w:rPr>
        <w:t>区域内</w:t>
      </w:r>
      <w:r>
        <w:rPr>
          <w:rFonts w:hint="eastAsia" w:ascii="Times New Roman" w:hAnsi="Times New Roman" w:cs="Times New Roman"/>
          <w:sz w:val="24"/>
          <w:szCs w:val="24"/>
        </w:rPr>
        <w:t>总硬度由于地质原因，地下水中钙、镁离子浓度较高造成超标，其他</w:t>
      </w:r>
      <w:r>
        <w:rPr>
          <w:rFonts w:ascii="Times New Roman" w:hAnsi="Times New Roman" w:cs="Times New Roman"/>
          <w:sz w:val="24"/>
          <w:szCs w:val="24"/>
        </w:rPr>
        <w:t>各地下水监测点位所有监测项目均不超标，监测项目的标准指数均小于1，表明评价区域地下水水质较好，评价区域内地下水水质符合《地下水质量标准》（GB/T14848—93）</w:t>
      </w:r>
      <w:r>
        <w:rPr>
          <w:rFonts w:hint="eastAsia" w:ascii="宋体" w:hAnsi="宋体" w:eastAsia="宋体" w:cs="宋体"/>
          <w:sz w:val="24"/>
          <w:szCs w:val="24"/>
        </w:rPr>
        <w:t>Ⅲ</w:t>
      </w:r>
      <w:r>
        <w:rPr>
          <w:rFonts w:ascii="Times New Roman" w:hAnsi="Times New Roman" w:cs="Times New Roman"/>
          <w:sz w:val="24"/>
          <w:szCs w:val="24"/>
        </w:rPr>
        <w:t>类标准要求。</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9.2.3声环境质量现状</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根据项目检测报告可知，项目北厂界环境噪声值符合《声环境质量标准》（</w:t>
      </w:r>
      <w:r>
        <w:rPr>
          <w:rFonts w:ascii="Times New Roman" w:hAnsi="Times New Roman" w:cs="Times New Roman"/>
          <w:sz w:val="24"/>
          <w:szCs w:val="24"/>
        </w:rPr>
        <w:t>GB3096-2008</w:t>
      </w:r>
      <w:r>
        <w:rPr>
          <w:rFonts w:hint="eastAsia" w:ascii="Times New Roman" w:hAnsi="Times New Roman" w:cs="Times New Roman"/>
          <w:sz w:val="24"/>
          <w:szCs w:val="24"/>
        </w:rPr>
        <w:t>）中4类区标准；其它厂界噪声值符合《声环境质量标准》（</w:t>
      </w:r>
      <w:r>
        <w:rPr>
          <w:rFonts w:ascii="Times New Roman" w:hAnsi="Times New Roman" w:cs="Times New Roman"/>
          <w:sz w:val="24"/>
          <w:szCs w:val="24"/>
        </w:rPr>
        <w:t>GB3096-2008</w:t>
      </w:r>
      <w:r>
        <w:rPr>
          <w:rFonts w:hint="eastAsia" w:ascii="Times New Roman" w:hAnsi="Times New Roman" w:cs="Times New Roman"/>
          <w:sz w:val="24"/>
          <w:szCs w:val="24"/>
        </w:rPr>
        <w:t>）中1类区标准。</w:t>
      </w:r>
    </w:p>
    <w:p>
      <w:pPr>
        <w:pStyle w:val="3"/>
        <w:spacing w:before="0" w:after="0" w:line="360" w:lineRule="auto"/>
        <w:rPr>
          <w:rFonts w:ascii="Times New Roman" w:hAnsi="Times New Roman" w:cs="Times New Roman"/>
          <w:sz w:val="28"/>
          <w:szCs w:val="28"/>
        </w:rPr>
      </w:pPr>
      <w:bookmarkStart w:id="57" w:name="_Toc13725379"/>
      <w:r>
        <w:rPr>
          <w:rFonts w:ascii="Times New Roman" w:hAnsi="Times New Roman" w:cs="Times New Roman"/>
          <w:sz w:val="28"/>
          <w:szCs w:val="28"/>
        </w:rPr>
        <w:t>9.3环境保护措施及污染物排放情况</w:t>
      </w:r>
      <w:bookmarkEnd w:id="57"/>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9.3.1废气</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本项目废气主要为医院污水处理站运行产生恶臭气体，主要污染物为氨、硫化氢、臭气浓度；煎药室煎药过程产生恶臭气体，主要污染物为臭气浓度；食堂产生油烟。</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1、污水处理站运行产生恶臭气体</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污水处理站采取密闭措施，进入集气管道收集，集气效率为</w:t>
      </w:r>
      <w:r>
        <w:rPr>
          <w:rFonts w:ascii="Times New Roman" w:hAnsi="Times New Roman" w:cs="Times New Roman"/>
          <w:color w:val="000000" w:themeColor="text1"/>
          <w:sz w:val="24"/>
          <w:szCs w:val="24"/>
        </w:rPr>
        <w:t>99%</w:t>
      </w:r>
      <w:r>
        <w:rPr>
          <w:rFonts w:hint="eastAsia" w:ascii="Times New Roman" w:hAnsi="Times New Roman" w:cs="Times New Roman"/>
          <w:color w:val="000000" w:themeColor="text1"/>
          <w:sz w:val="24"/>
          <w:szCs w:val="24"/>
        </w:rPr>
        <w:t>，采取经“水喷淋装置</w:t>
      </w:r>
      <w:r>
        <w:rPr>
          <w:rFonts w:ascii="Times New Roman" w:hAnsi="Times New Roman" w:cs="Times New Roman"/>
          <w:color w:val="000000" w:themeColor="text1"/>
          <w:sz w:val="24"/>
          <w:szCs w:val="24"/>
        </w:rPr>
        <w:t>+UV</w:t>
      </w:r>
      <w:r>
        <w:rPr>
          <w:rFonts w:hint="eastAsia" w:ascii="Times New Roman" w:hAnsi="Times New Roman" w:cs="Times New Roman"/>
          <w:color w:val="000000" w:themeColor="text1"/>
          <w:sz w:val="24"/>
          <w:szCs w:val="24"/>
        </w:rPr>
        <w:t>紫外线光解净化器”处理后，经</w:t>
      </w:r>
      <w:r>
        <w:rPr>
          <w:rFonts w:ascii="Times New Roman" w:hAnsi="Times New Roman" w:cs="Times New Roman"/>
          <w:color w:val="000000" w:themeColor="text1"/>
          <w:sz w:val="24"/>
          <w:szCs w:val="24"/>
        </w:rPr>
        <w:t>1</w:t>
      </w:r>
      <w:r>
        <w:rPr>
          <w:rFonts w:hint="eastAsia" w:ascii="Times New Roman" w:hAnsi="Times New Roman" w:cs="Times New Roman"/>
          <w:color w:val="000000" w:themeColor="text1"/>
          <w:sz w:val="24"/>
          <w:szCs w:val="24"/>
        </w:rPr>
        <w:t>根</w:t>
      </w:r>
      <w:r>
        <w:rPr>
          <w:rFonts w:ascii="Times New Roman" w:hAnsi="Times New Roman" w:cs="Times New Roman"/>
          <w:color w:val="000000" w:themeColor="text1"/>
          <w:sz w:val="24"/>
          <w:szCs w:val="24"/>
        </w:rPr>
        <w:t>15m</w:t>
      </w:r>
      <w:r>
        <w:rPr>
          <w:rFonts w:hint="eastAsia" w:ascii="Times New Roman" w:hAnsi="Times New Roman" w:cs="Times New Roman"/>
          <w:color w:val="000000" w:themeColor="text1"/>
          <w:sz w:val="24"/>
          <w:szCs w:val="24"/>
        </w:rPr>
        <w:t>高排气筒排放。</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预测厂界无组织污染物排放</w:t>
      </w:r>
      <w:r>
        <w:rPr>
          <w:rFonts w:hint="eastAsia" w:ascii="Times New Roman" w:hAnsi="宋体" w:eastAsia="宋体" w:cs="Times New Roman"/>
          <w:color w:val="000000" w:themeColor="text1"/>
          <w:sz w:val="24"/>
          <w:szCs w:val="24"/>
        </w:rPr>
        <w:t>《医疗机构水污染物排放标准》（GB18466-2005）表3污水处理站周边大气污染物最高允许浓度</w:t>
      </w:r>
      <w:r>
        <w:rPr>
          <w:rFonts w:hint="eastAsia" w:ascii="Times New Roman" w:hAnsi="Times New Roman" w:cs="Times New Roman"/>
          <w:color w:val="000000" w:themeColor="text1"/>
          <w:sz w:val="24"/>
          <w:szCs w:val="24"/>
        </w:rPr>
        <w:t>（臭气浓度≤10（无量纲）、氨≤</w:t>
      </w:r>
      <w:r>
        <w:rPr>
          <w:rFonts w:ascii="Times New Roman" w:hAnsi="Times New Roman" w:cs="Times New Roman"/>
          <w:color w:val="000000" w:themeColor="text1"/>
          <w:sz w:val="24"/>
          <w:szCs w:val="24"/>
        </w:rPr>
        <w:t>1.</w:t>
      </w:r>
      <w:r>
        <w:rPr>
          <w:rFonts w:hint="eastAsia"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mg/m</w:t>
      </w:r>
      <w:r>
        <w:rPr>
          <w:rFonts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、硫化氢</w:t>
      </w:r>
      <w:r>
        <w:rPr>
          <w:rFonts w:ascii="Times New Roman" w:hAnsi="Times New Roman" w:cs="Times New Roman"/>
          <w:color w:val="000000" w:themeColor="text1"/>
          <w:sz w:val="24"/>
          <w:szCs w:val="24"/>
        </w:rPr>
        <w:t>≤0.0</w:t>
      </w:r>
      <w:r>
        <w:rPr>
          <w:rFonts w:hint="eastAsia"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mg/m</w:t>
      </w:r>
      <w:r>
        <w:rPr>
          <w:rFonts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）的要求，不会对周围大气环境产生明显影响。</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2、煎药室废气</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项目煎药室煎药过程会产生异味，主要污染物为恶臭气体，煎药设备煎药过程密闭，及时通风，通过排风扇加强室内外循环通风及时排出，预测臭气浓度排放满足</w:t>
      </w:r>
      <w:r>
        <w:rPr>
          <w:rFonts w:hint="eastAsia" w:ascii="Times New Roman" w:hAnsi="宋体" w:eastAsia="宋体" w:cs="Times New Roman"/>
          <w:color w:val="000000" w:themeColor="text1"/>
          <w:sz w:val="24"/>
          <w:szCs w:val="24"/>
        </w:rPr>
        <w:t>《医疗机构水污染物排放标准》（GB18466-2005）表3污水处理站周边大气污染物最高允许浓度</w:t>
      </w:r>
      <w:r>
        <w:rPr>
          <w:rFonts w:hint="eastAsia" w:ascii="Times New Roman" w:hAnsi="Times New Roman" w:cs="Times New Roman"/>
          <w:color w:val="000000" w:themeColor="text1"/>
          <w:sz w:val="24"/>
          <w:szCs w:val="24"/>
        </w:rPr>
        <w:t>（臭气浓度≤10（无量纲））的要求，不会对周围大气环境产生明显影响。</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3、食堂油烟</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本项目食堂燃料采用</w:t>
      </w:r>
      <w:r>
        <w:rPr>
          <w:rFonts w:hint="eastAsia" w:ascii="Times New Roman" w:hAnsi="Times New Roman" w:cs="Times New Roman"/>
          <w:color w:val="000000" w:themeColor="text1"/>
          <w:sz w:val="24"/>
          <w:szCs w:val="24"/>
        </w:rPr>
        <w:t>市政燃气管网供应</w:t>
      </w:r>
      <w:r>
        <w:rPr>
          <w:rFonts w:ascii="Times New Roman" w:hAnsi="Times New Roman" w:cs="Times New Roman"/>
          <w:color w:val="000000" w:themeColor="text1"/>
          <w:sz w:val="24"/>
          <w:szCs w:val="24"/>
        </w:rPr>
        <w:t>，产生的废气主要为饮食油烟</w:t>
      </w:r>
      <w:r>
        <w:rPr>
          <w:rFonts w:hint="eastAsia" w:ascii="Times New Roman" w:hAnsi="Times New Roman" w:cs="Times New Roman"/>
          <w:color w:val="000000" w:themeColor="text1"/>
          <w:sz w:val="24"/>
          <w:szCs w:val="24"/>
        </w:rPr>
        <w:t>。</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建设单位必须选取经国家认可的单位检测合格的油烟净化装置，油烟净化效率达到90%，治理后油烟排放可满足《饮食业油烟排放标准</w:t>
      </w:r>
      <w:r>
        <w:rPr>
          <w:rFonts w:ascii="Times New Roman" w:hAnsi="Times New Roman" w:cs="Times New Roman"/>
          <w:color w:val="000000" w:themeColor="text1"/>
          <w:sz w:val="24"/>
          <w:szCs w:val="24"/>
        </w:rPr>
        <w:t>（试行）</w:t>
      </w:r>
      <w:r>
        <w:rPr>
          <w:rFonts w:hint="eastAsia" w:ascii="Times New Roman" w:hAnsi="Times New Roman" w:cs="Times New Roman"/>
          <w:color w:val="000000" w:themeColor="text1"/>
          <w:sz w:val="24"/>
          <w:szCs w:val="24"/>
        </w:rPr>
        <w:t>》（GB18483—2001）中型规模标准（2.0mg/m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）排放标准要求，治理后的油烟经专用烟道高于</w:t>
      </w:r>
      <w:r>
        <w:rPr>
          <w:rFonts w:ascii="Times New Roman" w:hAnsi="Times New Roman" w:cs="Times New Roman"/>
          <w:color w:val="000000" w:themeColor="text1"/>
          <w:sz w:val="24"/>
          <w:szCs w:val="24"/>
        </w:rPr>
        <w:t>食堂</w:t>
      </w:r>
      <w:r>
        <w:rPr>
          <w:rFonts w:hint="eastAsia" w:ascii="Times New Roman" w:hAnsi="Times New Roman" w:cs="Times New Roman"/>
          <w:color w:val="000000" w:themeColor="text1"/>
          <w:sz w:val="24"/>
          <w:szCs w:val="24"/>
        </w:rPr>
        <w:t>顶排放</w:t>
      </w:r>
      <w:r>
        <w:rPr>
          <w:rFonts w:ascii="Times New Roman" w:hAnsi="Times New Roman" w:cs="Times New Roman"/>
          <w:color w:val="000000" w:themeColor="text1"/>
          <w:sz w:val="24"/>
          <w:szCs w:val="24"/>
        </w:rPr>
        <w:t>。</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9.3.2废水</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本项目不设传染病房，无传染医疗废水；化验测试药剂无重金属成分，无含重金属废水。项目废水包括门诊废水、医疗器械清洗废水、职工生活污水、病房区生活污水、食堂废水，废水总量为395.686m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/d（144425.390m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/a）。</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项目</w:t>
      </w:r>
      <w:r>
        <w:rPr>
          <w:rFonts w:ascii="Times New Roman" w:hAnsi="Times New Roman" w:cs="Times New Roman"/>
          <w:color w:val="000000" w:themeColor="text1"/>
          <w:sz w:val="24"/>
          <w:szCs w:val="24"/>
        </w:rPr>
        <w:t>食堂废水经隔油池</w:t>
      </w:r>
      <w:r>
        <w:rPr>
          <w:rFonts w:hint="eastAsia" w:ascii="Times New Roman" w:hAnsi="Times New Roman" w:cs="Times New Roman"/>
          <w:color w:val="000000" w:themeColor="text1"/>
          <w:sz w:val="24"/>
          <w:szCs w:val="24"/>
        </w:rPr>
        <w:t>预处理后，与医疗废水、生活污水一并进入</w:t>
      </w:r>
      <w:r>
        <w:rPr>
          <w:rFonts w:ascii="Times New Roman" w:hAnsi="Times New Roman" w:cs="Times New Roman"/>
          <w:color w:val="000000" w:themeColor="text1"/>
          <w:sz w:val="24"/>
          <w:szCs w:val="24"/>
        </w:rPr>
        <w:t>化粪池处理后排入医院污水处理站处理，</w:t>
      </w:r>
      <w:r>
        <w:rPr>
          <w:rFonts w:hint="eastAsia" w:ascii="Times New Roman" w:hAnsi="Times New Roman" w:cs="Times New Roman"/>
          <w:color w:val="000000" w:themeColor="text1"/>
          <w:sz w:val="24"/>
          <w:szCs w:val="24"/>
        </w:rPr>
        <w:t>污水站处理能力为500m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/d，采用“格栅+调节池+混凝沉淀+消毒”处理，</w:t>
      </w:r>
      <w:r>
        <w:rPr>
          <w:rFonts w:ascii="Times New Roman" w:hAnsi="Times New Roman" w:cs="Times New Roman"/>
          <w:color w:val="000000" w:themeColor="text1"/>
          <w:sz w:val="24"/>
          <w:szCs w:val="24"/>
        </w:rPr>
        <w:t>处理</w:t>
      </w:r>
      <w:r>
        <w:rPr>
          <w:rFonts w:hint="eastAsia" w:ascii="Times New Roman" w:hAnsi="Times New Roman" w:cs="Times New Roman"/>
          <w:color w:val="000000" w:themeColor="text1"/>
          <w:sz w:val="24"/>
          <w:szCs w:val="24"/>
        </w:rPr>
        <w:t>后废水水质</w:t>
      </w:r>
      <w:r>
        <w:rPr>
          <w:rFonts w:ascii="Times New Roman" w:hAnsi="Times New Roman" w:cs="Times New Roman"/>
          <w:color w:val="000000" w:themeColor="text1"/>
          <w:sz w:val="24"/>
          <w:szCs w:val="24"/>
        </w:rPr>
        <w:t>达到</w:t>
      </w:r>
      <w:r>
        <w:rPr>
          <w:rFonts w:hint="eastAsia" w:ascii="Times New Roman" w:hAnsi="Times New Roman" w:cs="Times New Roman"/>
          <w:color w:val="000000" w:themeColor="text1"/>
          <w:sz w:val="24"/>
          <w:szCs w:val="24"/>
        </w:rPr>
        <w:t>《医疗机构水污染物排放标准》（GB18466-2005）表2预处理标准，同时满足银定庄污水处理厂进水水质要求，通过市政污水管网排入银定庄污水处理厂进一步处理。</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9.3.3噪声</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本项目运营期间噪声污染源主要是</w:t>
      </w:r>
      <w:r>
        <w:rPr>
          <w:rFonts w:ascii="Times New Roman" w:hAnsi="Times New Roman" w:cs="Times New Roman"/>
          <w:bCs/>
          <w:sz w:val="24"/>
          <w:szCs w:val="24"/>
        </w:rPr>
        <w:t>污水处理站水泵和</w:t>
      </w:r>
      <w:r>
        <w:rPr>
          <w:rFonts w:hint="eastAsia" w:ascii="Times New Roman" w:hAnsi="Times New Roman" w:cs="Times New Roman"/>
          <w:bCs/>
          <w:sz w:val="24"/>
          <w:szCs w:val="24"/>
        </w:rPr>
        <w:t>中央空调</w:t>
      </w:r>
      <w:r>
        <w:rPr>
          <w:rFonts w:ascii="Times New Roman" w:hAnsi="Times New Roman" w:cs="Times New Roman"/>
          <w:bCs/>
          <w:sz w:val="24"/>
          <w:szCs w:val="24"/>
        </w:rPr>
        <w:t>冷却塔、风机噪声</w:t>
      </w:r>
      <w:r>
        <w:rPr>
          <w:rFonts w:hint="eastAsia" w:ascii="Times New Roman" w:hAnsi="Times New Roman" w:cs="Times New Roman"/>
          <w:sz w:val="24"/>
          <w:szCs w:val="24"/>
        </w:rPr>
        <w:t>。</w:t>
      </w:r>
      <w:r>
        <w:rPr>
          <w:rFonts w:ascii="Times New Roman" w:hAnsi="Times New Roman" w:cs="Times New Roman"/>
          <w:sz w:val="24"/>
          <w:szCs w:val="24"/>
        </w:rPr>
        <w:t>为了</w:t>
      </w:r>
      <w:r>
        <w:rPr>
          <w:rFonts w:hint="eastAsia" w:ascii="Times New Roman" w:hAnsi="Times New Roman" w:cs="Times New Roman"/>
          <w:sz w:val="24"/>
          <w:szCs w:val="24"/>
        </w:rPr>
        <w:t>有效</w:t>
      </w:r>
      <w:r>
        <w:rPr>
          <w:rFonts w:ascii="Times New Roman" w:hAnsi="Times New Roman" w:cs="Times New Roman"/>
          <w:sz w:val="24"/>
          <w:szCs w:val="24"/>
        </w:rPr>
        <w:t>控制噪声污染，污水处理站水泵</w:t>
      </w:r>
      <w:r>
        <w:rPr>
          <w:rFonts w:hint="eastAsia" w:ascii="Times New Roman" w:hAnsi="Times New Roman" w:cs="Times New Roman"/>
          <w:sz w:val="24"/>
          <w:szCs w:val="24"/>
        </w:rPr>
        <w:t>置于</w:t>
      </w:r>
      <w:r>
        <w:rPr>
          <w:rFonts w:ascii="Times New Roman" w:hAnsi="Times New Roman" w:cs="Times New Roman"/>
          <w:sz w:val="24"/>
          <w:szCs w:val="24"/>
        </w:rPr>
        <w:t>地下，</w:t>
      </w:r>
      <w:r>
        <w:rPr>
          <w:rFonts w:ascii="Times New Roman" w:hAnsi="Times New Roman" w:cs="Times New Roman"/>
          <w:bCs/>
          <w:sz w:val="24"/>
          <w:szCs w:val="24"/>
        </w:rPr>
        <w:t>选用消声性能好的建筑材料，</w:t>
      </w:r>
      <w:r>
        <w:rPr>
          <w:rFonts w:ascii="Times New Roman" w:hAnsi="Times New Roman" w:cs="Times New Roman"/>
          <w:sz w:val="24"/>
          <w:szCs w:val="24"/>
        </w:rPr>
        <w:t>并采取基础减振等隔声、降噪措施</w:t>
      </w:r>
      <w:r>
        <w:rPr>
          <w:rFonts w:ascii="Times New Roman" w:hAnsi="Times New Roman" w:cs="Times New Roman"/>
          <w:bCs/>
          <w:sz w:val="24"/>
          <w:szCs w:val="24"/>
        </w:rPr>
        <w:t>；冷却风机采取</w:t>
      </w:r>
      <w:r>
        <w:rPr>
          <w:rFonts w:ascii="Times New Roman" w:hAnsi="Times New Roman" w:cs="Times New Roman"/>
          <w:sz w:val="24"/>
          <w:szCs w:val="24"/>
        </w:rPr>
        <w:t>设置基础减振</w:t>
      </w:r>
      <w:r>
        <w:rPr>
          <w:rFonts w:hint="eastAsia" w:ascii="Times New Roman" w:hAnsi="Times New Roman" w:cs="Times New Roman"/>
          <w:sz w:val="24"/>
          <w:szCs w:val="24"/>
        </w:rPr>
        <w:t>、</w:t>
      </w:r>
      <w:r>
        <w:rPr>
          <w:rFonts w:ascii="Times New Roman" w:hAnsi="Times New Roman" w:cs="Times New Roman"/>
          <w:sz w:val="24"/>
          <w:szCs w:val="24"/>
        </w:rPr>
        <w:t>进出口加消音器</w:t>
      </w:r>
      <w:r>
        <w:rPr>
          <w:rFonts w:hint="eastAsia" w:ascii="Times New Roman" w:hAnsi="Times New Roman" w:cs="Times New Roman"/>
          <w:sz w:val="24"/>
          <w:szCs w:val="24"/>
        </w:rPr>
        <w:t>、</w:t>
      </w:r>
      <w:r>
        <w:rPr>
          <w:rFonts w:ascii="Times New Roman" w:hAnsi="Times New Roman" w:cs="Times New Roman"/>
          <w:sz w:val="24"/>
          <w:szCs w:val="24"/>
        </w:rPr>
        <w:t>用软管连接</w:t>
      </w:r>
      <w:r>
        <w:rPr>
          <w:rFonts w:ascii="Times New Roman" w:hAnsi="Times New Roman" w:cs="Times New Roman"/>
          <w:bCs/>
          <w:sz w:val="24"/>
          <w:szCs w:val="24"/>
        </w:rPr>
        <w:t>等隔声降噪措施</w:t>
      </w:r>
      <w:r>
        <w:rPr>
          <w:rFonts w:hint="eastAsia" w:ascii="Times New Roman" w:hAnsi="Times New Roman" w:cs="Times New Roman"/>
          <w:bCs/>
          <w:sz w:val="24"/>
          <w:szCs w:val="24"/>
        </w:rPr>
        <w:t>；</w:t>
      </w:r>
      <w:r>
        <w:rPr>
          <w:rFonts w:ascii="Times New Roman" w:hAnsi="Times New Roman" w:cs="Times New Roman"/>
          <w:bCs/>
          <w:sz w:val="24"/>
          <w:szCs w:val="24"/>
        </w:rPr>
        <w:t>选用低噪声冷却塔，在冷却塔进风百叶口和排风口加装消声器，对冷却塔进行基础减</w:t>
      </w:r>
      <w:r>
        <w:rPr>
          <w:rFonts w:hint="eastAsia" w:ascii="Times New Roman" w:hAnsi="Times New Roman" w:cs="Times New Roman"/>
          <w:bCs/>
          <w:sz w:val="24"/>
          <w:szCs w:val="24"/>
        </w:rPr>
        <w:t>振</w:t>
      </w:r>
      <w:r>
        <w:rPr>
          <w:rFonts w:ascii="Times New Roman" w:hAnsi="Times New Roman" w:cs="Times New Roman"/>
          <w:bCs/>
          <w:sz w:val="24"/>
          <w:szCs w:val="24"/>
        </w:rPr>
        <w:t>，受水盘水面铺设聚胺脂多孔泡沫塑料垫</w:t>
      </w:r>
      <w:r>
        <w:rPr>
          <w:rFonts w:hint="eastAsia" w:ascii="Times New Roman" w:hAnsi="Times New Roman" w:cs="Times New Roman"/>
          <w:bCs/>
          <w:sz w:val="24"/>
          <w:szCs w:val="24"/>
        </w:rPr>
        <w:t>。</w:t>
      </w:r>
      <w:r>
        <w:rPr>
          <w:rFonts w:ascii="Times New Roman" w:hAnsi="Times New Roman" w:cs="Times New Roman"/>
          <w:sz w:val="24"/>
          <w:szCs w:val="24"/>
        </w:rPr>
        <w:t>采取上述措施后，噪声源声级可下降20~30dB（A），</w:t>
      </w:r>
      <w:r>
        <w:rPr>
          <w:rFonts w:hint="eastAsia" w:ascii="Times New Roman" w:hAnsi="Times New Roman" w:cs="Times New Roman"/>
          <w:sz w:val="24"/>
          <w:szCs w:val="24"/>
        </w:rPr>
        <w:t>北</w:t>
      </w:r>
      <w:r>
        <w:rPr>
          <w:rFonts w:ascii="Times New Roman" w:hAnsi="Times New Roman" w:cs="Times New Roman"/>
          <w:sz w:val="24"/>
          <w:szCs w:val="24"/>
        </w:rPr>
        <w:t>边界噪声可达到《工业企业厂界环境噪声排放标准》</w:t>
      </w:r>
      <w:r>
        <w:rPr>
          <w:rFonts w:hint="eastAsia" w:ascii="Times New Roman" w:hAnsi="Times New Roman" w:cs="Times New Roman"/>
          <w:sz w:val="24"/>
          <w:szCs w:val="24"/>
        </w:rPr>
        <w:t>（</w:t>
      </w:r>
      <w:r>
        <w:rPr>
          <w:rFonts w:ascii="Times New Roman" w:hAnsi="Times New Roman" w:cs="Times New Roman"/>
          <w:sz w:val="24"/>
          <w:szCs w:val="24"/>
        </w:rPr>
        <w:t>GB12348-2008）</w:t>
      </w:r>
      <w:r>
        <w:rPr>
          <w:rFonts w:hint="eastAsia" w:ascii="Times New Roman" w:hAnsi="Times New Roman" w:cs="Times New Roman"/>
          <w:sz w:val="24"/>
          <w:szCs w:val="24"/>
        </w:rPr>
        <w:t>4类标准，其它边界可达</w:t>
      </w:r>
      <w:r>
        <w:rPr>
          <w:rFonts w:ascii="Times New Roman" w:hAnsi="Times New Roman" w:cs="Times New Roman"/>
          <w:sz w:val="24"/>
          <w:szCs w:val="24"/>
        </w:rPr>
        <w:t>《工业企业厂界环境噪声排放标准》</w:t>
      </w:r>
      <w:r>
        <w:rPr>
          <w:rFonts w:hint="eastAsia" w:ascii="Times New Roman" w:hAnsi="Times New Roman" w:cs="Times New Roman"/>
          <w:sz w:val="24"/>
          <w:szCs w:val="24"/>
        </w:rPr>
        <w:t>（</w:t>
      </w:r>
      <w:r>
        <w:rPr>
          <w:rFonts w:ascii="Times New Roman" w:hAnsi="Times New Roman" w:cs="Times New Roman"/>
          <w:sz w:val="24"/>
          <w:szCs w:val="24"/>
        </w:rPr>
        <w:t>GB12348-2008）</w:t>
      </w:r>
      <w:r>
        <w:rPr>
          <w:rFonts w:hint="eastAsia" w:ascii="Times New Roman" w:hAnsi="Times New Roman" w:cs="Times New Roman"/>
          <w:sz w:val="24"/>
          <w:szCs w:val="24"/>
        </w:rPr>
        <w:t>1类标准</w:t>
      </w:r>
      <w:r>
        <w:rPr>
          <w:rFonts w:ascii="Times New Roman" w:hAnsi="Times New Roman" w:cs="Times New Roman"/>
          <w:sz w:val="24"/>
          <w:szCs w:val="24"/>
        </w:rPr>
        <w:t>。</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9.3.4固体废物</w:t>
      </w:r>
    </w:p>
    <w:p>
      <w:pPr>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本项目产生的固废主要为污水站及化粪池污泥、医疗废物、煎药药渣、生活垃圾、</w:t>
      </w:r>
      <w:r>
        <w:rPr>
          <w:rFonts w:ascii="Times New Roman" w:hAnsi="Times New Roman" w:cs="Times New Roman"/>
          <w:bCs/>
          <w:sz w:val="24"/>
          <w:szCs w:val="24"/>
        </w:rPr>
        <w:t>COD</w:t>
      </w:r>
      <w:r>
        <w:rPr>
          <w:rFonts w:hint="eastAsia" w:ascii="Times New Roman" w:hAnsi="Times New Roman" w:cs="Times New Roman"/>
          <w:bCs/>
          <w:sz w:val="24"/>
          <w:szCs w:val="24"/>
        </w:rPr>
        <w:t>、氨氮在线监测仪产生的废液。医疗废物、</w:t>
      </w:r>
      <w:r>
        <w:rPr>
          <w:rFonts w:ascii="Times New Roman" w:hAnsi="Times New Roman" w:cs="Times New Roman"/>
          <w:bCs/>
          <w:sz w:val="24"/>
          <w:szCs w:val="24"/>
        </w:rPr>
        <w:t>COD</w:t>
      </w:r>
      <w:r>
        <w:rPr>
          <w:rFonts w:hint="eastAsia" w:ascii="Times New Roman" w:hAnsi="Times New Roman" w:cs="Times New Roman"/>
          <w:bCs/>
          <w:sz w:val="24"/>
          <w:szCs w:val="24"/>
        </w:rPr>
        <w:t>、氨氮在线监测产生废液置于医疗废物暂存间，由有相应危废资质的单位回收；污水处理站建设不小于1m</w:t>
      </w:r>
      <w:r>
        <w:rPr>
          <w:rFonts w:hint="eastAsia" w:ascii="Times New Roman" w:hAnsi="Times New Roman" w:cs="Times New Roman"/>
          <w:bCs/>
          <w:sz w:val="24"/>
          <w:szCs w:val="24"/>
          <w:vertAlign w:val="superscript"/>
        </w:rPr>
        <w:t>3</w:t>
      </w:r>
      <w:r>
        <w:rPr>
          <w:rFonts w:hint="eastAsia" w:ascii="Times New Roman" w:hAnsi="Times New Roman" w:cs="Times New Roman"/>
          <w:bCs/>
          <w:sz w:val="24"/>
          <w:szCs w:val="24"/>
        </w:rPr>
        <w:t>的污泥消毒池，内设搅拌措施，采取二氧化氯发生器消毒后，定期清掏、脱水，由有资质单位统一处理；药渣、生活垃圾由环卫部门统一收集处理。</w:t>
      </w:r>
    </w:p>
    <w:p>
      <w:pPr>
        <w:pStyle w:val="3"/>
        <w:spacing w:before="0" w:after="0" w:line="360" w:lineRule="auto"/>
        <w:rPr>
          <w:rFonts w:ascii="Times New Roman" w:hAnsi="Times New Roman" w:cs="Times New Roman"/>
          <w:sz w:val="28"/>
          <w:szCs w:val="28"/>
        </w:rPr>
      </w:pPr>
      <w:bookmarkStart w:id="58" w:name="_Toc13725380"/>
      <w:r>
        <w:rPr>
          <w:rFonts w:ascii="Times New Roman" w:hAnsi="Times New Roman" w:cs="Times New Roman"/>
          <w:sz w:val="28"/>
          <w:szCs w:val="28"/>
        </w:rPr>
        <w:t>9.4</w:t>
      </w:r>
      <w:r>
        <w:rPr>
          <w:rFonts w:hint="eastAsia" w:ascii="Times New Roman" w:hAnsi="Times New Roman" w:cs="Times New Roman"/>
          <w:sz w:val="28"/>
          <w:szCs w:val="28"/>
        </w:rPr>
        <w:t>环境影响分析结论</w:t>
      </w:r>
      <w:bookmarkEnd w:id="58"/>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9.4.1大气环境影响分析结论</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估算模式计算结果表明，本项目污染物最大地面浓度占标率均小于10%，各污染物地面浓度达标准限值10%时所对应的最远距离D10%均未出现，项目排放的污染物对大气环境的影响不大，当地环境空气质量可维持现状水平。</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9.4.2水环境影响分析结论</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项目</w:t>
      </w:r>
      <w:r>
        <w:rPr>
          <w:rFonts w:ascii="Times New Roman" w:hAnsi="Times New Roman" w:cs="Times New Roman"/>
          <w:sz w:val="24"/>
          <w:szCs w:val="24"/>
        </w:rPr>
        <w:t>食堂废水经隔油池</w:t>
      </w:r>
      <w:r>
        <w:rPr>
          <w:rFonts w:hint="eastAsia" w:ascii="Times New Roman" w:hAnsi="Times New Roman" w:cs="Times New Roman"/>
          <w:sz w:val="24"/>
          <w:szCs w:val="24"/>
        </w:rPr>
        <w:t>预处理后，与医疗废水、生活污水一并进入</w:t>
      </w:r>
      <w:r>
        <w:rPr>
          <w:rFonts w:ascii="Times New Roman" w:hAnsi="Times New Roman" w:cs="Times New Roman"/>
          <w:sz w:val="24"/>
          <w:szCs w:val="24"/>
        </w:rPr>
        <w:t>化粪池处理后排入医院污水处理站处理，处理</w:t>
      </w:r>
      <w:r>
        <w:rPr>
          <w:rFonts w:hint="eastAsia" w:ascii="Times New Roman" w:hAnsi="Times New Roman" w:cs="Times New Roman"/>
          <w:sz w:val="24"/>
          <w:szCs w:val="24"/>
        </w:rPr>
        <w:t>后废水水质</w:t>
      </w:r>
      <w:r>
        <w:rPr>
          <w:rFonts w:ascii="Times New Roman" w:hAnsi="Times New Roman" w:cs="Times New Roman"/>
          <w:sz w:val="24"/>
          <w:szCs w:val="24"/>
        </w:rPr>
        <w:t>达到</w:t>
      </w:r>
      <w:r>
        <w:rPr>
          <w:rFonts w:hint="eastAsia" w:ascii="Times New Roman" w:hAnsi="Times New Roman" w:cs="Times New Roman"/>
          <w:sz w:val="24"/>
          <w:szCs w:val="24"/>
        </w:rPr>
        <w:t>《医疗机构水污染物排放标准》（GB18466-2005）表2预处理标准，同时满足银定庄污水处理厂进水水质要求，通过市政污水管网排入银定庄污水处理厂进一步处理。</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9.4.3声环境影响分析结论</w:t>
      </w:r>
    </w:p>
    <w:p>
      <w:pPr>
        <w:spacing w:line="360" w:lineRule="auto"/>
        <w:ind w:firstLine="480" w:firstLineChars="200"/>
        <w:rPr>
          <w:rFonts w:ascii="Times New Roman" w:hAnsi="Times New Roman" w:cs="Times New Roman"/>
          <w:bCs/>
          <w:sz w:val="24"/>
          <w:szCs w:val="24"/>
        </w:rPr>
      </w:pPr>
      <w:r>
        <w:rPr>
          <w:rFonts w:hint="eastAsia" w:ascii="Times New Roman" w:hAnsi="Times New Roman" w:cs="Times New Roman"/>
          <w:color w:val="000000" w:themeColor="text1"/>
          <w:sz w:val="24"/>
          <w:szCs w:val="24"/>
        </w:rPr>
        <w:t>根据噪声预测结果，</w:t>
      </w:r>
      <w:r>
        <w:rPr>
          <w:rFonts w:hint="eastAsia" w:ascii="Times New Roman" w:hAnsi="Times New Roman" w:cs="Times New Roman"/>
          <w:bCs/>
          <w:sz w:val="24"/>
          <w:szCs w:val="24"/>
        </w:rPr>
        <w:t>本项目厂界噪声贡献值在</w:t>
      </w:r>
      <w:r>
        <w:rPr>
          <w:rFonts w:hint="eastAsia" w:ascii="Times New Roman" w:hAnsi="Times New Roman" w:cs="Times New Roman"/>
          <w:bCs/>
          <w:color w:val="000000" w:themeColor="text1"/>
          <w:sz w:val="24"/>
          <w:szCs w:val="24"/>
        </w:rPr>
        <w:t>41.6～45.6dB（</w:t>
      </w:r>
      <w:r>
        <w:rPr>
          <w:rFonts w:hint="eastAsia" w:ascii="Times New Roman" w:hAnsi="Times New Roman" w:cs="Times New Roman"/>
          <w:bCs/>
          <w:sz w:val="24"/>
          <w:szCs w:val="24"/>
        </w:rPr>
        <w:t>A）之间，北厂界环境噪声排放满足《工业企业厂界环境噪声排放标准》（GB12348—2008）4类标准要求，其他厂界噪声满足《工业企业厂界环境噪声排放标准》（GB12348—2008）1类标准要求；周围敏感点噪声满足《声环境质量标准》（GB3096-2008）中1类功能区标准。</w:t>
      </w:r>
    </w:p>
    <w:p>
      <w:pPr>
        <w:pStyle w:val="4"/>
        <w:spacing w:before="0" w:after="0" w:line="360" w:lineRule="auto"/>
        <w:rPr>
          <w:rFonts w:ascii="Times New Roman" w:hAnsi="Times New Roman" w:cs="Times New Roman"/>
          <w:sz w:val="24"/>
          <w:szCs w:val="24"/>
        </w:rPr>
      </w:pPr>
      <w:r>
        <w:rPr>
          <w:rFonts w:hint="eastAsia" w:ascii="Times New Roman" w:hAnsi="Times New Roman" w:cs="Times New Roman"/>
          <w:sz w:val="24"/>
          <w:szCs w:val="24"/>
        </w:rPr>
        <w:t>9.4.4固体废物环境影响分析结论</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本项目固体废物全部合理处置，不会对周围环境造成污染和破坏。</w:t>
      </w:r>
    </w:p>
    <w:p>
      <w:pPr>
        <w:pStyle w:val="3"/>
        <w:spacing w:before="0" w:after="0" w:line="360" w:lineRule="auto"/>
        <w:rPr>
          <w:rFonts w:ascii="Times New Roman" w:hAnsi="Times New Roman" w:cs="Times New Roman"/>
          <w:color w:val="000000" w:themeColor="text1"/>
          <w:sz w:val="28"/>
          <w:szCs w:val="28"/>
        </w:rPr>
      </w:pPr>
      <w:bookmarkStart w:id="59" w:name="_Toc13725381"/>
      <w:r>
        <w:rPr>
          <w:rFonts w:hint="eastAsia" w:ascii="Times New Roman" w:hAnsi="Times New Roman" w:cs="Times New Roman"/>
          <w:color w:val="000000" w:themeColor="text1"/>
          <w:sz w:val="28"/>
          <w:szCs w:val="28"/>
        </w:rPr>
        <w:t>9.5环境保护措施可行性论证结论</w:t>
      </w:r>
      <w:bookmarkEnd w:id="59"/>
    </w:p>
    <w:p>
      <w:pPr>
        <w:spacing w:line="360" w:lineRule="auto"/>
        <w:ind w:firstLine="480" w:firstLineChars="200"/>
        <w:rPr>
          <w:rFonts w:ascii="Times New Roman" w:hAnsi="宋体" w:cs="Times New Roman"/>
          <w:color w:val="000000" w:themeColor="text1"/>
          <w:sz w:val="24"/>
        </w:rPr>
      </w:pPr>
      <w:r>
        <w:rPr>
          <w:rFonts w:hint="eastAsia" w:ascii="Times New Roman" w:hAnsi="宋体" w:cs="Times New Roman"/>
          <w:color w:val="000000" w:themeColor="text1"/>
          <w:sz w:val="24"/>
        </w:rPr>
        <w:t>项目污水处理站恶臭气体通过集气管道</w:t>
      </w:r>
      <w:r>
        <w:rPr>
          <w:rFonts w:ascii="Times New Roman" w:hAnsi="宋体" w:cs="Times New Roman"/>
          <w:color w:val="000000" w:themeColor="text1"/>
          <w:sz w:val="24"/>
        </w:rPr>
        <w:t>+</w:t>
      </w:r>
      <w:r>
        <w:rPr>
          <w:rFonts w:hint="eastAsia" w:ascii="Times New Roman" w:hAnsi="宋体" w:cs="Times New Roman"/>
          <w:color w:val="000000" w:themeColor="text1"/>
          <w:sz w:val="24"/>
        </w:rPr>
        <w:t>水喷淋装置</w:t>
      </w:r>
      <w:r>
        <w:rPr>
          <w:rFonts w:ascii="Times New Roman" w:hAnsi="宋体" w:cs="Times New Roman"/>
          <w:color w:val="000000" w:themeColor="text1"/>
          <w:sz w:val="24"/>
        </w:rPr>
        <w:t>+UV</w:t>
      </w:r>
      <w:r>
        <w:rPr>
          <w:rFonts w:hint="eastAsia" w:ascii="Times New Roman" w:hAnsi="宋体" w:cs="Times New Roman"/>
          <w:color w:val="000000" w:themeColor="text1"/>
          <w:sz w:val="24"/>
        </w:rPr>
        <w:t>紫外线光解净化器</w:t>
      </w:r>
      <w:r>
        <w:rPr>
          <w:rFonts w:ascii="Times New Roman" w:hAnsi="宋体" w:cs="Times New Roman"/>
          <w:color w:val="000000" w:themeColor="text1"/>
          <w:sz w:val="24"/>
        </w:rPr>
        <w:t>+1</w:t>
      </w:r>
      <w:r>
        <w:rPr>
          <w:rFonts w:hint="eastAsia" w:ascii="Times New Roman" w:hAnsi="宋体" w:cs="Times New Roman"/>
          <w:color w:val="000000" w:themeColor="text1"/>
          <w:sz w:val="24"/>
        </w:rPr>
        <w:t>根</w:t>
      </w:r>
      <w:r>
        <w:rPr>
          <w:rFonts w:ascii="Times New Roman" w:hAnsi="宋体" w:cs="Times New Roman"/>
          <w:color w:val="000000" w:themeColor="text1"/>
          <w:sz w:val="24"/>
        </w:rPr>
        <w:t>15m</w:t>
      </w:r>
      <w:r>
        <w:rPr>
          <w:rFonts w:hint="eastAsia" w:ascii="Times New Roman" w:hAnsi="宋体" w:cs="Times New Roman"/>
          <w:color w:val="000000" w:themeColor="text1"/>
          <w:sz w:val="24"/>
        </w:rPr>
        <w:t>高排气筒。处理后废气满足《恶臭污染物排放标准》（</w:t>
      </w:r>
      <w:r>
        <w:rPr>
          <w:rFonts w:ascii="Times New Roman" w:hAnsi="宋体" w:cs="Times New Roman"/>
          <w:color w:val="000000" w:themeColor="text1"/>
          <w:sz w:val="24"/>
        </w:rPr>
        <w:t>GB14554-93</w:t>
      </w:r>
      <w:r>
        <w:rPr>
          <w:rFonts w:hint="eastAsia" w:ascii="Times New Roman" w:hAnsi="宋体" w:cs="Times New Roman"/>
          <w:color w:val="000000" w:themeColor="text1"/>
          <w:sz w:val="24"/>
        </w:rPr>
        <w:t>）表</w:t>
      </w:r>
      <w:r>
        <w:rPr>
          <w:rFonts w:ascii="Times New Roman" w:hAnsi="宋体" w:cs="Times New Roman"/>
          <w:color w:val="000000" w:themeColor="text1"/>
          <w:sz w:val="24"/>
        </w:rPr>
        <w:t>2</w:t>
      </w:r>
      <w:r>
        <w:rPr>
          <w:rFonts w:hint="eastAsia" w:ascii="Times New Roman" w:hAnsi="宋体" w:cs="Times New Roman"/>
          <w:color w:val="000000" w:themeColor="text1"/>
          <w:sz w:val="24"/>
        </w:rPr>
        <w:t>污染物排放标准。</w:t>
      </w:r>
    </w:p>
    <w:p>
      <w:pPr>
        <w:spacing w:line="360" w:lineRule="auto"/>
        <w:ind w:firstLine="48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项目</w:t>
      </w:r>
      <w:r>
        <w:rPr>
          <w:rFonts w:ascii="Times New Roman" w:hAnsi="Times New Roman" w:cs="Times New Roman"/>
          <w:color w:val="000000" w:themeColor="text1"/>
          <w:sz w:val="24"/>
          <w:szCs w:val="24"/>
        </w:rPr>
        <w:t>食堂废水经隔油池</w:t>
      </w:r>
      <w:r>
        <w:rPr>
          <w:rFonts w:hint="eastAsia" w:ascii="Times New Roman" w:hAnsi="Times New Roman" w:cs="Times New Roman"/>
          <w:color w:val="000000" w:themeColor="text1"/>
          <w:sz w:val="24"/>
          <w:szCs w:val="24"/>
        </w:rPr>
        <w:t>预处理后，与医疗废水、生活污水一并进入</w:t>
      </w:r>
      <w:r>
        <w:rPr>
          <w:rFonts w:ascii="Times New Roman" w:hAnsi="Times New Roman" w:cs="Times New Roman"/>
          <w:color w:val="000000" w:themeColor="text1"/>
          <w:sz w:val="24"/>
          <w:szCs w:val="24"/>
        </w:rPr>
        <w:t>化粪池处理后排入医院污水处理站处理，</w:t>
      </w:r>
      <w:r>
        <w:rPr>
          <w:rFonts w:hint="eastAsia" w:ascii="Times New Roman" w:hAnsi="Times New Roman" w:cs="Times New Roman"/>
          <w:color w:val="000000" w:themeColor="text1"/>
          <w:sz w:val="24"/>
          <w:szCs w:val="24"/>
        </w:rPr>
        <w:t>污水站处理能力为500m</w:t>
      </w:r>
      <w:r>
        <w:rPr>
          <w:rFonts w:hint="eastAsia" w:ascii="Times New Roman" w:hAnsi="Times New Roman" w:cs="Times New Roman"/>
          <w:color w:val="000000" w:themeColor="text1"/>
          <w:sz w:val="24"/>
          <w:szCs w:val="24"/>
          <w:vertAlign w:val="superscript"/>
        </w:rPr>
        <w:t>3</w:t>
      </w:r>
      <w:r>
        <w:rPr>
          <w:rFonts w:hint="eastAsia" w:ascii="Times New Roman" w:hAnsi="Times New Roman" w:cs="Times New Roman"/>
          <w:color w:val="000000" w:themeColor="text1"/>
          <w:sz w:val="24"/>
          <w:szCs w:val="24"/>
        </w:rPr>
        <w:t>/d，采用“格栅+调节池+混凝沉淀+消毒”处理，</w:t>
      </w:r>
      <w:r>
        <w:rPr>
          <w:rFonts w:ascii="Times New Roman" w:hAnsi="Times New Roman" w:cs="Times New Roman"/>
          <w:color w:val="000000" w:themeColor="text1"/>
          <w:sz w:val="24"/>
          <w:szCs w:val="24"/>
        </w:rPr>
        <w:t>处理</w:t>
      </w:r>
      <w:r>
        <w:rPr>
          <w:rFonts w:hint="eastAsia" w:ascii="Times New Roman" w:hAnsi="Times New Roman" w:cs="Times New Roman"/>
          <w:color w:val="000000" w:themeColor="text1"/>
          <w:sz w:val="24"/>
          <w:szCs w:val="24"/>
        </w:rPr>
        <w:t>后废水水质</w:t>
      </w:r>
      <w:r>
        <w:rPr>
          <w:rFonts w:ascii="Times New Roman" w:hAnsi="Times New Roman" w:cs="Times New Roman"/>
          <w:color w:val="000000" w:themeColor="text1"/>
          <w:sz w:val="24"/>
          <w:szCs w:val="24"/>
        </w:rPr>
        <w:t>达到</w:t>
      </w:r>
      <w:r>
        <w:rPr>
          <w:rFonts w:hint="eastAsia" w:ascii="Times New Roman" w:hAnsi="Times New Roman" w:cs="Times New Roman"/>
          <w:color w:val="000000" w:themeColor="text1"/>
          <w:sz w:val="24"/>
          <w:szCs w:val="24"/>
        </w:rPr>
        <w:t>《医疗机构水污染物排放标准》（GB18466-2005）表2预处理标准，同时满足银定庄污水处理厂进水水质要求，通过市政污水管网排入银定庄污水处理厂进一步处理。</w:t>
      </w:r>
    </w:p>
    <w:p>
      <w:pPr>
        <w:spacing w:line="360" w:lineRule="auto"/>
        <w:ind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本项目运营期间噪声污染源主要是</w:t>
      </w:r>
      <w:r>
        <w:rPr>
          <w:rFonts w:ascii="Times New Roman" w:hAnsi="Times New Roman" w:cs="Times New Roman"/>
          <w:bCs/>
          <w:color w:val="000000" w:themeColor="text1"/>
          <w:sz w:val="24"/>
          <w:szCs w:val="24"/>
        </w:rPr>
        <w:t>污水处理站水泵和</w:t>
      </w:r>
      <w:r>
        <w:rPr>
          <w:rFonts w:hint="eastAsia" w:ascii="Times New Roman" w:hAnsi="Times New Roman" w:cs="Times New Roman"/>
          <w:bCs/>
          <w:color w:val="000000" w:themeColor="text1"/>
          <w:sz w:val="24"/>
          <w:szCs w:val="24"/>
        </w:rPr>
        <w:t>中央空调</w:t>
      </w:r>
      <w:r>
        <w:rPr>
          <w:rFonts w:ascii="Times New Roman" w:hAnsi="Times New Roman" w:cs="Times New Roman"/>
          <w:bCs/>
          <w:color w:val="000000" w:themeColor="text1"/>
          <w:sz w:val="24"/>
          <w:szCs w:val="24"/>
        </w:rPr>
        <w:t>冷却塔、风机噪声</w:t>
      </w:r>
      <w:r>
        <w:rPr>
          <w:rFonts w:ascii="Times New Roman" w:hAnsi="Times New Roman" w:cs="Times New Roman"/>
          <w:color w:val="000000" w:themeColor="text1"/>
          <w:sz w:val="24"/>
          <w:szCs w:val="24"/>
        </w:rPr>
        <w:t>，污水处理站水泵</w:t>
      </w:r>
      <w:r>
        <w:rPr>
          <w:rFonts w:hint="eastAsia" w:ascii="Times New Roman" w:hAnsi="Times New Roman" w:cs="Times New Roman"/>
          <w:color w:val="000000" w:themeColor="text1"/>
          <w:sz w:val="24"/>
          <w:szCs w:val="24"/>
        </w:rPr>
        <w:t>置于</w:t>
      </w:r>
      <w:r>
        <w:rPr>
          <w:rFonts w:ascii="Times New Roman" w:hAnsi="Times New Roman" w:cs="Times New Roman"/>
          <w:color w:val="000000" w:themeColor="text1"/>
          <w:sz w:val="24"/>
          <w:szCs w:val="24"/>
        </w:rPr>
        <w:t>地下，</w:t>
      </w:r>
      <w:r>
        <w:rPr>
          <w:rFonts w:ascii="Times New Roman" w:hAnsi="Times New Roman" w:cs="Times New Roman"/>
          <w:bCs/>
          <w:color w:val="000000" w:themeColor="text1"/>
          <w:sz w:val="24"/>
          <w:szCs w:val="24"/>
        </w:rPr>
        <w:t>选用消声性能好的建筑材料，</w:t>
      </w:r>
      <w:r>
        <w:rPr>
          <w:rFonts w:ascii="Times New Roman" w:hAnsi="Times New Roman" w:cs="Times New Roman"/>
          <w:color w:val="000000" w:themeColor="text1"/>
          <w:sz w:val="24"/>
          <w:szCs w:val="24"/>
        </w:rPr>
        <w:t>并采取基础减振等隔声、降噪措施</w:t>
      </w:r>
      <w:r>
        <w:rPr>
          <w:rFonts w:ascii="Times New Roman" w:hAnsi="Times New Roman" w:cs="Times New Roman"/>
          <w:bCs/>
          <w:color w:val="000000" w:themeColor="text1"/>
          <w:sz w:val="24"/>
          <w:szCs w:val="24"/>
        </w:rPr>
        <w:t>；冷却风机采取</w:t>
      </w:r>
      <w:r>
        <w:rPr>
          <w:rFonts w:ascii="Times New Roman" w:hAnsi="Times New Roman" w:cs="Times New Roman"/>
          <w:color w:val="000000" w:themeColor="text1"/>
          <w:sz w:val="24"/>
          <w:szCs w:val="24"/>
        </w:rPr>
        <w:t>设置基础减振</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进出口加消音器</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用软管连接</w:t>
      </w:r>
      <w:r>
        <w:rPr>
          <w:rFonts w:ascii="Times New Roman" w:hAnsi="Times New Roman" w:cs="Times New Roman"/>
          <w:bCs/>
          <w:color w:val="000000" w:themeColor="text1"/>
          <w:sz w:val="24"/>
          <w:szCs w:val="24"/>
        </w:rPr>
        <w:t>等隔声降噪措施</w:t>
      </w:r>
      <w:r>
        <w:rPr>
          <w:rFonts w:hint="eastAsia"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选用低噪声冷却塔，在冷却塔进风百叶口和排风口加装消声器，对冷却塔进行基础减</w:t>
      </w:r>
      <w:r>
        <w:rPr>
          <w:rFonts w:hint="eastAsia" w:ascii="Times New Roman" w:hAnsi="Times New Roman" w:cs="Times New Roman"/>
          <w:bCs/>
          <w:color w:val="000000" w:themeColor="text1"/>
          <w:sz w:val="24"/>
          <w:szCs w:val="24"/>
        </w:rPr>
        <w:t>振</w:t>
      </w:r>
      <w:r>
        <w:rPr>
          <w:rFonts w:ascii="Times New Roman" w:hAnsi="Times New Roman" w:cs="Times New Roman"/>
          <w:bCs/>
          <w:color w:val="000000" w:themeColor="text1"/>
          <w:sz w:val="24"/>
          <w:szCs w:val="24"/>
        </w:rPr>
        <w:t>，受水盘水面铺设聚胺脂多孔泡沫塑料垫</w:t>
      </w:r>
      <w:r>
        <w:rPr>
          <w:rFonts w:hint="eastAsia" w:ascii="Times New Roman" w:hAnsi="Times New Roman" w:cs="Times New Roman"/>
          <w:bCs/>
          <w:color w:val="000000" w:themeColor="text1"/>
          <w:sz w:val="24"/>
          <w:szCs w:val="24"/>
        </w:rPr>
        <w:t>。</w:t>
      </w:r>
      <w:r>
        <w:rPr>
          <w:rFonts w:ascii="Times New Roman" w:hAnsi="Times New Roman" w:cs="Times New Roman"/>
          <w:color w:val="000000" w:themeColor="text1"/>
          <w:sz w:val="24"/>
          <w:szCs w:val="24"/>
        </w:rPr>
        <w:t>采取上述措施后，噪声源声级可下降20~30dB（A），</w:t>
      </w:r>
      <w:r>
        <w:rPr>
          <w:rFonts w:hint="eastAsia" w:ascii="Times New Roman" w:hAnsi="Times New Roman" w:cs="Times New Roman"/>
          <w:color w:val="000000" w:themeColor="text1"/>
          <w:sz w:val="24"/>
          <w:szCs w:val="24"/>
        </w:rPr>
        <w:t>北</w:t>
      </w:r>
      <w:r>
        <w:rPr>
          <w:rFonts w:ascii="Times New Roman" w:hAnsi="Times New Roman" w:cs="Times New Roman"/>
          <w:color w:val="000000" w:themeColor="text1"/>
          <w:sz w:val="24"/>
          <w:szCs w:val="24"/>
        </w:rPr>
        <w:t>边界噪声可达到《工业企业厂界环境噪声排放标准》</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GB12348-2008）</w:t>
      </w:r>
      <w:r>
        <w:rPr>
          <w:rFonts w:hint="eastAsia" w:ascii="Times New Roman" w:hAnsi="Times New Roman" w:cs="Times New Roman"/>
          <w:color w:val="000000" w:themeColor="text1"/>
          <w:sz w:val="24"/>
          <w:szCs w:val="24"/>
        </w:rPr>
        <w:t>4类标准，其它边界可达</w:t>
      </w:r>
      <w:r>
        <w:rPr>
          <w:rFonts w:ascii="Times New Roman" w:hAnsi="Times New Roman" w:cs="Times New Roman"/>
          <w:color w:val="000000" w:themeColor="text1"/>
          <w:sz w:val="24"/>
          <w:szCs w:val="24"/>
        </w:rPr>
        <w:t>《工业企业厂界环境噪声排放标准》</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GB12348-2008）</w:t>
      </w:r>
      <w:r>
        <w:rPr>
          <w:rFonts w:hint="eastAsia" w:ascii="Times New Roman" w:hAnsi="Times New Roman" w:cs="Times New Roman"/>
          <w:color w:val="000000" w:themeColor="text1"/>
          <w:sz w:val="24"/>
          <w:szCs w:val="24"/>
        </w:rPr>
        <w:t>1类标准</w:t>
      </w:r>
      <w:r>
        <w:rPr>
          <w:rFonts w:ascii="Times New Roman" w:hAnsi="Times New Roman" w:cs="Times New Roman"/>
          <w:color w:val="000000" w:themeColor="text1"/>
          <w:sz w:val="24"/>
          <w:szCs w:val="24"/>
        </w:rPr>
        <w:t>。</w:t>
      </w:r>
    </w:p>
    <w:p>
      <w:pPr>
        <w:spacing w:line="360" w:lineRule="auto"/>
        <w:ind w:firstLine="480"/>
        <w:rPr>
          <w:rFonts w:ascii="Times New Roman" w:hAnsi="Times New Roman" w:cs="Times New Roman"/>
          <w:color w:val="000000" w:themeColor="text1"/>
          <w:sz w:val="24"/>
          <w:szCs w:val="24"/>
        </w:rPr>
      </w:pPr>
      <w:r>
        <w:rPr>
          <w:rFonts w:hint="eastAsia" w:ascii="宋体" w:eastAsia="宋体" w:cs="宋体"/>
          <w:color w:val="000000" w:themeColor="text1"/>
          <w:kern w:val="0"/>
          <w:sz w:val="24"/>
          <w:szCs w:val="24"/>
        </w:rPr>
        <w:t>本项目产生的固体废物全部合理处置，不外排。</w:t>
      </w:r>
    </w:p>
    <w:p>
      <w:pPr>
        <w:pStyle w:val="3"/>
        <w:spacing w:before="0" w:after="0" w:line="360" w:lineRule="auto"/>
        <w:rPr>
          <w:rFonts w:ascii="Times New Roman" w:hAnsi="Times New Roman" w:cs="Times New Roman"/>
          <w:sz w:val="28"/>
          <w:szCs w:val="28"/>
        </w:rPr>
      </w:pPr>
      <w:bookmarkStart w:id="60" w:name="_Toc13725382"/>
      <w:r>
        <w:rPr>
          <w:rFonts w:ascii="Times New Roman" w:hAnsi="Times New Roman" w:cs="Times New Roman"/>
          <w:sz w:val="28"/>
          <w:szCs w:val="28"/>
        </w:rPr>
        <w:t>9.</w:t>
      </w:r>
      <w:r>
        <w:rPr>
          <w:rFonts w:hint="eastAsia" w:ascii="Times New Roman" w:hAnsi="Times New Roman" w:cs="Times New Roman"/>
          <w:sz w:val="28"/>
          <w:szCs w:val="28"/>
        </w:rPr>
        <w:t>6</w:t>
      </w:r>
      <w:r>
        <w:rPr>
          <w:rFonts w:ascii="Times New Roman" w:hAnsi="Times New Roman" w:cs="Times New Roman"/>
          <w:sz w:val="28"/>
          <w:szCs w:val="28"/>
        </w:rPr>
        <w:t>环境影响经济损益分析</w:t>
      </w:r>
      <w:bookmarkEnd w:id="60"/>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工程具有较好的经济效益和社会效益，在采取完善的环保治理措施后，不会对当地环境产生明显影响，基本做到环境效益、经济效益和社会效益的协调发展。</w:t>
      </w:r>
    </w:p>
    <w:p>
      <w:pPr>
        <w:pStyle w:val="3"/>
        <w:spacing w:before="0" w:after="0" w:line="360" w:lineRule="auto"/>
        <w:rPr>
          <w:rFonts w:ascii="Times New Roman" w:hAnsi="Times New Roman" w:cs="Times New Roman"/>
          <w:sz w:val="28"/>
          <w:szCs w:val="28"/>
        </w:rPr>
      </w:pPr>
      <w:bookmarkStart w:id="61" w:name="_Toc13725383"/>
      <w:r>
        <w:rPr>
          <w:rFonts w:ascii="Times New Roman" w:hAnsi="Times New Roman" w:cs="Times New Roman"/>
          <w:sz w:val="28"/>
          <w:szCs w:val="28"/>
        </w:rPr>
        <w:t>9.</w:t>
      </w:r>
      <w:r>
        <w:rPr>
          <w:rFonts w:hint="eastAsia" w:ascii="Times New Roman" w:hAnsi="Times New Roman" w:cs="Times New Roman"/>
          <w:sz w:val="28"/>
          <w:szCs w:val="28"/>
        </w:rPr>
        <w:t>7</w:t>
      </w:r>
      <w:r>
        <w:rPr>
          <w:rFonts w:ascii="Times New Roman" w:hAnsi="Times New Roman" w:cs="Times New Roman"/>
          <w:sz w:val="28"/>
          <w:szCs w:val="28"/>
        </w:rPr>
        <w:t>环境管理与监测计划</w:t>
      </w:r>
      <w:bookmarkEnd w:id="61"/>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通过建立环境管理体系，提高员工环保意识、规范企业管理、落实营运期环境管理机构的职责，确保项目各环保设施的正常运转；通过定期对环保设施及废气、废水、噪声等污染源情况进行监测，做到达标排放，同时对废气、废水、噪声防治设施进行监督检查，保证正常运行。</w:t>
      </w:r>
    </w:p>
    <w:p>
      <w:pPr>
        <w:pStyle w:val="3"/>
        <w:spacing w:before="0" w:after="0" w:line="360" w:lineRule="auto"/>
        <w:rPr>
          <w:rFonts w:ascii="Times New Roman" w:hAnsi="Times New Roman" w:cs="Times New Roman"/>
          <w:sz w:val="28"/>
          <w:szCs w:val="28"/>
        </w:rPr>
      </w:pPr>
      <w:bookmarkStart w:id="62" w:name="_Toc13725384"/>
      <w:r>
        <w:rPr>
          <w:rFonts w:hint="eastAsia" w:ascii="Times New Roman" w:hAnsi="Times New Roman" w:cs="Times New Roman"/>
          <w:sz w:val="28"/>
          <w:szCs w:val="28"/>
        </w:rPr>
        <w:t>9.8总量控制指标</w:t>
      </w:r>
      <w:bookmarkEnd w:id="62"/>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国家《国务院关于印发“十三五”节能减排综合工作方案的通知》（国发[2016]74号）、河北省环境保护厅《关于启动并做好“十三五”主要污染物总量控制规划编制工作的通知》（冀节减办[2016]2号）要求，并结合该项目的污染源及污染物排放特征，将SO</w:t>
      </w:r>
      <w:r>
        <w:rPr>
          <w:rFonts w:hint="eastAsia" w:ascii="Times New Roman" w:hAnsi="Times New Roman" w:cs="Times New Roman"/>
          <w:color w:val="000000" w:themeColor="text1"/>
          <w:sz w:val="24"/>
          <w:szCs w:val="24"/>
          <w:vertAlign w:val="subscript"/>
        </w:rPr>
        <w:t>2</w:t>
      </w:r>
      <w:r>
        <w:rPr>
          <w:rFonts w:hint="eastAsia" w:ascii="Times New Roman" w:hAnsi="Times New Roman" w:cs="Times New Roman"/>
          <w:color w:val="000000" w:themeColor="text1"/>
          <w:sz w:val="24"/>
          <w:szCs w:val="24"/>
        </w:rPr>
        <w:t>、NOx、VOCs（以非甲烷总烃计）、COD、NH</w:t>
      </w:r>
      <w:r>
        <w:rPr>
          <w:rFonts w:hint="eastAsia" w:ascii="Times New Roman" w:hAnsi="Times New Roman" w:cs="Times New Roman"/>
          <w:color w:val="000000" w:themeColor="text1"/>
          <w:sz w:val="24"/>
          <w:szCs w:val="24"/>
          <w:vertAlign w:val="subscript"/>
        </w:rPr>
        <w:t>3</w:t>
      </w:r>
      <w:r>
        <w:rPr>
          <w:rFonts w:hint="eastAsia" w:ascii="Times New Roman" w:hAnsi="Times New Roman" w:cs="Times New Roman"/>
          <w:color w:val="000000" w:themeColor="text1"/>
          <w:sz w:val="24"/>
          <w:szCs w:val="24"/>
        </w:rPr>
        <w:t>-N、TN、TP作为污染物总量控制因子。</w:t>
      </w:r>
    </w:p>
    <w:p>
      <w:pPr>
        <w:autoSpaceDE w:val="0"/>
        <w:autoSpaceDN w:val="0"/>
        <w:adjustRightInd w:val="0"/>
        <w:spacing w:line="360" w:lineRule="auto"/>
        <w:ind w:firstLine="480" w:firstLineChars="200"/>
        <w:rPr>
          <w:rFonts w:ascii="Times New Roman" w:hAnsi="Times New Roman" w:cs="Times New Roman"/>
          <w:color w:val="000000" w:themeColor="text1"/>
          <w:kern w:val="0"/>
          <w:sz w:val="24"/>
        </w:rPr>
      </w:pPr>
      <w:r>
        <w:rPr>
          <w:rFonts w:hint="eastAsia"/>
          <w:color w:val="000000" w:themeColor="text1"/>
          <w:sz w:val="24"/>
        </w:rPr>
        <w:t>本项目污染物总量控制指标建议值为：</w:t>
      </w:r>
      <w:r>
        <w:rPr>
          <w:rFonts w:ascii="Times New Roman" w:hAnsi="Times New Roman" w:cs="Times New Roman"/>
          <w:color w:val="000000" w:themeColor="text1"/>
          <w:kern w:val="0"/>
          <w:sz w:val="24"/>
        </w:rPr>
        <w:t>COD</w:t>
      </w:r>
      <w:r>
        <w:rPr>
          <w:rFonts w:hint="eastAsia" w:ascii="Times New Roman" w:hAnsi="Times New Roman" w:cs="Times New Roman"/>
          <w:color w:val="000000" w:themeColor="text1"/>
          <w:kern w:val="0"/>
          <w:sz w:val="24"/>
        </w:rPr>
        <w:t>28.885</w:t>
      </w:r>
      <w:r>
        <w:rPr>
          <w:rFonts w:ascii="Times New Roman" w:hAnsi="Times New Roman" w:cs="Times New Roman"/>
          <w:color w:val="000000" w:themeColor="text1"/>
          <w:kern w:val="0"/>
          <w:sz w:val="24"/>
        </w:rPr>
        <w:t>t/a</w:t>
      </w:r>
      <w:r>
        <w:rPr>
          <w:rFonts w:ascii="Times New Roman" w:cs="Times New Roman" w:hAnsiTheme="minorEastAsia"/>
          <w:color w:val="000000" w:themeColor="text1"/>
          <w:kern w:val="0"/>
          <w:sz w:val="24"/>
        </w:rPr>
        <w:t>、氨氮</w:t>
      </w:r>
      <w:r>
        <w:rPr>
          <w:rFonts w:hint="eastAsia" w:ascii="Times New Roman" w:hAnsi="Times New Roman" w:cs="Times New Roman"/>
          <w:color w:val="000000" w:themeColor="text1"/>
          <w:kern w:val="0"/>
          <w:sz w:val="24"/>
        </w:rPr>
        <w:t>2.889</w:t>
      </w:r>
      <w:r>
        <w:rPr>
          <w:rFonts w:ascii="Times New Roman" w:hAnsi="Times New Roman" w:cs="Times New Roman"/>
          <w:color w:val="000000" w:themeColor="text1"/>
          <w:kern w:val="0"/>
          <w:sz w:val="24"/>
        </w:rPr>
        <w:t xml:space="preserve"> t/a</w:t>
      </w:r>
      <w:r>
        <w:rPr>
          <w:rFonts w:ascii="Times New Roman" w:cs="Times New Roman" w:hAnsiTheme="minorEastAsia"/>
          <w:color w:val="000000" w:themeColor="text1"/>
          <w:kern w:val="0"/>
          <w:sz w:val="24"/>
        </w:rPr>
        <w:t>、总氮</w:t>
      </w:r>
      <w:r>
        <w:rPr>
          <w:rFonts w:hint="eastAsia" w:ascii="Times New Roman" w:hAnsi="Times New Roman" w:cs="Times New Roman"/>
          <w:color w:val="000000" w:themeColor="text1"/>
          <w:kern w:val="0"/>
          <w:sz w:val="24"/>
        </w:rPr>
        <w:t>4.333</w:t>
      </w:r>
      <w:r>
        <w:rPr>
          <w:rFonts w:ascii="Times New Roman" w:hAnsi="Times New Roman" w:cs="Times New Roman"/>
          <w:color w:val="000000" w:themeColor="text1"/>
          <w:kern w:val="0"/>
          <w:sz w:val="24"/>
        </w:rPr>
        <w:t xml:space="preserve"> t/a</w:t>
      </w:r>
      <w:r>
        <w:rPr>
          <w:rFonts w:ascii="Times New Roman" w:cs="Times New Roman" w:hAnsiTheme="minorEastAsia"/>
          <w:color w:val="000000" w:themeColor="text1"/>
          <w:kern w:val="0"/>
          <w:sz w:val="24"/>
        </w:rPr>
        <w:t>、总磷</w:t>
      </w:r>
      <w:r>
        <w:rPr>
          <w:rFonts w:hint="eastAsia" w:ascii="Times New Roman" w:cs="Times New Roman" w:hAnsiTheme="minorEastAsia"/>
          <w:color w:val="000000" w:themeColor="text1"/>
          <w:kern w:val="0"/>
          <w:sz w:val="24"/>
        </w:rPr>
        <w:t>0.</w:t>
      </w:r>
      <w:r>
        <w:rPr>
          <w:rFonts w:hint="eastAsia" w:ascii="Times New Roman" w:hAnsi="Times New Roman" w:cs="Times New Roman"/>
          <w:color w:val="000000" w:themeColor="text1"/>
          <w:kern w:val="0"/>
          <w:sz w:val="24"/>
        </w:rPr>
        <w:t>722</w:t>
      </w:r>
      <w:r>
        <w:rPr>
          <w:rFonts w:ascii="Times New Roman" w:hAnsi="Times New Roman" w:cs="Times New Roman"/>
          <w:color w:val="000000" w:themeColor="text1"/>
          <w:kern w:val="0"/>
          <w:sz w:val="24"/>
        </w:rPr>
        <w:t>t/a</w:t>
      </w:r>
      <w:r>
        <w:rPr>
          <w:rFonts w:ascii="Times New Roman" w:cs="Times New Roman" w:hAnsiTheme="minorEastAsia"/>
          <w:color w:val="000000" w:themeColor="text1"/>
          <w:kern w:val="0"/>
          <w:sz w:val="24"/>
        </w:rPr>
        <w:t>、</w:t>
      </w:r>
      <w:r>
        <w:rPr>
          <w:rFonts w:ascii="Times New Roman" w:hAnsi="Times New Roman" w:cs="Times New Roman"/>
          <w:color w:val="000000" w:themeColor="text1"/>
          <w:kern w:val="0"/>
          <w:sz w:val="24"/>
        </w:rPr>
        <w:t>SO</w:t>
      </w:r>
      <w:r>
        <w:rPr>
          <w:rFonts w:ascii="Times New Roman" w:hAnsi="Times New Roman" w:cs="Times New Roman"/>
          <w:color w:val="000000" w:themeColor="text1"/>
          <w:kern w:val="0"/>
          <w:sz w:val="24"/>
          <w:vertAlign w:val="subscript"/>
        </w:rPr>
        <w:t>2</w:t>
      </w:r>
      <w:r>
        <w:rPr>
          <w:rFonts w:hint="eastAsia" w:ascii="Times New Roman" w:hAnsi="Times New Roman" w:cs="Times New Roman"/>
          <w:color w:val="000000" w:themeColor="text1"/>
          <w:kern w:val="0"/>
          <w:sz w:val="24"/>
        </w:rPr>
        <w:t>0</w:t>
      </w:r>
      <w:r>
        <w:rPr>
          <w:rFonts w:ascii="Times New Roman" w:hAnsi="Times New Roman" w:cs="Times New Roman"/>
          <w:color w:val="000000" w:themeColor="text1"/>
          <w:kern w:val="0"/>
          <w:sz w:val="24"/>
        </w:rPr>
        <w:t>t/a</w:t>
      </w:r>
      <w:r>
        <w:rPr>
          <w:rFonts w:ascii="Times New Roman" w:cs="Times New Roman" w:hAnsiTheme="minorEastAsia"/>
          <w:color w:val="000000" w:themeColor="text1"/>
          <w:kern w:val="0"/>
          <w:sz w:val="24"/>
        </w:rPr>
        <w:t>、</w:t>
      </w:r>
      <w:r>
        <w:rPr>
          <w:rFonts w:ascii="Times New Roman" w:hAnsi="Times New Roman" w:cs="Times New Roman"/>
          <w:color w:val="000000" w:themeColor="text1"/>
          <w:kern w:val="0"/>
          <w:sz w:val="24"/>
        </w:rPr>
        <w:t>NO</w:t>
      </w:r>
      <w:r>
        <w:rPr>
          <w:rFonts w:ascii="Times New Roman" w:hAnsi="Times New Roman" w:cs="Times New Roman"/>
          <w:color w:val="000000" w:themeColor="text1"/>
          <w:kern w:val="0"/>
          <w:sz w:val="24"/>
          <w:vertAlign w:val="subscript"/>
        </w:rPr>
        <w:t>X</w:t>
      </w:r>
      <w:r>
        <w:rPr>
          <w:rFonts w:hint="eastAsia" w:ascii="Times New Roman" w:hAnsi="Times New Roman" w:cs="Times New Roman"/>
          <w:color w:val="000000" w:themeColor="text1"/>
          <w:kern w:val="0"/>
          <w:sz w:val="24"/>
        </w:rPr>
        <w:t>0</w:t>
      </w:r>
      <w:r>
        <w:rPr>
          <w:rFonts w:ascii="Times New Roman" w:hAnsi="Times New Roman" w:cs="Times New Roman"/>
          <w:color w:val="000000" w:themeColor="text1"/>
          <w:kern w:val="0"/>
          <w:sz w:val="24"/>
        </w:rPr>
        <w:t xml:space="preserve"> t/a</w:t>
      </w:r>
      <w:r>
        <w:rPr>
          <w:rFonts w:ascii="Times New Roman" w:cs="Times New Roman" w:hAnsiTheme="minorEastAsia"/>
          <w:color w:val="000000" w:themeColor="text1"/>
          <w:kern w:val="0"/>
          <w:sz w:val="24"/>
        </w:rPr>
        <w:t>、</w:t>
      </w:r>
      <w:r>
        <w:rPr>
          <w:rFonts w:hint="eastAsia" w:ascii="Times New Roman" w:cs="Times New Roman" w:hAnsiTheme="minorEastAsia"/>
          <w:color w:val="000000" w:themeColor="text1"/>
          <w:kern w:val="0"/>
          <w:sz w:val="24"/>
        </w:rPr>
        <w:t>颗粒物</w:t>
      </w:r>
      <w:r>
        <w:rPr>
          <w:rFonts w:hint="eastAsia" w:ascii="Times New Roman" w:hAnsi="Times New Roman" w:cs="Times New Roman"/>
          <w:color w:val="000000" w:themeColor="text1"/>
          <w:kern w:val="0"/>
          <w:sz w:val="24"/>
        </w:rPr>
        <w:t>0</w:t>
      </w:r>
      <w:r>
        <w:rPr>
          <w:rFonts w:ascii="Times New Roman" w:hAnsi="Times New Roman" w:cs="Times New Roman"/>
          <w:color w:val="000000" w:themeColor="text1"/>
          <w:kern w:val="0"/>
          <w:sz w:val="24"/>
        </w:rPr>
        <w:t xml:space="preserve"> t/a</w:t>
      </w:r>
      <w:r>
        <w:rPr>
          <w:rFonts w:ascii="Times New Roman" w:cs="Times New Roman" w:hAnsiTheme="minorEastAsia"/>
          <w:color w:val="000000" w:themeColor="text1"/>
          <w:kern w:val="0"/>
          <w:sz w:val="24"/>
        </w:rPr>
        <w:t>、</w:t>
      </w:r>
      <w:r>
        <w:rPr>
          <w:rFonts w:ascii="Times New Roman" w:hAnsi="Times New Roman" w:cs="Times New Roman"/>
          <w:color w:val="000000" w:themeColor="text1"/>
          <w:kern w:val="0"/>
          <w:sz w:val="24"/>
        </w:rPr>
        <w:t>VOC</w:t>
      </w:r>
      <w:r>
        <w:rPr>
          <w:rFonts w:ascii="Times New Roman" w:hAnsi="Times New Roman" w:cs="Times New Roman"/>
          <w:color w:val="000000" w:themeColor="text1"/>
          <w:kern w:val="0"/>
          <w:sz w:val="24"/>
          <w:vertAlign w:val="subscript"/>
        </w:rPr>
        <w:t>S</w:t>
      </w:r>
      <w:r>
        <w:rPr>
          <w:rFonts w:ascii="Times New Roman" w:cs="Times New Roman" w:hAnsiTheme="minorEastAsia"/>
          <w:color w:val="000000" w:themeColor="text1"/>
          <w:kern w:val="0"/>
          <w:sz w:val="24"/>
        </w:rPr>
        <w:t>（以非甲烷总烃计）</w:t>
      </w:r>
      <w:r>
        <w:rPr>
          <w:rFonts w:hint="eastAsia" w:ascii="Times New Roman" w:hAnsi="Times New Roman" w:cs="Times New Roman"/>
          <w:color w:val="000000" w:themeColor="text1"/>
          <w:kern w:val="0"/>
          <w:sz w:val="24"/>
        </w:rPr>
        <w:t>0</w:t>
      </w:r>
      <w:r>
        <w:rPr>
          <w:rFonts w:ascii="Times New Roman" w:hAnsi="Times New Roman" w:cs="Times New Roman"/>
          <w:color w:val="000000" w:themeColor="text1"/>
          <w:kern w:val="0"/>
          <w:sz w:val="24"/>
        </w:rPr>
        <w:t>t/a</w:t>
      </w:r>
      <w:r>
        <w:rPr>
          <w:rFonts w:ascii="Times New Roman" w:cs="Times New Roman" w:hAnsiTheme="minorEastAsia"/>
          <w:color w:val="000000" w:themeColor="text1"/>
          <w:kern w:val="0"/>
          <w:sz w:val="24"/>
        </w:rPr>
        <w:t>，特征污染物</w:t>
      </w:r>
      <w:r>
        <w:rPr>
          <w:rFonts w:hint="eastAsia" w:ascii="Times New Roman" w:cs="Times New Roman" w:hAnsiTheme="minorEastAsia"/>
          <w:color w:val="000000" w:themeColor="text1"/>
          <w:kern w:val="0"/>
          <w:sz w:val="24"/>
        </w:rPr>
        <w:t>氨</w:t>
      </w:r>
      <w:r>
        <w:rPr>
          <w:rFonts w:hint="eastAsia" w:ascii="Times New Roman" w:hAnsi="Times New Roman" w:cs="Times New Roman"/>
          <w:color w:val="000000" w:themeColor="text1"/>
          <w:kern w:val="0"/>
          <w:sz w:val="24"/>
        </w:rPr>
        <w:t>0.579</w:t>
      </w:r>
      <w:r>
        <w:rPr>
          <w:rFonts w:ascii="Times New Roman" w:hAnsi="Times New Roman" w:cs="Times New Roman"/>
          <w:color w:val="000000" w:themeColor="text1"/>
          <w:kern w:val="0"/>
          <w:sz w:val="24"/>
        </w:rPr>
        <w:t>t/a</w:t>
      </w:r>
      <w:r>
        <w:rPr>
          <w:rFonts w:ascii="Times New Roman" w:cs="Times New Roman" w:hAnsiTheme="minorEastAsia"/>
          <w:color w:val="000000" w:themeColor="text1"/>
          <w:kern w:val="0"/>
          <w:sz w:val="24"/>
        </w:rPr>
        <w:t>、</w:t>
      </w:r>
      <w:r>
        <w:rPr>
          <w:rFonts w:hint="eastAsia" w:ascii="Times New Roman" w:cs="Times New Roman" w:hAnsiTheme="minorEastAsia"/>
          <w:color w:val="000000" w:themeColor="text1"/>
          <w:kern w:val="0"/>
          <w:sz w:val="24"/>
        </w:rPr>
        <w:t>硫化氢</w:t>
      </w:r>
      <w:r>
        <w:rPr>
          <w:rFonts w:ascii="Times New Roman" w:hAnsi="Times New Roman" w:cs="Times New Roman"/>
          <w:color w:val="000000" w:themeColor="text1"/>
          <w:kern w:val="0"/>
          <w:sz w:val="24"/>
        </w:rPr>
        <w:t>0.</w:t>
      </w:r>
      <w:r>
        <w:rPr>
          <w:rFonts w:hint="eastAsia" w:ascii="Times New Roman" w:hAnsi="Times New Roman" w:cs="Times New Roman"/>
          <w:color w:val="000000" w:themeColor="text1"/>
          <w:kern w:val="0"/>
          <w:sz w:val="24"/>
        </w:rPr>
        <w:t>028</w:t>
      </w:r>
      <w:r>
        <w:rPr>
          <w:rFonts w:ascii="Times New Roman" w:hAnsi="Times New Roman" w:cs="Times New Roman"/>
          <w:color w:val="000000" w:themeColor="text1"/>
          <w:kern w:val="0"/>
          <w:sz w:val="24"/>
        </w:rPr>
        <w:t>t/a</w:t>
      </w:r>
      <w:r>
        <w:rPr>
          <w:rFonts w:ascii="Times New Roman" w:cs="Times New Roman" w:hAnsiTheme="minorEastAsia"/>
          <w:color w:val="000000" w:themeColor="text1"/>
          <w:kern w:val="0"/>
          <w:sz w:val="24"/>
        </w:rPr>
        <w:t>。</w:t>
      </w:r>
    </w:p>
    <w:p>
      <w:pPr>
        <w:pStyle w:val="3"/>
        <w:spacing w:before="0" w:after="0" w:line="360" w:lineRule="auto"/>
        <w:rPr>
          <w:rFonts w:ascii="Times New Roman" w:hAnsi="Times New Roman" w:cs="Times New Roman"/>
          <w:color w:val="000000" w:themeColor="text1"/>
          <w:sz w:val="28"/>
          <w:szCs w:val="28"/>
        </w:rPr>
      </w:pPr>
      <w:bookmarkStart w:id="63" w:name="_Toc13725385"/>
      <w:r>
        <w:rPr>
          <w:rFonts w:ascii="Times New Roman" w:hAnsi="Times New Roman" w:cs="Times New Roman"/>
          <w:color w:val="000000" w:themeColor="text1"/>
          <w:sz w:val="28"/>
          <w:szCs w:val="28"/>
        </w:rPr>
        <w:t>9.</w:t>
      </w:r>
      <w:r>
        <w:rPr>
          <w:rFonts w:hint="eastAsia" w:ascii="Times New Roman" w:hAnsi="Times New Roman" w:cs="Times New Roman"/>
          <w:color w:val="000000" w:themeColor="text1"/>
          <w:sz w:val="28"/>
          <w:szCs w:val="28"/>
        </w:rPr>
        <w:t>9</w:t>
      </w:r>
      <w:r>
        <w:rPr>
          <w:rFonts w:ascii="Times New Roman" w:hAnsi="Times New Roman" w:cs="Times New Roman"/>
          <w:color w:val="000000" w:themeColor="text1"/>
          <w:sz w:val="28"/>
          <w:szCs w:val="28"/>
        </w:rPr>
        <w:t>项目可行性结论</w:t>
      </w:r>
      <w:bookmarkEnd w:id="63"/>
    </w:p>
    <w:p>
      <w:pPr>
        <w:spacing w:line="360" w:lineRule="auto"/>
        <w:ind w:firstLine="482" w:firstLineChars="200"/>
        <w:rPr>
          <w:rFonts w:ascii="Times New Roman" w:hAnsi="Times New Roman" w:cs="Times New Roman"/>
          <w:b/>
          <w:sz w:val="24"/>
          <w:szCs w:val="24"/>
        </w:rPr>
      </w:pPr>
      <w:r>
        <w:rPr>
          <w:rFonts w:hint="eastAsia" w:ascii="Times New Roman" w:hAnsi="Times New Roman" w:cs="Times New Roman"/>
          <w:b/>
          <w:sz w:val="24"/>
          <w:szCs w:val="24"/>
        </w:rPr>
        <w:t>1、结论</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根据区域环境质量现状，预测分析本项目对评价区域的环境影响的结果表明，在确保污染物治理措施正常运行的前提下，污染物可实现达标排放，不会对周围环境产生明显影响。项目对环境造成的不利影响可以通过相应的环境保护措施得以减缓，不存在重大环境制约因素，从环境保护角度分析，该项目建设可行。</w:t>
      </w:r>
    </w:p>
    <w:p>
      <w:pPr>
        <w:spacing w:line="360" w:lineRule="auto"/>
        <w:ind w:firstLine="482" w:firstLineChars="200"/>
        <w:rPr>
          <w:rFonts w:ascii="Times New Roman" w:hAnsi="Times New Roman" w:cs="Times New Roman"/>
          <w:b/>
          <w:sz w:val="24"/>
          <w:szCs w:val="24"/>
        </w:rPr>
      </w:pPr>
      <w:r>
        <w:rPr>
          <w:rFonts w:hint="eastAsia" w:ascii="Times New Roman" w:hAnsi="Times New Roman" w:cs="Times New Roman"/>
          <w:b/>
          <w:sz w:val="24"/>
          <w:szCs w:val="24"/>
        </w:rPr>
        <w:t>2、建议和要求</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（1）严格落实</w:t>
      </w:r>
      <w:r>
        <w:rPr>
          <w:rFonts w:hint="eastAsia" w:ascii="Times New Roman" w:hAnsi="Times New Roman" w:cs="Times New Roman"/>
          <w:sz w:val="24"/>
          <w:szCs w:val="24"/>
        </w:rPr>
        <w:t>“</w:t>
      </w:r>
      <w:r>
        <w:rPr>
          <w:rFonts w:ascii="Times New Roman" w:hAnsi="Times New Roman" w:cs="Times New Roman"/>
          <w:sz w:val="24"/>
          <w:szCs w:val="24"/>
        </w:rPr>
        <w:t>三同时</w:t>
      </w:r>
      <w:r>
        <w:rPr>
          <w:rFonts w:hint="eastAsia" w:ascii="Times New Roman" w:hAnsi="Times New Roman" w:cs="Times New Roman"/>
          <w:sz w:val="24"/>
          <w:szCs w:val="24"/>
        </w:rPr>
        <w:t>”制度</w:t>
      </w:r>
      <w:r>
        <w:rPr>
          <w:rFonts w:ascii="Times New Roman" w:hAnsi="Times New Roman" w:cs="Times New Roman"/>
          <w:sz w:val="24"/>
          <w:szCs w:val="24"/>
        </w:rPr>
        <w:t>，确保落实各项污染防治措施。</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（2）加强日常环境管理，保证污染治理设施的正常运行，确保各项污染物稳定达标排放。</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PMingLiU-ExtB">
    <w:panose1 w:val="02020500000000000000"/>
    <w:charset w:val="88"/>
    <w:family w:val="roman"/>
    <w:pitch w:val="default"/>
    <w:sig w:usb0="8000002F" w:usb1="02000008" w:usb2="00000000" w:usb3="00000000" w:csb0="00100001" w:csb1="00000000"/>
  </w:font>
  <w:font w:name="CommercialPi BT">
    <w:panose1 w:val="05020102010206080802"/>
    <w:charset w:val="02"/>
    <w:family w:val="roman"/>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MS Mincho">
    <w:panose1 w:val="02020609040205080304"/>
    <w:charset w:val="80"/>
    <w:family w:val="modern"/>
    <w:pitch w:val="default"/>
    <w:sig w:usb0="E00002FF" w:usb1="6AC7FDFB" w:usb2="00000012" w:usb3="00000000" w:csb0="4002009F" w:csb1="DFD70000"/>
  </w:font>
  <w:font w:name="Wingdings 2">
    <w:altName w:val="Wingdings"/>
    <w:panose1 w:val="00000000000000000000"/>
    <w:charset w:val="02"/>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1979387"/>
      <w:docPartObj>
        <w:docPartGallery w:val="AutoText"/>
      </w:docPartObj>
    </w:sdtPr>
    <w:sdtEndPr>
      <w:rPr>
        <w:rFonts w:ascii="Times New Roman" w:hAnsi="Times New Roman" w:cs="Times New Roman"/>
        <w:lang w:val="zh-CN"/>
      </w:rPr>
    </w:sdtEndPr>
    <w:sdtContent>
      <w:p>
        <w:pPr>
          <w:pStyle w:val="17"/>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III</w:t>
        </w:r>
        <w:r>
          <w:rPr>
            <w:rFonts w:ascii="Times New Roman" w:hAnsi="Times New Roman" w:cs="Times New Roman"/>
            <w:lang w:val="zh-C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119</w:t>
    </w:r>
    <w:r>
      <w:rPr>
        <w:rFonts w:ascii="Times New Roman" w:hAnsi="Times New Roman" w:cs="Times New Roman"/>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between w:val="single" w:color="auto" w:sz="4" w:space="1"/>
      </w:pBdr>
      <w:rPr>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12" w:space="1"/>
        <w:between w:val="single" w:color="auto" w:sz="4" w:space="1"/>
      </w:pBdr>
      <w:rPr>
        <w:rFonts w:ascii="楷体" w:hAnsi="楷体" w:eastAsia="楷体"/>
        <w:sz w:val="21"/>
        <w:szCs w:val="21"/>
      </w:rPr>
    </w:pPr>
    <w:r>
      <w:rPr>
        <w:rFonts w:hint="eastAsia" w:ascii="楷体" w:hAnsi="楷体" w:eastAsia="楷体"/>
        <w:sz w:val="21"/>
        <w:szCs w:val="21"/>
      </w:rPr>
      <w:t>保定市第一中医院门诊、病房综合培训楼新建项目环境影响报告书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8"/>
      <w:lvlText w:val=""/>
      <w:lvlJc w:val="left"/>
      <w:pPr>
        <w:tabs>
          <w:tab w:val="left" w:pos="360"/>
        </w:tabs>
        <w:ind w:left="360" w:hanging="360" w:hangingChars="200"/>
      </w:pPr>
      <w:rPr>
        <w:rFonts w:hint="default" w:ascii="Wingdings" w:hAnsi="Wingdings"/>
      </w:rPr>
    </w:lvl>
  </w:abstractNum>
  <w:abstractNum w:abstractNumId="1">
    <w:nsid w:val="134C7898"/>
    <w:multiLevelType w:val="multilevel"/>
    <w:tmpl w:val="134C7898"/>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139270F3"/>
    <w:multiLevelType w:val="multilevel"/>
    <w:tmpl w:val="139270F3"/>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195348B1"/>
    <w:multiLevelType w:val="multilevel"/>
    <w:tmpl w:val="195348B1"/>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D160D32"/>
    <w:multiLevelType w:val="multilevel"/>
    <w:tmpl w:val="1D160D32"/>
    <w:lvl w:ilvl="0" w:tentative="0">
      <w:start w:val="1"/>
      <w:numFmt w:val="decimal"/>
      <w:suff w:val="nothing"/>
      <w:lvlText w:val="（%1）"/>
      <w:lvlJc w:val="left"/>
      <w:pPr>
        <w:ind w:left="0" w:firstLine="48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5">
    <w:nsid w:val="2438354B"/>
    <w:multiLevelType w:val="multilevel"/>
    <w:tmpl w:val="2438354B"/>
    <w:lvl w:ilvl="0" w:tentative="0">
      <w:start w:val="1"/>
      <w:numFmt w:val="decimalEnclosedCircle"/>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6">
    <w:nsid w:val="308F2626"/>
    <w:multiLevelType w:val="multilevel"/>
    <w:tmpl w:val="308F2626"/>
    <w:lvl w:ilvl="0" w:tentative="0">
      <w:start w:val="1"/>
      <w:numFmt w:val="decimal"/>
      <w:suff w:val="nothing"/>
      <w:lvlText w:val="（%1）"/>
      <w:lvlJc w:val="left"/>
      <w:pPr>
        <w:ind w:left="229"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432769D4"/>
    <w:multiLevelType w:val="multilevel"/>
    <w:tmpl w:val="432769D4"/>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50192100"/>
    <w:multiLevelType w:val="multilevel"/>
    <w:tmpl w:val="50192100"/>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58E217DA"/>
    <w:multiLevelType w:val="multilevel"/>
    <w:tmpl w:val="58E217DA"/>
    <w:lvl w:ilvl="0" w:tentative="0">
      <w:start w:val="1"/>
      <w:numFmt w:val="decimal"/>
      <w:suff w:val="nothing"/>
      <w:lvlText w:val="（%1）"/>
      <w:lvlJc w:val="left"/>
      <w:pPr>
        <w:ind w:left="0" w:firstLine="48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68430D9B"/>
    <w:multiLevelType w:val="multilevel"/>
    <w:tmpl w:val="68430D9B"/>
    <w:lvl w:ilvl="0" w:tentative="0">
      <w:start w:val="1"/>
      <w:numFmt w:val="decimal"/>
      <w:suff w:val="nothing"/>
      <w:lvlText w:val="（%1）"/>
      <w:lvlJc w:val="left"/>
      <w:pPr>
        <w:ind w:left="0" w:firstLine="48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07932EB"/>
    <w:multiLevelType w:val="multilevel"/>
    <w:tmpl w:val="707932EB"/>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74453C9C"/>
    <w:multiLevelType w:val="multilevel"/>
    <w:tmpl w:val="74453C9C"/>
    <w:lvl w:ilvl="0" w:tentative="0">
      <w:start w:val="1"/>
      <w:numFmt w:val="decimal"/>
      <w:suff w:val="nothing"/>
      <w:lvlText w:val="（%1）"/>
      <w:lvlJc w:val="left"/>
      <w:pPr>
        <w:ind w:left="1200" w:hanging="720"/>
      </w:pPr>
      <w:rPr>
        <w:rFonts w:hint="default"/>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746650E0"/>
    <w:multiLevelType w:val="multilevel"/>
    <w:tmpl w:val="746650E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7F052B62"/>
    <w:multiLevelType w:val="multilevel"/>
    <w:tmpl w:val="7F052B6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6"/>
  </w:num>
  <w:num w:numId="3">
    <w:abstractNumId w:val="10"/>
  </w:num>
  <w:num w:numId="4">
    <w:abstractNumId w:val="11"/>
  </w:num>
  <w:num w:numId="5">
    <w:abstractNumId w:val="8"/>
  </w:num>
  <w:num w:numId="6">
    <w:abstractNumId w:val="1"/>
  </w:num>
  <w:num w:numId="7">
    <w:abstractNumId w:val="3"/>
  </w:num>
  <w:num w:numId="8">
    <w:abstractNumId w:val="12"/>
  </w:num>
  <w:num w:numId="9">
    <w:abstractNumId w:val="4"/>
  </w:num>
  <w:num w:numId="10">
    <w:abstractNumId w:val="9"/>
  </w:num>
  <w:num w:numId="11">
    <w:abstractNumId w:val="5"/>
  </w:num>
  <w:num w:numId="12">
    <w:abstractNumId w:val="7"/>
  </w:num>
  <w:num w:numId="13">
    <w:abstractNumId w:val="2"/>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01137E"/>
    <w:rsid w:val="00000EAD"/>
    <w:rsid w:val="00002241"/>
    <w:rsid w:val="00002FB3"/>
    <w:rsid w:val="00004C06"/>
    <w:rsid w:val="00005736"/>
    <w:rsid w:val="00005FEF"/>
    <w:rsid w:val="0000622D"/>
    <w:rsid w:val="00006278"/>
    <w:rsid w:val="00006BC5"/>
    <w:rsid w:val="000102BD"/>
    <w:rsid w:val="00010E1C"/>
    <w:rsid w:val="0001137E"/>
    <w:rsid w:val="0001172D"/>
    <w:rsid w:val="00012A02"/>
    <w:rsid w:val="00012D34"/>
    <w:rsid w:val="0001410C"/>
    <w:rsid w:val="000148F5"/>
    <w:rsid w:val="00014C2C"/>
    <w:rsid w:val="000152E7"/>
    <w:rsid w:val="00016709"/>
    <w:rsid w:val="00016FC9"/>
    <w:rsid w:val="000171A4"/>
    <w:rsid w:val="0001782A"/>
    <w:rsid w:val="00020A93"/>
    <w:rsid w:val="0002167A"/>
    <w:rsid w:val="00021CE6"/>
    <w:rsid w:val="0002215D"/>
    <w:rsid w:val="00022385"/>
    <w:rsid w:val="0002247B"/>
    <w:rsid w:val="000228BA"/>
    <w:rsid w:val="0002470D"/>
    <w:rsid w:val="000247C4"/>
    <w:rsid w:val="00024B5B"/>
    <w:rsid w:val="00024D20"/>
    <w:rsid w:val="00025331"/>
    <w:rsid w:val="00025826"/>
    <w:rsid w:val="000267EE"/>
    <w:rsid w:val="0002685D"/>
    <w:rsid w:val="00026B17"/>
    <w:rsid w:val="000272F5"/>
    <w:rsid w:val="00027469"/>
    <w:rsid w:val="00030C38"/>
    <w:rsid w:val="00031AA3"/>
    <w:rsid w:val="00031F3E"/>
    <w:rsid w:val="000320C2"/>
    <w:rsid w:val="00032397"/>
    <w:rsid w:val="0003293B"/>
    <w:rsid w:val="00033354"/>
    <w:rsid w:val="00034ED7"/>
    <w:rsid w:val="0003716C"/>
    <w:rsid w:val="00037773"/>
    <w:rsid w:val="00040295"/>
    <w:rsid w:val="00041B5F"/>
    <w:rsid w:val="0004221E"/>
    <w:rsid w:val="000428A3"/>
    <w:rsid w:val="00043285"/>
    <w:rsid w:val="00043A09"/>
    <w:rsid w:val="0004513A"/>
    <w:rsid w:val="000451B6"/>
    <w:rsid w:val="00050521"/>
    <w:rsid w:val="00051010"/>
    <w:rsid w:val="00051A99"/>
    <w:rsid w:val="00052AEB"/>
    <w:rsid w:val="00052E8F"/>
    <w:rsid w:val="00053513"/>
    <w:rsid w:val="00053DF0"/>
    <w:rsid w:val="00054030"/>
    <w:rsid w:val="000548DF"/>
    <w:rsid w:val="000559C8"/>
    <w:rsid w:val="00056DF3"/>
    <w:rsid w:val="00060781"/>
    <w:rsid w:val="000609FF"/>
    <w:rsid w:val="00061543"/>
    <w:rsid w:val="00061BCF"/>
    <w:rsid w:val="00061EA8"/>
    <w:rsid w:val="00062B0E"/>
    <w:rsid w:val="00064A04"/>
    <w:rsid w:val="0006526A"/>
    <w:rsid w:val="00065DF2"/>
    <w:rsid w:val="00066EA1"/>
    <w:rsid w:val="0006766A"/>
    <w:rsid w:val="00070870"/>
    <w:rsid w:val="00070CC9"/>
    <w:rsid w:val="000712D3"/>
    <w:rsid w:val="000727E1"/>
    <w:rsid w:val="0007358A"/>
    <w:rsid w:val="00073AF0"/>
    <w:rsid w:val="00075ACD"/>
    <w:rsid w:val="000771ED"/>
    <w:rsid w:val="00080026"/>
    <w:rsid w:val="0008056E"/>
    <w:rsid w:val="00080E7A"/>
    <w:rsid w:val="0008103E"/>
    <w:rsid w:val="00083895"/>
    <w:rsid w:val="00083AF3"/>
    <w:rsid w:val="000844BF"/>
    <w:rsid w:val="00084AF3"/>
    <w:rsid w:val="0008780E"/>
    <w:rsid w:val="00087BB1"/>
    <w:rsid w:val="0009263F"/>
    <w:rsid w:val="00093BEE"/>
    <w:rsid w:val="00093D8A"/>
    <w:rsid w:val="00094174"/>
    <w:rsid w:val="000944AB"/>
    <w:rsid w:val="00095D44"/>
    <w:rsid w:val="000A0E98"/>
    <w:rsid w:val="000A301D"/>
    <w:rsid w:val="000A5231"/>
    <w:rsid w:val="000A6CA3"/>
    <w:rsid w:val="000B17D9"/>
    <w:rsid w:val="000B1FF3"/>
    <w:rsid w:val="000B2244"/>
    <w:rsid w:val="000B34EA"/>
    <w:rsid w:val="000B3576"/>
    <w:rsid w:val="000B5E17"/>
    <w:rsid w:val="000B6567"/>
    <w:rsid w:val="000B6898"/>
    <w:rsid w:val="000B690E"/>
    <w:rsid w:val="000B757B"/>
    <w:rsid w:val="000B7DB6"/>
    <w:rsid w:val="000C1230"/>
    <w:rsid w:val="000C1D39"/>
    <w:rsid w:val="000C20BB"/>
    <w:rsid w:val="000C392C"/>
    <w:rsid w:val="000C43BF"/>
    <w:rsid w:val="000C4DBE"/>
    <w:rsid w:val="000C7253"/>
    <w:rsid w:val="000C78F4"/>
    <w:rsid w:val="000D0F85"/>
    <w:rsid w:val="000D3474"/>
    <w:rsid w:val="000D4B4D"/>
    <w:rsid w:val="000D5685"/>
    <w:rsid w:val="000D59C3"/>
    <w:rsid w:val="000E0745"/>
    <w:rsid w:val="000E1318"/>
    <w:rsid w:val="000E1679"/>
    <w:rsid w:val="000E35FB"/>
    <w:rsid w:val="000E3644"/>
    <w:rsid w:val="000E4B4D"/>
    <w:rsid w:val="000E593D"/>
    <w:rsid w:val="000E6A05"/>
    <w:rsid w:val="000E6BB6"/>
    <w:rsid w:val="000F3255"/>
    <w:rsid w:val="000F434D"/>
    <w:rsid w:val="000F5B72"/>
    <w:rsid w:val="000F5C8C"/>
    <w:rsid w:val="000F69C2"/>
    <w:rsid w:val="000F69E1"/>
    <w:rsid w:val="000F6B61"/>
    <w:rsid w:val="000F6D76"/>
    <w:rsid w:val="001007AA"/>
    <w:rsid w:val="00100CE8"/>
    <w:rsid w:val="00101854"/>
    <w:rsid w:val="00101AE0"/>
    <w:rsid w:val="001037E3"/>
    <w:rsid w:val="00104071"/>
    <w:rsid w:val="001047AA"/>
    <w:rsid w:val="0010539B"/>
    <w:rsid w:val="001072FB"/>
    <w:rsid w:val="00110DCB"/>
    <w:rsid w:val="0011100F"/>
    <w:rsid w:val="001113E5"/>
    <w:rsid w:val="001121CA"/>
    <w:rsid w:val="001129C8"/>
    <w:rsid w:val="001139E2"/>
    <w:rsid w:val="00114756"/>
    <w:rsid w:val="00114E66"/>
    <w:rsid w:val="00115FB5"/>
    <w:rsid w:val="00116604"/>
    <w:rsid w:val="001206A5"/>
    <w:rsid w:val="001217A8"/>
    <w:rsid w:val="001229F1"/>
    <w:rsid w:val="00122E26"/>
    <w:rsid w:val="001231EB"/>
    <w:rsid w:val="0012348A"/>
    <w:rsid w:val="00123763"/>
    <w:rsid w:val="00123CBE"/>
    <w:rsid w:val="00124749"/>
    <w:rsid w:val="00124A31"/>
    <w:rsid w:val="001257D8"/>
    <w:rsid w:val="00125E72"/>
    <w:rsid w:val="00127057"/>
    <w:rsid w:val="001279C1"/>
    <w:rsid w:val="001326FC"/>
    <w:rsid w:val="00132D17"/>
    <w:rsid w:val="00132E02"/>
    <w:rsid w:val="00133896"/>
    <w:rsid w:val="001349F9"/>
    <w:rsid w:val="001354FE"/>
    <w:rsid w:val="00137391"/>
    <w:rsid w:val="001374E3"/>
    <w:rsid w:val="001407C4"/>
    <w:rsid w:val="0014084E"/>
    <w:rsid w:val="001415F7"/>
    <w:rsid w:val="001417FE"/>
    <w:rsid w:val="00142655"/>
    <w:rsid w:val="00142ADF"/>
    <w:rsid w:val="00145790"/>
    <w:rsid w:val="001506A8"/>
    <w:rsid w:val="001511CF"/>
    <w:rsid w:val="00151653"/>
    <w:rsid w:val="001522DF"/>
    <w:rsid w:val="00154460"/>
    <w:rsid w:val="00154BEF"/>
    <w:rsid w:val="00155202"/>
    <w:rsid w:val="001552BB"/>
    <w:rsid w:val="00156AEF"/>
    <w:rsid w:val="00160459"/>
    <w:rsid w:val="0016203F"/>
    <w:rsid w:val="001638BB"/>
    <w:rsid w:val="00163973"/>
    <w:rsid w:val="001643B5"/>
    <w:rsid w:val="00164692"/>
    <w:rsid w:val="00164B19"/>
    <w:rsid w:val="0016621D"/>
    <w:rsid w:val="00166A31"/>
    <w:rsid w:val="00167C2B"/>
    <w:rsid w:val="001701DE"/>
    <w:rsid w:val="00170D9C"/>
    <w:rsid w:val="001717CE"/>
    <w:rsid w:val="00171C53"/>
    <w:rsid w:val="0017278C"/>
    <w:rsid w:val="00174362"/>
    <w:rsid w:val="00175AE0"/>
    <w:rsid w:val="00176803"/>
    <w:rsid w:val="00176C5F"/>
    <w:rsid w:val="00177971"/>
    <w:rsid w:val="001806C8"/>
    <w:rsid w:val="00180E8A"/>
    <w:rsid w:val="00183526"/>
    <w:rsid w:val="001836B9"/>
    <w:rsid w:val="001840B7"/>
    <w:rsid w:val="001847D6"/>
    <w:rsid w:val="0018565A"/>
    <w:rsid w:val="001868E6"/>
    <w:rsid w:val="00186EB5"/>
    <w:rsid w:val="00191067"/>
    <w:rsid w:val="001941BC"/>
    <w:rsid w:val="00195311"/>
    <w:rsid w:val="00195591"/>
    <w:rsid w:val="00196751"/>
    <w:rsid w:val="001A0E44"/>
    <w:rsid w:val="001A11C9"/>
    <w:rsid w:val="001A2C30"/>
    <w:rsid w:val="001A2FB7"/>
    <w:rsid w:val="001A4578"/>
    <w:rsid w:val="001A487B"/>
    <w:rsid w:val="001A4DDB"/>
    <w:rsid w:val="001A5625"/>
    <w:rsid w:val="001A6809"/>
    <w:rsid w:val="001A708F"/>
    <w:rsid w:val="001A7E66"/>
    <w:rsid w:val="001A7F08"/>
    <w:rsid w:val="001B0719"/>
    <w:rsid w:val="001B172A"/>
    <w:rsid w:val="001B20AF"/>
    <w:rsid w:val="001B216D"/>
    <w:rsid w:val="001B2F6B"/>
    <w:rsid w:val="001B40FA"/>
    <w:rsid w:val="001B500F"/>
    <w:rsid w:val="001B6337"/>
    <w:rsid w:val="001C2957"/>
    <w:rsid w:val="001C2D90"/>
    <w:rsid w:val="001C38A0"/>
    <w:rsid w:val="001C45B2"/>
    <w:rsid w:val="001C6956"/>
    <w:rsid w:val="001C6CF4"/>
    <w:rsid w:val="001C7A7D"/>
    <w:rsid w:val="001D141C"/>
    <w:rsid w:val="001D1F2C"/>
    <w:rsid w:val="001D23BE"/>
    <w:rsid w:val="001D2927"/>
    <w:rsid w:val="001D2947"/>
    <w:rsid w:val="001D50CD"/>
    <w:rsid w:val="001D6182"/>
    <w:rsid w:val="001D7A2D"/>
    <w:rsid w:val="001D7D9B"/>
    <w:rsid w:val="001E1349"/>
    <w:rsid w:val="001E18EA"/>
    <w:rsid w:val="001E19F2"/>
    <w:rsid w:val="001E2204"/>
    <w:rsid w:val="001E25B0"/>
    <w:rsid w:val="001E4A4B"/>
    <w:rsid w:val="001E609D"/>
    <w:rsid w:val="001E67A9"/>
    <w:rsid w:val="001E6D0D"/>
    <w:rsid w:val="001E6E95"/>
    <w:rsid w:val="001E7A9A"/>
    <w:rsid w:val="001F06D3"/>
    <w:rsid w:val="001F4FDE"/>
    <w:rsid w:val="001F4FF0"/>
    <w:rsid w:val="001F53DF"/>
    <w:rsid w:val="0020022D"/>
    <w:rsid w:val="00200CA5"/>
    <w:rsid w:val="0020303D"/>
    <w:rsid w:val="00203382"/>
    <w:rsid w:val="002045A0"/>
    <w:rsid w:val="0020526F"/>
    <w:rsid w:val="0020617F"/>
    <w:rsid w:val="0020674E"/>
    <w:rsid w:val="00206F8C"/>
    <w:rsid w:val="00207D35"/>
    <w:rsid w:val="00210921"/>
    <w:rsid w:val="002143F6"/>
    <w:rsid w:val="00214C84"/>
    <w:rsid w:val="002153D3"/>
    <w:rsid w:val="00216E93"/>
    <w:rsid w:val="0022145F"/>
    <w:rsid w:val="0022304B"/>
    <w:rsid w:val="00224C3A"/>
    <w:rsid w:val="00225E08"/>
    <w:rsid w:val="00225EE5"/>
    <w:rsid w:val="002262BA"/>
    <w:rsid w:val="0022657B"/>
    <w:rsid w:val="002265A4"/>
    <w:rsid w:val="00227EED"/>
    <w:rsid w:val="00230310"/>
    <w:rsid w:val="002316D3"/>
    <w:rsid w:val="00231806"/>
    <w:rsid w:val="002318CF"/>
    <w:rsid w:val="002336EF"/>
    <w:rsid w:val="0023397D"/>
    <w:rsid w:val="00234F03"/>
    <w:rsid w:val="0023512B"/>
    <w:rsid w:val="0023586D"/>
    <w:rsid w:val="00235D64"/>
    <w:rsid w:val="00243E36"/>
    <w:rsid w:val="002452FD"/>
    <w:rsid w:val="00245789"/>
    <w:rsid w:val="00245982"/>
    <w:rsid w:val="0024732B"/>
    <w:rsid w:val="00250A77"/>
    <w:rsid w:val="00251AC6"/>
    <w:rsid w:val="00252A98"/>
    <w:rsid w:val="00253479"/>
    <w:rsid w:val="00253668"/>
    <w:rsid w:val="00253B2F"/>
    <w:rsid w:val="00253D93"/>
    <w:rsid w:val="00262BC0"/>
    <w:rsid w:val="00265F41"/>
    <w:rsid w:val="0026628D"/>
    <w:rsid w:val="00267823"/>
    <w:rsid w:val="00270476"/>
    <w:rsid w:val="002706FD"/>
    <w:rsid w:val="00270C4C"/>
    <w:rsid w:val="002718D1"/>
    <w:rsid w:val="002724EC"/>
    <w:rsid w:val="0027373C"/>
    <w:rsid w:val="00273D36"/>
    <w:rsid w:val="0027497A"/>
    <w:rsid w:val="00274B9F"/>
    <w:rsid w:val="0027551B"/>
    <w:rsid w:val="002756DB"/>
    <w:rsid w:val="00275A7A"/>
    <w:rsid w:val="00275C94"/>
    <w:rsid w:val="00280550"/>
    <w:rsid w:val="00280981"/>
    <w:rsid w:val="00280ED8"/>
    <w:rsid w:val="00280F52"/>
    <w:rsid w:val="00281C82"/>
    <w:rsid w:val="00281EFE"/>
    <w:rsid w:val="00285FAB"/>
    <w:rsid w:val="002955CC"/>
    <w:rsid w:val="00297535"/>
    <w:rsid w:val="002A013D"/>
    <w:rsid w:val="002A033B"/>
    <w:rsid w:val="002A3577"/>
    <w:rsid w:val="002A62ED"/>
    <w:rsid w:val="002A6C4F"/>
    <w:rsid w:val="002A6DE6"/>
    <w:rsid w:val="002A7D55"/>
    <w:rsid w:val="002B05A0"/>
    <w:rsid w:val="002B1320"/>
    <w:rsid w:val="002B45ED"/>
    <w:rsid w:val="002B640C"/>
    <w:rsid w:val="002C018E"/>
    <w:rsid w:val="002C07E8"/>
    <w:rsid w:val="002C0EC8"/>
    <w:rsid w:val="002C3BE3"/>
    <w:rsid w:val="002C419B"/>
    <w:rsid w:val="002C65AC"/>
    <w:rsid w:val="002C71C1"/>
    <w:rsid w:val="002C77CF"/>
    <w:rsid w:val="002D026E"/>
    <w:rsid w:val="002D21FE"/>
    <w:rsid w:val="002D293E"/>
    <w:rsid w:val="002D2D1B"/>
    <w:rsid w:val="002D33D5"/>
    <w:rsid w:val="002D3A51"/>
    <w:rsid w:val="002D5E36"/>
    <w:rsid w:val="002D6426"/>
    <w:rsid w:val="002D6BD8"/>
    <w:rsid w:val="002E097C"/>
    <w:rsid w:val="002E21B6"/>
    <w:rsid w:val="002E4656"/>
    <w:rsid w:val="002E4B39"/>
    <w:rsid w:val="002E5F1D"/>
    <w:rsid w:val="002E6437"/>
    <w:rsid w:val="002F0109"/>
    <w:rsid w:val="002F2D74"/>
    <w:rsid w:val="002F3027"/>
    <w:rsid w:val="002F4061"/>
    <w:rsid w:val="002F4190"/>
    <w:rsid w:val="002F4A08"/>
    <w:rsid w:val="002F6106"/>
    <w:rsid w:val="002F7901"/>
    <w:rsid w:val="00300B89"/>
    <w:rsid w:val="00300D1A"/>
    <w:rsid w:val="003010C8"/>
    <w:rsid w:val="00301A8A"/>
    <w:rsid w:val="003021CB"/>
    <w:rsid w:val="00303401"/>
    <w:rsid w:val="003034D1"/>
    <w:rsid w:val="00304F5A"/>
    <w:rsid w:val="003069D0"/>
    <w:rsid w:val="00312715"/>
    <w:rsid w:val="00313041"/>
    <w:rsid w:val="0032070F"/>
    <w:rsid w:val="0032074D"/>
    <w:rsid w:val="00321378"/>
    <w:rsid w:val="00322920"/>
    <w:rsid w:val="00323AAE"/>
    <w:rsid w:val="0032567F"/>
    <w:rsid w:val="00325B2B"/>
    <w:rsid w:val="00325C8F"/>
    <w:rsid w:val="00330A24"/>
    <w:rsid w:val="003313B2"/>
    <w:rsid w:val="0033248E"/>
    <w:rsid w:val="0033268F"/>
    <w:rsid w:val="0033277E"/>
    <w:rsid w:val="00333E47"/>
    <w:rsid w:val="00336C68"/>
    <w:rsid w:val="0034051A"/>
    <w:rsid w:val="00340898"/>
    <w:rsid w:val="00340E79"/>
    <w:rsid w:val="003416AA"/>
    <w:rsid w:val="00341CE8"/>
    <w:rsid w:val="00343C3F"/>
    <w:rsid w:val="00343F82"/>
    <w:rsid w:val="00345795"/>
    <w:rsid w:val="0034670A"/>
    <w:rsid w:val="00347187"/>
    <w:rsid w:val="00351C5F"/>
    <w:rsid w:val="00352A0E"/>
    <w:rsid w:val="003534EB"/>
    <w:rsid w:val="003537A8"/>
    <w:rsid w:val="00353B6A"/>
    <w:rsid w:val="00354197"/>
    <w:rsid w:val="0035430D"/>
    <w:rsid w:val="00354F7D"/>
    <w:rsid w:val="003559D3"/>
    <w:rsid w:val="00355E2E"/>
    <w:rsid w:val="0035661A"/>
    <w:rsid w:val="00357891"/>
    <w:rsid w:val="003579AC"/>
    <w:rsid w:val="00361879"/>
    <w:rsid w:val="00362B83"/>
    <w:rsid w:val="0036342B"/>
    <w:rsid w:val="00364D98"/>
    <w:rsid w:val="003658D3"/>
    <w:rsid w:val="00365ABC"/>
    <w:rsid w:val="00365DD4"/>
    <w:rsid w:val="00366381"/>
    <w:rsid w:val="003663BF"/>
    <w:rsid w:val="0036789E"/>
    <w:rsid w:val="003709F8"/>
    <w:rsid w:val="00370B9D"/>
    <w:rsid w:val="003717A2"/>
    <w:rsid w:val="003719C0"/>
    <w:rsid w:val="00371AC6"/>
    <w:rsid w:val="00372310"/>
    <w:rsid w:val="00373AB0"/>
    <w:rsid w:val="0037595D"/>
    <w:rsid w:val="003763C1"/>
    <w:rsid w:val="00376DF9"/>
    <w:rsid w:val="0037732C"/>
    <w:rsid w:val="003776C4"/>
    <w:rsid w:val="00380F94"/>
    <w:rsid w:val="00381DCE"/>
    <w:rsid w:val="00382D02"/>
    <w:rsid w:val="00382D17"/>
    <w:rsid w:val="00382F2A"/>
    <w:rsid w:val="003854CC"/>
    <w:rsid w:val="00385DEB"/>
    <w:rsid w:val="00390429"/>
    <w:rsid w:val="0039123F"/>
    <w:rsid w:val="003920CC"/>
    <w:rsid w:val="00393436"/>
    <w:rsid w:val="00393BDB"/>
    <w:rsid w:val="00394415"/>
    <w:rsid w:val="00394E0E"/>
    <w:rsid w:val="00395AFB"/>
    <w:rsid w:val="00396834"/>
    <w:rsid w:val="00396F12"/>
    <w:rsid w:val="003979B3"/>
    <w:rsid w:val="00397ED5"/>
    <w:rsid w:val="003A019C"/>
    <w:rsid w:val="003A0AFF"/>
    <w:rsid w:val="003A12A0"/>
    <w:rsid w:val="003A1FB3"/>
    <w:rsid w:val="003A7929"/>
    <w:rsid w:val="003B0340"/>
    <w:rsid w:val="003B0DF5"/>
    <w:rsid w:val="003B1127"/>
    <w:rsid w:val="003B1204"/>
    <w:rsid w:val="003B1669"/>
    <w:rsid w:val="003B179D"/>
    <w:rsid w:val="003B370D"/>
    <w:rsid w:val="003B4360"/>
    <w:rsid w:val="003B5A13"/>
    <w:rsid w:val="003B63C9"/>
    <w:rsid w:val="003B679A"/>
    <w:rsid w:val="003C0B1C"/>
    <w:rsid w:val="003C0C86"/>
    <w:rsid w:val="003C0ECC"/>
    <w:rsid w:val="003C29A1"/>
    <w:rsid w:val="003C3BF2"/>
    <w:rsid w:val="003C4580"/>
    <w:rsid w:val="003C6353"/>
    <w:rsid w:val="003C6EE6"/>
    <w:rsid w:val="003C7167"/>
    <w:rsid w:val="003C7E40"/>
    <w:rsid w:val="003D0908"/>
    <w:rsid w:val="003D0BE0"/>
    <w:rsid w:val="003D0C63"/>
    <w:rsid w:val="003D1090"/>
    <w:rsid w:val="003D1DAE"/>
    <w:rsid w:val="003D2AB4"/>
    <w:rsid w:val="003D368D"/>
    <w:rsid w:val="003D40F1"/>
    <w:rsid w:val="003D4224"/>
    <w:rsid w:val="003D441D"/>
    <w:rsid w:val="003D5921"/>
    <w:rsid w:val="003D59C6"/>
    <w:rsid w:val="003D72CC"/>
    <w:rsid w:val="003D79A7"/>
    <w:rsid w:val="003E05CA"/>
    <w:rsid w:val="003E2503"/>
    <w:rsid w:val="003E2560"/>
    <w:rsid w:val="003E27DE"/>
    <w:rsid w:val="003E29DB"/>
    <w:rsid w:val="003E2A67"/>
    <w:rsid w:val="003E45C7"/>
    <w:rsid w:val="003E475D"/>
    <w:rsid w:val="003E5783"/>
    <w:rsid w:val="003E591B"/>
    <w:rsid w:val="003F0F73"/>
    <w:rsid w:val="003F1560"/>
    <w:rsid w:val="003F41B9"/>
    <w:rsid w:val="003F4914"/>
    <w:rsid w:val="003F54B0"/>
    <w:rsid w:val="003F5DF8"/>
    <w:rsid w:val="00400183"/>
    <w:rsid w:val="00401FA0"/>
    <w:rsid w:val="00402234"/>
    <w:rsid w:val="004032F0"/>
    <w:rsid w:val="004049E5"/>
    <w:rsid w:val="00404C73"/>
    <w:rsid w:val="004054A0"/>
    <w:rsid w:val="0040701D"/>
    <w:rsid w:val="004079E9"/>
    <w:rsid w:val="00410605"/>
    <w:rsid w:val="00410D1D"/>
    <w:rsid w:val="00411A95"/>
    <w:rsid w:val="0041365A"/>
    <w:rsid w:val="00414FE6"/>
    <w:rsid w:val="00417D61"/>
    <w:rsid w:val="00421776"/>
    <w:rsid w:val="004229D0"/>
    <w:rsid w:val="00422B24"/>
    <w:rsid w:val="00422F73"/>
    <w:rsid w:val="00423AE6"/>
    <w:rsid w:val="00424382"/>
    <w:rsid w:val="004243CE"/>
    <w:rsid w:val="00424B73"/>
    <w:rsid w:val="0042502A"/>
    <w:rsid w:val="0042528F"/>
    <w:rsid w:val="0042560B"/>
    <w:rsid w:val="00425BC3"/>
    <w:rsid w:val="00426D0F"/>
    <w:rsid w:val="0043117B"/>
    <w:rsid w:val="004336D5"/>
    <w:rsid w:val="00433A35"/>
    <w:rsid w:val="00436F54"/>
    <w:rsid w:val="00440EBF"/>
    <w:rsid w:val="00442038"/>
    <w:rsid w:val="004436B8"/>
    <w:rsid w:val="00445741"/>
    <w:rsid w:val="00446732"/>
    <w:rsid w:val="00446E9C"/>
    <w:rsid w:val="004479F5"/>
    <w:rsid w:val="00450D12"/>
    <w:rsid w:val="00451CB3"/>
    <w:rsid w:val="004523FE"/>
    <w:rsid w:val="004536D0"/>
    <w:rsid w:val="00453C89"/>
    <w:rsid w:val="00454F7F"/>
    <w:rsid w:val="00456BFB"/>
    <w:rsid w:val="00460557"/>
    <w:rsid w:val="004609BD"/>
    <w:rsid w:val="00460FEB"/>
    <w:rsid w:val="004628AB"/>
    <w:rsid w:val="00462B3C"/>
    <w:rsid w:val="00463B16"/>
    <w:rsid w:val="00464730"/>
    <w:rsid w:val="004650A8"/>
    <w:rsid w:val="00470A85"/>
    <w:rsid w:val="00471837"/>
    <w:rsid w:val="0047247F"/>
    <w:rsid w:val="00474622"/>
    <w:rsid w:val="004747F7"/>
    <w:rsid w:val="0047490A"/>
    <w:rsid w:val="00474D01"/>
    <w:rsid w:val="00475986"/>
    <w:rsid w:val="00476452"/>
    <w:rsid w:val="00476732"/>
    <w:rsid w:val="00477A26"/>
    <w:rsid w:val="0048008F"/>
    <w:rsid w:val="00483A5A"/>
    <w:rsid w:val="00483B65"/>
    <w:rsid w:val="004852AD"/>
    <w:rsid w:val="004876A3"/>
    <w:rsid w:val="00490297"/>
    <w:rsid w:val="00491BE8"/>
    <w:rsid w:val="00492CB6"/>
    <w:rsid w:val="004933B2"/>
    <w:rsid w:val="004933F9"/>
    <w:rsid w:val="00494C4E"/>
    <w:rsid w:val="00495AB2"/>
    <w:rsid w:val="00496CE6"/>
    <w:rsid w:val="00496D2E"/>
    <w:rsid w:val="00497E9E"/>
    <w:rsid w:val="00497ECA"/>
    <w:rsid w:val="004A2B5B"/>
    <w:rsid w:val="004A2EB2"/>
    <w:rsid w:val="004A3B28"/>
    <w:rsid w:val="004A446D"/>
    <w:rsid w:val="004A4886"/>
    <w:rsid w:val="004A5BBB"/>
    <w:rsid w:val="004A7480"/>
    <w:rsid w:val="004B0DC8"/>
    <w:rsid w:val="004B0E7F"/>
    <w:rsid w:val="004B212B"/>
    <w:rsid w:val="004B3871"/>
    <w:rsid w:val="004B4109"/>
    <w:rsid w:val="004B5FF6"/>
    <w:rsid w:val="004B6A2F"/>
    <w:rsid w:val="004B6E13"/>
    <w:rsid w:val="004B6F92"/>
    <w:rsid w:val="004C019E"/>
    <w:rsid w:val="004C098C"/>
    <w:rsid w:val="004C0B1F"/>
    <w:rsid w:val="004C136A"/>
    <w:rsid w:val="004C218A"/>
    <w:rsid w:val="004C25A6"/>
    <w:rsid w:val="004C278E"/>
    <w:rsid w:val="004C4063"/>
    <w:rsid w:val="004C4121"/>
    <w:rsid w:val="004C433D"/>
    <w:rsid w:val="004C64B2"/>
    <w:rsid w:val="004C71F8"/>
    <w:rsid w:val="004D09A5"/>
    <w:rsid w:val="004D3666"/>
    <w:rsid w:val="004D76C7"/>
    <w:rsid w:val="004E0118"/>
    <w:rsid w:val="004E06AE"/>
    <w:rsid w:val="004E0A30"/>
    <w:rsid w:val="004E24D5"/>
    <w:rsid w:val="004E25EE"/>
    <w:rsid w:val="004E5003"/>
    <w:rsid w:val="004E74A9"/>
    <w:rsid w:val="004E78BE"/>
    <w:rsid w:val="004E7EBF"/>
    <w:rsid w:val="004F0534"/>
    <w:rsid w:val="004F2962"/>
    <w:rsid w:val="004F2F4C"/>
    <w:rsid w:val="004F4C08"/>
    <w:rsid w:val="004F4F15"/>
    <w:rsid w:val="004F60EB"/>
    <w:rsid w:val="004F7B7C"/>
    <w:rsid w:val="00501C62"/>
    <w:rsid w:val="00501F18"/>
    <w:rsid w:val="005046BE"/>
    <w:rsid w:val="00505848"/>
    <w:rsid w:val="00506031"/>
    <w:rsid w:val="00506C13"/>
    <w:rsid w:val="00510910"/>
    <w:rsid w:val="00511141"/>
    <w:rsid w:val="00511243"/>
    <w:rsid w:val="00511A26"/>
    <w:rsid w:val="00513118"/>
    <w:rsid w:val="00513755"/>
    <w:rsid w:val="00514861"/>
    <w:rsid w:val="005148D0"/>
    <w:rsid w:val="00516888"/>
    <w:rsid w:val="0052102D"/>
    <w:rsid w:val="005213D4"/>
    <w:rsid w:val="00521D82"/>
    <w:rsid w:val="005221F2"/>
    <w:rsid w:val="00522383"/>
    <w:rsid w:val="00525303"/>
    <w:rsid w:val="005307A9"/>
    <w:rsid w:val="005308C3"/>
    <w:rsid w:val="00531F78"/>
    <w:rsid w:val="00532B1C"/>
    <w:rsid w:val="00534106"/>
    <w:rsid w:val="00534DE9"/>
    <w:rsid w:val="005455DB"/>
    <w:rsid w:val="0054587E"/>
    <w:rsid w:val="005464B7"/>
    <w:rsid w:val="00546907"/>
    <w:rsid w:val="00547F48"/>
    <w:rsid w:val="00551519"/>
    <w:rsid w:val="00551FB8"/>
    <w:rsid w:val="00552D7C"/>
    <w:rsid w:val="00554B26"/>
    <w:rsid w:val="00555047"/>
    <w:rsid w:val="00555F35"/>
    <w:rsid w:val="0055610F"/>
    <w:rsid w:val="00556F58"/>
    <w:rsid w:val="00560A1F"/>
    <w:rsid w:val="00562681"/>
    <w:rsid w:val="005627AB"/>
    <w:rsid w:val="00562E4E"/>
    <w:rsid w:val="0056344F"/>
    <w:rsid w:val="005637EC"/>
    <w:rsid w:val="00563D47"/>
    <w:rsid w:val="00563F04"/>
    <w:rsid w:val="005641B4"/>
    <w:rsid w:val="005653DF"/>
    <w:rsid w:val="005658B0"/>
    <w:rsid w:val="00566F9A"/>
    <w:rsid w:val="005722FC"/>
    <w:rsid w:val="005731DC"/>
    <w:rsid w:val="00573A90"/>
    <w:rsid w:val="00573FC1"/>
    <w:rsid w:val="00575755"/>
    <w:rsid w:val="005759ED"/>
    <w:rsid w:val="00582A05"/>
    <w:rsid w:val="00583058"/>
    <w:rsid w:val="005835E9"/>
    <w:rsid w:val="00583A98"/>
    <w:rsid w:val="00584FE8"/>
    <w:rsid w:val="00585D2F"/>
    <w:rsid w:val="00586C2D"/>
    <w:rsid w:val="00587D08"/>
    <w:rsid w:val="005915B0"/>
    <w:rsid w:val="00593638"/>
    <w:rsid w:val="00595F3A"/>
    <w:rsid w:val="00597425"/>
    <w:rsid w:val="005A0158"/>
    <w:rsid w:val="005A0451"/>
    <w:rsid w:val="005A1626"/>
    <w:rsid w:val="005A316A"/>
    <w:rsid w:val="005A3E00"/>
    <w:rsid w:val="005A4980"/>
    <w:rsid w:val="005A4B2E"/>
    <w:rsid w:val="005A576D"/>
    <w:rsid w:val="005A59D0"/>
    <w:rsid w:val="005A5EFB"/>
    <w:rsid w:val="005A7395"/>
    <w:rsid w:val="005A7654"/>
    <w:rsid w:val="005B0641"/>
    <w:rsid w:val="005B0749"/>
    <w:rsid w:val="005B08B7"/>
    <w:rsid w:val="005B08C9"/>
    <w:rsid w:val="005B13D2"/>
    <w:rsid w:val="005B191D"/>
    <w:rsid w:val="005B1D3A"/>
    <w:rsid w:val="005B1F3F"/>
    <w:rsid w:val="005B219F"/>
    <w:rsid w:val="005B21AE"/>
    <w:rsid w:val="005B2D9D"/>
    <w:rsid w:val="005B3A2D"/>
    <w:rsid w:val="005B403C"/>
    <w:rsid w:val="005B4183"/>
    <w:rsid w:val="005B514A"/>
    <w:rsid w:val="005B7818"/>
    <w:rsid w:val="005C0027"/>
    <w:rsid w:val="005C0D7F"/>
    <w:rsid w:val="005C1EE0"/>
    <w:rsid w:val="005C20DC"/>
    <w:rsid w:val="005C2A2D"/>
    <w:rsid w:val="005C3431"/>
    <w:rsid w:val="005C6506"/>
    <w:rsid w:val="005C6D13"/>
    <w:rsid w:val="005D03C4"/>
    <w:rsid w:val="005D128E"/>
    <w:rsid w:val="005D216C"/>
    <w:rsid w:val="005D22DD"/>
    <w:rsid w:val="005D2A87"/>
    <w:rsid w:val="005D424E"/>
    <w:rsid w:val="005D61D6"/>
    <w:rsid w:val="005D7B10"/>
    <w:rsid w:val="005D7CE3"/>
    <w:rsid w:val="005E03E4"/>
    <w:rsid w:val="005E1620"/>
    <w:rsid w:val="005E1AB2"/>
    <w:rsid w:val="005E4520"/>
    <w:rsid w:val="005E4762"/>
    <w:rsid w:val="005E4E3F"/>
    <w:rsid w:val="005E5629"/>
    <w:rsid w:val="005E5ACB"/>
    <w:rsid w:val="005E6A0B"/>
    <w:rsid w:val="005E7C64"/>
    <w:rsid w:val="005F59EA"/>
    <w:rsid w:val="005F5F83"/>
    <w:rsid w:val="006001F5"/>
    <w:rsid w:val="00601E6B"/>
    <w:rsid w:val="00602566"/>
    <w:rsid w:val="00602C95"/>
    <w:rsid w:val="00602D57"/>
    <w:rsid w:val="00603A55"/>
    <w:rsid w:val="00604541"/>
    <w:rsid w:val="00606044"/>
    <w:rsid w:val="006060D4"/>
    <w:rsid w:val="00607C21"/>
    <w:rsid w:val="006102C6"/>
    <w:rsid w:val="0061235B"/>
    <w:rsid w:val="006123EB"/>
    <w:rsid w:val="00613B3F"/>
    <w:rsid w:val="00614447"/>
    <w:rsid w:val="0061740F"/>
    <w:rsid w:val="0061779F"/>
    <w:rsid w:val="00617F46"/>
    <w:rsid w:val="00621B95"/>
    <w:rsid w:val="00622BBF"/>
    <w:rsid w:val="00623119"/>
    <w:rsid w:val="006239CE"/>
    <w:rsid w:val="006240F8"/>
    <w:rsid w:val="00624F12"/>
    <w:rsid w:val="00626C06"/>
    <w:rsid w:val="0063111F"/>
    <w:rsid w:val="00632E15"/>
    <w:rsid w:val="006343AF"/>
    <w:rsid w:val="006356CD"/>
    <w:rsid w:val="00635E8A"/>
    <w:rsid w:val="0063617F"/>
    <w:rsid w:val="006373F2"/>
    <w:rsid w:val="0063743A"/>
    <w:rsid w:val="00640417"/>
    <w:rsid w:val="00641EB0"/>
    <w:rsid w:val="006420B6"/>
    <w:rsid w:val="00642518"/>
    <w:rsid w:val="006443E1"/>
    <w:rsid w:val="00644DB1"/>
    <w:rsid w:val="006465AA"/>
    <w:rsid w:val="00646B86"/>
    <w:rsid w:val="00647770"/>
    <w:rsid w:val="006517FB"/>
    <w:rsid w:val="00652354"/>
    <w:rsid w:val="00652F05"/>
    <w:rsid w:val="00655330"/>
    <w:rsid w:val="00655C60"/>
    <w:rsid w:val="00655DCA"/>
    <w:rsid w:val="00657A54"/>
    <w:rsid w:val="00660206"/>
    <w:rsid w:val="00660E6A"/>
    <w:rsid w:val="00661700"/>
    <w:rsid w:val="006624F2"/>
    <w:rsid w:val="0066336D"/>
    <w:rsid w:val="00665625"/>
    <w:rsid w:val="0066710B"/>
    <w:rsid w:val="0066747B"/>
    <w:rsid w:val="00672B94"/>
    <w:rsid w:val="00673846"/>
    <w:rsid w:val="00673CCF"/>
    <w:rsid w:val="00676483"/>
    <w:rsid w:val="00676882"/>
    <w:rsid w:val="0068290F"/>
    <w:rsid w:val="006831D3"/>
    <w:rsid w:val="0068423D"/>
    <w:rsid w:val="006851CA"/>
    <w:rsid w:val="0069231D"/>
    <w:rsid w:val="0069236E"/>
    <w:rsid w:val="006931EB"/>
    <w:rsid w:val="00694618"/>
    <w:rsid w:val="006951E8"/>
    <w:rsid w:val="00695953"/>
    <w:rsid w:val="00695CF9"/>
    <w:rsid w:val="00696EA9"/>
    <w:rsid w:val="00696F94"/>
    <w:rsid w:val="00697B19"/>
    <w:rsid w:val="006A0872"/>
    <w:rsid w:val="006A0C45"/>
    <w:rsid w:val="006A2DC7"/>
    <w:rsid w:val="006A3617"/>
    <w:rsid w:val="006A429A"/>
    <w:rsid w:val="006A57AA"/>
    <w:rsid w:val="006A5BE3"/>
    <w:rsid w:val="006A5F6D"/>
    <w:rsid w:val="006A6215"/>
    <w:rsid w:val="006A6A04"/>
    <w:rsid w:val="006B11B9"/>
    <w:rsid w:val="006B17D0"/>
    <w:rsid w:val="006B2406"/>
    <w:rsid w:val="006B4204"/>
    <w:rsid w:val="006B44D3"/>
    <w:rsid w:val="006B52E8"/>
    <w:rsid w:val="006B5397"/>
    <w:rsid w:val="006B582D"/>
    <w:rsid w:val="006B7614"/>
    <w:rsid w:val="006B7E0D"/>
    <w:rsid w:val="006C0ED9"/>
    <w:rsid w:val="006C2447"/>
    <w:rsid w:val="006C2887"/>
    <w:rsid w:val="006C519F"/>
    <w:rsid w:val="006C545A"/>
    <w:rsid w:val="006C7D9E"/>
    <w:rsid w:val="006D0E13"/>
    <w:rsid w:val="006D1176"/>
    <w:rsid w:val="006D14EF"/>
    <w:rsid w:val="006D4176"/>
    <w:rsid w:val="006D4AC2"/>
    <w:rsid w:val="006D5318"/>
    <w:rsid w:val="006D6449"/>
    <w:rsid w:val="006D66DF"/>
    <w:rsid w:val="006E0317"/>
    <w:rsid w:val="006E0A95"/>
    <w:rsid w:val="006E12F3"/>
    <w:rsid w:val="006E54B4"/>
    <w:rsid w:val="006E6910"/>
    <w:rsid w:val="006E78A5"/>
    <w:rsid w:val="006F073D"/>
    <w:rsid w:val="006F2050"/>
    <w:rsid w:val="006F3A5C"/>
    <w:rsid w:val="006F3BD9"/>
    <w:rsid w:val="006F4B3C"/>
    <w:rsid w:val="006F52C6"/>
    <w:rsid w:val="006F5CF4"/>
    <w:rsid w:val="006F652B"/>
    <w:rsid w:val="006F68E9"/>
    <w:rsid w:val="007006BC"/>
    <w:rsid w:val="007018D1"/>
    <w:rsid w:val="00701E39"/>
    <w:rsid w:val="00702308"/>
    <w:rsid w:val="007033CA"/>
    <w:rsid w:val="007052A5"/>
    <w:rsid w:val="007055E1"/>
    <w:rsid w:val="00705A92"/>
    <w:rsid w:val="0070611C"/>
    <w:rsid w:val="00706D22"/>
    <w:rsid w:val="00706D88"/>
    <w:rsid w:val="0071212E"/>
    <w:rsid w:val="00713027"/>
    <w:rsid w:val="00715382"/>
    <w:rsid w:val="00715730"/>
    <w:rsid w:val="007161CF"/>
    <w:rsid w:val="00716E67"/>
    <w:rsid w:val="00716EC2"/>
    <w:rsid w:val="00717AF8"/>
    <w:rsid w:val="0072233E"/>
    <w:rsid w:val="007224ED"/>
    <w:rsid w:val="00722C3E"/>
    <w:rsid w:val="00722DCC"/>
    <w:rsid w:val="00722FA3"/>
    <w:rsid w:val="007245A5"/>
    <w:rsid w:val="00724D22"/>
    <w:rsid w:val="007265D2"/>
    <w:rsid w:val="00726966"/>
    <w:rsid w:val="00727145"/>
    <w:rsid w:val="00731845"/>
    <w:rsid w:val="00732C01"/>
    <w:rsid w:val="007344D2"/>
    <w:rsid w:val="00735119"/>
    <w:rsid w:val="00735D1B"/>
    <w:rsid w:val="00736164"/>
    <w:rsid w:val="0073726F"/>
    <w:rsid w:val="00737752"/>
    <w:rsid w:val="00737A31"/>
    <w:rsid w:val="007410E6"/>
    <w:rsid w:val="00741A54"/>
    <w:rsid w:val="00741C0D"/>
    <w:rsid w:val="0074295E"/>
    <w:rsid w:val="007429C2"/>
    <w:rsid w:val="00744A6D"/>
    <w:rsid w:val="00746A32"/>
    <w:rsid w:val="0075241B"/>
    <w:rsid w:val="0075250D"/>
    <w:rsid w:val="00753590"/>
    <w:rsid w:val="007546DB"/>
    <w:rsid w:val="00754E93"/>
    <w:rsid w:val="00757224"/>
    <w:rsid w:val="00760280"/>
    <w:rsid w:val="00760B83"/>
    <w:rsid w:val="00762A14"/>
    <w:rsid w:val="0076353B"/>
    <w:rsid w:val="00764AD2"/>
    <w:rsid w:val="00765CAA"/>
    <w:rsid w:val="00766D3F"/>
    <w:rsid w:val="00766DE5"/>
    <w:rsid w:val="00767CB0"/>
    <w:rsid w:val="007701B1"/>
    <w:rsid w:val="007701DE"/>
    <w:rsid w:val="00770790"/>
    <w:rsid w:val="0077088D"/>
    <w:rsid w:val="00770902"/>
    <w:rsid w:val="00770B2E"/>
    <w:rsid w:val="00773460"/>
    <w:rsid w:val="007735F5"/>
    <w:rsid w:val="00774808"/>
    <w:rsid w:val="00774988"/>
    <w:rsid w:val="00775288"/>
    <w:rsid w:val="007765CD"/>
    <w:rsid w:val="0077676C"/>
    <w:rsid w:val="00781551"/>
    <w:rsid w:val="00781C1B"/>
    <w:rsid w:val="00782968"/>
    <w:rsid w:val="007829C7"/>
    <w:rsid w:val="00785373"/>
    <w:rsid w:val="00786177"/>
    <w:rsid w:val="00786810"/>
    <w:rsid w:val="00787102"/>
    <w:rsid w:val="00787460"/>
    <w:rsid w:val="00787A00"/>
    <w:rsid w:val="00790465"/>
    <w:rsid w:val="00791E4D"/>
    <w:rsid w:val="007939C8"/>
    <w:rsid w:val="007956A8"/>
    <w:rsid w:val="0079634C"/>
    <w:rsid w:val="00796927"/>
    <w:rsid w:val="0079791A"/>
    <w:rsid w:val="00797C08"/>
    <w:rsid w:val="007A06A4"/>
    <w:rsid w:val="007A294E"/>
    <w:rsid w:val="007A2F81"/>
    <w:rsid w:val="007A6767"/>
    <w:rsid w:val="007B079A"/>
    <w:rsid w:val="007B0AF8"/>
    <w:rsid w:val="007B2617"/>
    <w:rsid w:val="007B322C"/>
    <w:rsid w:val="007B42CE"/>
    <w:rsid w:val="007B7D15"/>
    <w:rsid w:val="007C38FE"/>
    <w:rsid w:val="007C5426"/>
    <w:rsid w:val="007C5B98"/>
    <w:rsid w:val="007C5FC1"/>
    <w:rsid w:val="007C6690"/>
    <w:rsid w:val="007D12D6"/>
    <w:rsid w:val="007D2665"/>
    <w:rsid w:val="007D47C5"/>
    <w:rsid w:val="007D553E"/>
    <w:rsid w:val="007D55C7"/>
    <w:rsid w:val="007D57FA"/>
    <w:rsid w:val="007D5C80"/>
    <w:rsid w:val="007E06B5"/>
    <w:rsid w:val="007E19A3"/>
    <w:rsid w:val="007E2B86"/>
    <w:rsid w:val="007E306F"/>
    <w:rsid w:val="007E4026"/>
    <w:rsid w:val="007E4EE2"/>
    <w:rsid w:val="007E5EB6"/>
    <w:rsid w:val="007E6594"/>
    <w:rsid w:val="007E6D69"/>
    <w:rsid w:val="007F1A81"/>
    <w:rsid w:val="007F1C18"/>
    <w:rsid w:val="007F2B42"/>
    <w:rsid w:val="007F42D1"/>
    <w:rsid w:val="007F46C8"/>
    <w:rsid w:val="007F47F9"/>
    <w:rsid w:val="007F595D"/>
    <w:rsid w:val="007F675E"/>
    <w:rsid w:val="007F6AE6"/>
    <w:rsid w:val="007F6E2A"/>
    <w:rsid w:val="007F6F2B"/>
    <w:rsid w:val="007F77EE"/>
    <w:rsid w:val="007F7A66"/>
    <w:rsid w:val="007F7B6F"/>
    <w:rsid w:val="00800EBC"/>
    <w:rsid w:val="00804989"/>
    <w:rsid w:val="0080509A"/>
    <w:rsid w:val="00805546"/>
    <w:rsid w:val="008056FC"/>
    <w:rsid w:val="008068B6"/>
    <w:rsid w:val="00806E88"/>
    <w:rsid w:val="008077B7"/>
    <w:rsid w:val="0081006C"/>
    <w:rsid w:val="0081025A"/>
    <w:rsid w:val="00810AA4"/>
    <w:rsid w:val="008128C1"/>
    <w:rsid w:val="008131F2"/>
    <w:rsid w:val="00813438"/>
    <w:rsid w:val="00813E59"/>
    <w:rsid w:val="00815173"/>
    <w:rsid w:val="008155CE"/>
    <w:rsid w:val="008200BF"/>
    <w:rsid w:val="0082196B"/>
    <w:rsid w:val="00821D08"/>
    <w:rsid w:val="008222D0"/>
    <w:rsid w:val="008222FD"/>
    <w:rsid w:val="00822C4C"/>
    <w:rsid w:val="00822FAD"/>
    <w:rsid w:val="00823F4C"/>
    <w:rsid w:val="008249B1"/>
    <w:rsid w:val="00824CDA"/>
    <w:rsid w:val="00825156"/>
    <w:rsid w:val="0082576A"/>
    <w:rsid w:val="00825AEC"/>
    <w:rsid w:val="008262EF"/>
    <w:rsid w:val="008278F8"/>
    <w:rsid w:val="00830363"/>
    <w:rsid w:val="00830ADA"/>
    <w:rsid w:val="0083173B"/>
    <w:rsid w:val="0083288B"/>
    <w:rsid w:val="008328FE"/>
    <w:rsid w:val="00833581"/>
    <w:rsid w:val="00835875"/>
    <w:rsid w:val="008361AD"/>
    <w:rsid w:val="00837298"/>
    <w:rsid w:val="00837CB0"/>
    <w:rsid w:val="00840B04"/>
    <w:rsid w:val="008422EA"/>
    <w:rsid w:val="0084328F"/>
    <w:rsid w:val="00843548"/>
    <w:rsid w:val="00843D23"/>
    <w:rsid w:val="0084422B"/>
    <w:rsid w:val="00844879"/>
    <w:rsid w:val="008455A1"/>
    <w:rsid w:val="008459DE"/>
    <w:rsid w:val="00846B60"/>
    <w:rsid w:val="00846CB3"/>
    <w:rsid w:val="0084710A"/>
    <w:rsid w:val="0084788F"/>
    <w:rsid w:val="008506F2"/>
    <w:rsid w:val="00850E9C"/>
    <w:rsid w:val="0085105D"/>
    <w:rsid w:val="00851178"/>
    <w:rsid w:val="008512D2"/>
    <w:rsid w:val="00851D30"/>
    <w:rsid w:val="00851E9A"/>
    <w:rsid w:val="0085319A"/>
    <w:rsid w:val="008534B7"/>
    <w:rsid w:val="00853565"/>
    <w:rsid w:val="00853F8C"/>
    <w:rsid w:val="00853FD3"/>
    <w:rsid w:val="00854AB9"/>
    <w:rsid w:val="00855A21"/>
    <w:rsid w:val="00856A44"/>
    <w:rsid w:val="00856ACC"/>
    <w:rsid w:val="0085755B"/>
    <w:rsid w:val="008579CA"/>
    <w:rsid w:val="008600D0"/>
    <w:rsid w:val="00860299"/>
    <w:rsid w:val="00860ADF"/>
    <w:rsid w:val="00862867"/>
    <w:rsid w:val="00864712"/>
    <w:rsid w:val="0086598B"/>
    <w:rsid w:val="00866B13"/>
    <w:rsid w:val="008705AC"/>
    <w:rsid w:val="00870AF3"/>
    <w:rsid w:val="008711B2"/>
    <w:rsid w:val="00871DE3"/>
    <w:rsid w:val="00873DB0"/>
    <w:rsid w:val="00873DE1"/>
    <w:rsid w:val="008750AF"/>
    <w:rsid w:val="0087567B"/>
    <w:rsid w:val="0087630F"/>
    <w:rsid w:val="00876628"/>
    <w:rsid w:val="00877AB1"/>
    <w:rsid w:val="00877C7F"/>
    <w:rsid w:val="008815AB"/>
    <w:rsid w:val="00882EF7"/>
    <w:rsid w:val="00883A59"/>
    <w:rsid w:val="00886AF2"/>
    <w:rsid w:val="008873D1"/>
    <w:rsid w:val="00887B48"/>
    <w:rsid w:val="00890AE7"/>
    <w:rsid w:val="00890EBC"/>
    <w:rsid w:val="008922C4"/>
    <w:rsid w:val="008930E7"/>
    <w:rsid w:val="00894941"/>
    <w:rsid w:val="00896544"/>
    <w:rsid w:val="008966F3"/>
    <w:rsid w:val="00897036"/>
    <w:rsid w:val="008A038A"/>
    <w:rsid w:val="008A0BA0"/>
    <w:rsid w:val="008A0D61"/>
    <w:rsid w:val="008A13B1"/>
    <w:rsid w:val="008A2139"/>
    <w:rsid w:val="008A2184"/>
    <w:rsid w:val="008A237D"/>
    <w:rsid w:val="008A26ED"/>
    <w:rsid w:val="008A2791"/>
    <w:rsid w:val="008A371D"/>
    <w:rsid w:val="008A50C6"/>
    <w:rsid w:val="008A7BEA"/>
    <w:rsid w:val="008B0708"/>
    <w:rsid w:val="008B094F"/>
    <w:rsid w:val="008B0DA3"/>
    <w:rsid w:val="008B0EBA"/>
    <w:rsid w:val="008B1D49"/>
    <w:rsid w:val="008B2397"/>
    <w:rsid w:val="008B31A2"/>
    <w:rsid w:val="008B4C10"/>
    <w:rsid w:val="008B6C27"/>
    <w:rsid w:val="008B6E88"/>
    <w:rsid w:val="008B70E4"/>
    <w:rsid w:val="008B7FD1"/>
    <w:rsid w:val="008C35DE"/>
    <w:rsid w:val="008C3A89"/>
    <w:rsid w:val="008C553C"/>
    <w:rsid w:val="008C56AD"/>
    <w:rsid w:val="008C59B3"/>
    <w:rsid w:val="008C5BFB"/>
    <w:rsid w:val="008C5C1F"/>
    <w:rsid w:val="008C6A69"/>
    <w:rsid w:val="008C7B28"/>
    <w:rsid w:val="008D0751"/>
    <w:rsid w:val="008D1FC9"/>
    <w:rsid w:val="008D2B97"/>
    <w:rsid w:val="008D3FDB"/>
    <w:rsid w:val="008D4177"/>
    <w:rsid w:val="008D60D9"/>
    <w:rsid w:val="008D6726"/>
    <w:rsid w:val="008D67E3"/>
    <w:rsid w:val="008D7351"/>
    <w:rsid w:val="008D765B"/>
    <w:rsid w:val="008D7B35"/>
    <w:rsid w:val="008E01D1"/>
    <w:rsid w:val="008E0E40"/>
    <w:rsid w:val="008E1581"/>
    <w:rsid w:val="008E20A9"/>
    <w:rsid w:val="008E231E"/>
    <w:rsid w:val="008E4C51"/>
    <w:rsid w:val="008E5439"/>
    <w:rsid w:val="008E6472"/>
    <w:rsid w:val="008E7F05"/>
    <w:rsid w:val="008F18A2"/>
    <w:rsid w:val="008F1E59"/>
    <w:rsid w:val="008F2734"/>
    <w:rsid w:val="008F2B16"/>
    <w:rsid w:val="008F38A7"/>
    <w:rsid w:val="008F7D7F"/>
    <w:rsid w:val="009000F6"/>
    <w:rsid w:val="009012A4"/>
    <w:rsid w:val="00901849"/>
    <w:rsid w:val="00901D1A"/>
    <w:rsid w:val="009029D1"/>
    <w:rsid w:val="0090371C"/>
    <w:rsid w:val="00903BA9"/>
    <w:rsid w:val="00904347"/>
    <w:rsid w:val="00905DA9"/>
    <w:rsid w:val="00907A4C"/>
    <w:rsid w:val="00907D6C"/>
    <w:rsid w:val="00907E04"/>
    <w:rsid w:val="00910121"/>
    <w:rsid w:val="009107DA"/>
    <w:rsid w:val="00910DC7"/>
    <w:rsid w:val="00910E82"/>
    <w:rsid w:val="00911218"/>
    <w:rsid w:val="009121F6"/>
    <w:rsid w:val="009128D3"/>
    <w:rsid w:val="009137DB"/>
    <w:rsid w:val="0091538A"/>
    <w:rsid w:val="00915DE1"/>
    <w:rsid w:val="009167F6"/>
    <w:rsid w:val="00917A5A"/>
    <w:rsid w:val="00920724"/>
    <w:rsid w:val="009211A6"/>
    <w:rsid w:val="009213EC"/>
    <w:rsid w:val="00922276"/>
    <w:rsid w:val="00923CDE"/>
    <w:rsid w:val="009253C7"/>
    <w:rsid w:val="009269BE"/>
    <w:rsid w:val="009275BC"/>
    <w:rsid w:val="00930AFB"/>
    <w:rsid w:val="00931060"/>
    <w:rsid w:val="00931FDF"/>
    <w:rsid w:val="00932D29"/>
    <w:rsid w:val="009334D6"/>
    <w:rsid w:val="00935BD4"/>
    <w:rsid w:val="00936987"/>
    <w:rsid w:val="009372D7"/>
    <w:rsid w:val="00937FEF"/>
    <w:rsid w:val="00940448"/>
    <w:rsid w:val="009418BF"/>
    <w:rsid w:val="00941B58"/>
    <w:rsid w:val="00941CA7"/>
    <w:rsid w:val="00941E61"/>
    <w:rsid w:val="00944FDF"/>
    <w:rsid w:val="0094555A"/>
    <w:rsid w:val="00945B88"/>
    <w:rsid w:val="00946A0B"/>
    <w:rsid w:val="00947A4A"/>
    <w:rsid w:val="009505C1"/>
    <w:rsid w:val="00950BCC"/>
    <w:rsid w:val="00951E18"/>
    <w:rsid w:val="009521E3"/>
    <w:rsid w:val="0095234B"/>
    <w:rsid w:val="009529A8"/>
    <w:rsid w:val="00953F3C"/>
    <w:rsid w:val="00954E11"/>
    <w:rsid w:val="00955AB6"/>
    <w:rsid w:val="009568A7"/>
    <w:rsid w:val="00956AF0"/>
    <w:rsid w:val="00957446"/>
    <w:rsid w:val="00957545"/>
    <w:rsid w:val="00957FF6"/>
    <w:rsid w:val="00961851"/>
    <w:rsid w:val="00961DD0"/>
    <w:rsid w:val="009632ED"/>
    <w:rsid w:val="0096365E"/>
    <w:rsid w:val="00966CDB"/>
    <w:rsid w:val="00966E23"/>
    <w:rsid w:val="0096709E"/>
    <w:rsid w:val="00967823"/>
    <w:rsid w:val="009702E7"/>
    <w:rsid w:val="00970F69"/>
    <w:rsid w:val="00971FF8"/>
    <w:rsid w:val="00972181"/>
    <w:rsid w:val="00972991"/>
    <w:rsid w:val="00972F04"/>
    <w:rsid w:val="00974808"/>
    <w:rsid w:val="00976224"/>
    <w:rsid w:val="00980375"/>
    <w:rsid w:val="0098050C"/>
    <w:rsid w:val="00980925"/>
    <w:rsid w:val="00982420"/>
    <w:rsid w:val="00982756"/>
    <w:rsid w:val="00983DAC"/>
    <w:rsid w:val="00984D61"/>
    <w:rsid w:val="00986A90"/>
    <w:rsid w:val="00986EA8"/>
    <w:rsid w:val="009900EE"/>
    <w:rsid w:val="00990568"/>
    <w:rsid w:val="00991D4E"/>
    <w:rsid w:val="00991EEC"/>
    <w:rsid w:val="009921F7"/>
    <w:rsid w:val="00993248"/>
    <w:rsid w:val="0099553B"/>
    <w:rsid w:val="009959D6"/>
    <w:rsid w:val="00995BCD"/>
    <w:rsid w:val="00997A7B"/>
    <w:rsid w:val="009A1A5F"/>
    <w:rsid w:val="009A1AE5"/>
    <w:rsid w:val="009A3544"/>
    <w:rsid w:val="009A4AA4"/>
    <w:rsid w:val="009A6326"/>
    <w:rsid w:val="009A635B"/>
    <w:rsid w:val="009A6B61"/>
    <w:rsid w:val="009A6FE5"/>
    <w:rsid w:val="009B0216"/>
    <w:rsid w:val="009B0270"/>
    <w:rsid w:val="009B0D6A"/>
    <w:rsid w:val="009B265D"/>
    <w:rsid w:val="009B3DDD"/>
    <w:rsid w:val="009B46AE"/>
    <w:rsid w:val="009B4CF0"/>
    <w:rsid w:val="009B4E41"/>
    <w:rsid w:val="009B5787"/>
    <w:rsid w:val="009B579A"/>
    <w:rsid w:val="009B6C34"/>
    <w:rsid w:val="009B7121"/>
    <w:rsid w:val="009C21C3"/>
    <w:rsid w:val="009C26AC"/>
    <w:rsid w:val="009C37F9"/>
    <w:rsid w:val="009C66CC"/>
    <w:rsid w:val="009C6E19"/>
    <w:rsid w:val="009C6F94"/>
    <w:rsid w:val="009C7AFA"/>
    <w:rsid w:val="009D0CAE"/>
    <w:rsid w:val="009D18D0"/>
    <w:rsid w:val="009D1DE1"/>
    <w:rsid w:val="009D256D"/>
    <w:rsid w:val="009D32DE"/>
    <w:rsid w:val="009D5700"/>
    <w:rsid w:val="009D5A79"/>
    <w:rsid w:val="009D7CAC"/>
    <w:rsid w:val="009E0656"/>
    <w:rsid w:val="009E0D33"/>
    <w:rsid w:val="009E184C"/>
    <w:rsid w:val="009E1C01"/>
    <w:rsid w:val="009E3304"/>
    <w:rsid w:val="009E4C48"/>
    <w:rsid w:val="009E5B5A"/>
    <w:rsid w:val="009E5D86"/>
    <w:rsid w:val="009E7D73"/>
    <w:rsid w:val="009F0D17"/>
    <w:rsid w:val="009F0D2B"/>
    <w:rsid w:val="009F27ED"/>
    <w:rsid w:val="009F3E8F"/>
    <w:rsid w:val="009F3F2C"/>
    <w:rsid w:val="009F5CD5"/>
    <w:rsid w:val="009F6F3E"/>
    <w:rsid w:val="009F7CCA"/>
    <w:rsid w:val="00A00096"/>
    <w:rsid w:val="00A01075"/>
    <w:rsid w:val="00A020C0"/>
    <w:rsid w:val="00A02BF8"/>
    <w:rsid w:val="00A0394F"/>
    <w:rsid w:val="00A0405D"/>
    <w:rsid w:val="00A0411C"/>
    <w:rsid w:val="00A04C92"/>
    <w:rsid w:val="00A04CDB"/>
    <w:rsid w:val="00A05F04"/>
    <w:rsid w:val="00A07018"/>
    <w:rsid w:val="00A1026B"/>
    <w:rsid w:val="00A104DD"/>
    <w:rsid w:val="00A10EB6"/>
    <w:rsid w:val="00A1257B"/>
    <w:rsid w:val="00A1284B"/>
    <w:rsid w:val="00A135D0"/>
    <w:rsid w:val="00A139EC"/>
    <w:rsid w:val="00A143B0"/>
    <w:rsid w:val="00A1496E"/>
    <w:rsid w:val="00A14E0A"/>
    <w:rsid w:val="00A15459"/>
    <w:rsid w:val="00A15F2B"/>
    <w:rsid w:val="00A16DF3"/>
    <w:rsid w:val="00A1797A"/>
    <w:rsid w:val="00A17A0C"/>
    <w:rsid w:val="00A21D2F"/>
    <w:rsid w:val="00A21FB5"/>
    <w:rsid w:val="00A2339C"/>
    <w:rsid w:val="00A23454"/>
    <w:rsid w:val="00A23B14"/>
    <w:rsid w:val="00A23D54"/>
    <w:rsid w:val="00A24A7B"/>
    <w:rsid w:val="00A26AF7"/>
    <w:rsid w:val="00A2798C"/>
    <w:rsid w:val="00A33EFA"/>
    <w:rsid w:val="00A34F45"/>
    <w:rsid w:val="00A361C7"/>
    <w:rsid w:val="00A364A1"/>
    <w:rsid w:val="00A36B2F"/>
    <w:rsid w:val="00A37C1C"/>
    <w:rsid w:val="00A41B77"/>
    <w:rsid w:val="00A44632"/>
    <w:rsid w:val="00A45FB0"/>
    <w:rsid w:val="00A46967"/>
    <w:rsid w:val="00A46DCE"/>
    <w:rsid w:val="00A47BF6"/>
    <w:rsid w:val="00A504E5"/>
    <w:rsid w:val="00A50E04"/>
    <w:rsid w:val="00A52992"/>
    <w:rsid w:val="00A52FF9"/>
    <w:rsid w:val="00A53001"/>
    <w:rsid w:val="00A534E9"/>
    <w:rsid w:val="00A53853"/>
    <w:rsid w:val="00A53BD7"/>
    <w:rsid w:val="00A543EE"/>
    <w:rsid w:val="00A54A05"/>
    <w:rsid w:val="00A5544B"/>
    <w:rsid w:val="00A55466"/>
    <w:rsid w:val="00A61CB4"/>
    <w:rsid w:val="00A62B3C"/>
    <w:rsid w:val="00A6377C"/>
    <w:rsid w:val="00A63A6F"/>
    <w:rsid w:val="00A649EF"/>
    <w:rsid w:val="00A660CA"/>
    <w:rsid w:val="00A6634F"/>
    <w:rsid w:val="00A766C8"/>
    <w:rsid w:val="00A76FAE"/>
    <w:rsid w:val="00A80BED"/>
    <w:rsid w:val="00A8319A"/>
    <w:rsid w:val="00A86DD6"/>
    <w:rsid w:val="00A86F49"/>
    <w:rsid w:val="00A93107"/>
    <w:rsid w:val="00A945BD"/>
    <w:rsid w:val="00A94F0A"/>
    <w:rsid w:val="00A96B2D"/>
    <w:rsid w:val="00A97FEC"/>
    <w:rsid w:val="00AA1500"/>
    <w:rsid w:val="00AA21E2"/>
    <w:rsid w:val="00AA23AB"/>
    <w:rsid w:val="00AA2C08"/>
    <w:rsid w:val="00AA3B7C"/>
    <w:rsid w:val="00AA3C79"/>
    <w:rsid w:val="00AA52B1"/>
    <w:rsid w:val="00AA6C52"/>
    <w:rsid w:val="00AA6D95"/>
    <w:rsid w:val="00AB00E6"/>
    <w:rsid w:val="00AB0D46"/>
    <w:rsid w:val="00AB1DFF"/>
    <w:rsid w:val="00AB2943"/>
    <w:rsid w:val="00AB2B13"/>
    <w:rsid w:val="00AB2E1D"/>
    <w:rsid w:val="00AB32E1"/>
    <w:rsid w:val="00AB34B7"/>
    <w:rsid w:val="00AB3D33"/>
    <w:rsid w:val="00AB52AB"/>
    <w:rsid w:val="00AB60D6"/>
    <w:rsid w:val="00AB6D75"/>
    <w:rsid w:val="00AB7333"/>
    <w:rsid w:val="00AB777F"/>
    <w:rsid w:val="00AB7E61"/>
    <w:rsid w:val="00AC1BEB"/>
    <w:rsid w:val="00AC261A"/>
    <w:rsid w:val="00AC349C"/>
    <w:rsid w:val="00AC4ADA"/>
    <w:rsid w:val="00AC5951"/>
    <w:rsid w:val="00AC6010"/>
    <w:rsid w:val="00AC7D23"/>
    <w:rsid w:val="00AD0FD0"/>
    <w:rsid w:val="00AD10F4"/>
    <w:rsid w:val="00AD1AA7"/>
    <w:rsid w:val="00AD33D9"/>
    <w:rsid w:val="00AD3C53"/>
    <w:rsid w:val="00AD5CA4"/>
    <w:rsid w:val="00AD6E61"/>
    <w:rsid w:val="00AE023C"/>
    <w:rsid w:val="00AE04E3"/>
    <w:rsid w:val="00AE2220"/>
    <w:rsid w:val="00AE23B4"/>
    <w:rsid w:val="00AE2706"/>
    <w:rsid w:val="00AE2C81"/>
    <w:rsid w:val="00AE4EE1"/>
    <w:rsid w:val="00AE5D6C"/>
    <w:rsid w:val="00AE7B27"/>
    <w:rsid w:val="00AF0A60"/>
    <w:rsid w:val="00AF15EC"/>
    <w:rsid w:val="00AF1BD2"/>
    <w:rsid w:val="00AF2360"/>
    <w:rsid w:val="00AF32EE"/>
    <w:rsid w:val="00AF3EBF"/>
    <w:rsid w:val="00AF4160"/>
    <w:rsid w:val="00AF6FCC"/>
    <w:rsid w:val="00AF76F6"/>
    <w:rsid w:val="00B007BE"/>
    <w:rsid w:val="00B00EED"/>
    <w:rsid w:val="00B00FB0"/>
    <w:rsid w:val="00B01082"/>
    <w:rsid w:val="00B020E0"/>
    <w:rsid w:val="00B02360"/>
    <w:rsid w:val="00B03ECD"/>
    <w:rsid w:val="00B0493A"/>
    <w:rsid w:val="00B04D90"/>
    <w:rsid w:val="00B05906"/>
    <w:rsid w:val="00B05E42"/>
    <w:rsid w:val="00B100DE"/>
    <w:rsid w:val="00B12CDC"/>
    <w:rsid w:val="00B13BEA"/>
    <w:rsid w:val="00B1495E"/>
    <w:rsid w:val="00B15DE0"/>
    <w:rsid w:val="00B20BDD"/>
    <w:rsid w:val="00B21D6D"/>
    <w:rsid w:val="00B2239C"/>
    <w:rsid w:val="00B22791"/>
    <w:rsid w:val="00B22943"/>
    <w:rsid w:val="00B23AED"/>
    <w:rsid w:val="00B2417B"/>
    <w:rsid w:val="00B25F36"/>
    <w:rsid w:val="00B26561"/>
    <w:rsid w:val="00B3351E"/>
    <w:rsid w:val="00B33E70"/>
    <w:rsid w:val="00B33FEC"/>
    <w:rsid w:val="00B34484"/>
    <w:rsid w:val="00B34597"/>
    <w:rsid w:val="00B34B12"/>
    <w:rsid w:val="00B34E01"/>
    <w:rsid w:val="00B3628E"/>
    <w:rsid w:val="00B36B56"/>
    <w:rsid w:val="00B36DCE"/>
    <w:rsid w:val="00B36E20"/>
    <w:rsid w:val="00B37AE4"/>
    <w:rsid w:val="00B41C85"/>
    <w:rsid w:val="00B41EA9"/>
    <w:rsid w:val="00B42606"/>
    <w:rsid w:val="00B43106"/>
    <w:rsid w:val="00B43681"/>
    <w:rsid w:val="00B44DDA"/>
    <w:rsid w:val="00B45C23"/>
    <w:rsid w:val="00B46C70"/>
    <w:rsid w:val="00B473BA"/>
    <w:rsid w:val="00B50F24"/>
    <w:rsid w:val="00B5255A"/>
    <w:rsid w:val="00B528C3"/>
    <w:rsid w:val="00B53C5C"/>
    <w:rsid w:val="00B53DE7"/>
    <w:rsid w:val="00B540A1"/>
    <w:rsid w:val="00B5422A"/>
    <w:rsid w:val="00B54E76"/>
    <w:rsid w:val="00B55C82"/>
    <w:rsid w:val="00B55E0C"/>
    <w:rsid w:val="00B56035"/>
    <w:rsid w:val="00B601ED"/>
    <w:rsid w:val="00B61773"/>
    <w:rsid w:val="00B62D63"/>
    <w:rsid w:val="00B6414D"/>
    <w:rsid w:val="00B64455"/>
    <w:rsid w:val="00B64940"/>
    <w:rsid w:val="00B67D2F"/>
    <w:rsid w:val="00B67F99"/>
    <w:rsid w:val="00B7110C"/>
    <w:rsid w:val="00B739E0"/>
    <w:rsid w:val="00B73A22"/>
    <w:rsid w:val="00B73FBA"/>
    <w:rsid w:val="00B7424D"/>
    <w:rsid w:val="00B74ADD"/>
    <w:rsid w:val="00B752E1"/>
    <w:rsid w:val="00B75DA1"/>
    <w:rsid w:val="00B7634E"/>
    <w:rsid w:val="00B80903"/>
    <w:rsid w:val="00B81309"/>
    <w:rsid w:val="00B83902"/>
    <w:rsid w:val="00B83BE5"/>
    <w:rsid w:val="00B86110"/>
    <w:rsid w:val="00B8635A"/>
    <w:rsid w:val="00B904FC"/>
    <w:rsid w:val="00B90C39"/>
    <w:rsid w:val="00B92F5F"/>
    <w:rsid w:val="00B93D59"/>
    <w:rsid w:val="00B93FAC"/>
    <w:rsid w:val="00B9544F"/>
    <w:rsid w:val="00B956BA"/>
    <w:rsid w:val="00B95F96"/>
    <w:rsid w:val="00B9750D"/>
    <w:rsid w:val="00BA0D97"/>
    <w:rsid w:val="00BA3094"/>
    <w:rsid w:val="00BA383D"/>
    <w:rsid w:val="00BA3F74"/>
    <w:rsid w:val="00BA40E8"/>
    <w:rsid w:val="00BA4E1D"/>
    <w:rsid w:val="00BA7503"/>
    <w:rsid w:val="00BB0B91"/>
    <w:rsid w:val="00BB1919"/>
    <w:rsid w:val="00BB1DCA"/>
    <w:rsid w:val="00BB1EA2"/>
    <w:rsid w:val="00BB2109"/>
    <w:rsid w:val="00BB4079"/>
    <w:rsid w:val="00BB4404"/>
    <w:rsid w:val="00BB53A1"/>
    <w:rsid w:val="00BB674F"/>
    <w:rsid w:val="00BC04BF"/>
    <w:rsid w:val="00BC08C8"/>
    <w:rsid w:val="00BC1AA4"/>
    <w:rsid w:val="00BC33F6"/>
    <w:rsid w:val="00BC3711"/>
    <w:rsid w:val="00BD1149"/>
    <w:rsid w:val="00BD12C3"/>
    <w:rsid w:val="00BD3428"/>
    <w:rsid w:val="00BD3775"/>
    <w:rsid w:val="00BD6AFB"/>
    <w:rsid w:val="00BD6D34"/>
    <w:rsid w:val="00BD7E62"/>
    <w:rsid w:val="00BE026A"/>
    <w:rsid w:val="00BE0E5E"/>
    <w:rsid w:val="00BE3777"/>
    <w:rsid w:val="00BE3E29"/>
    <w:rsid w:val="00BE58BA"/>
    <w:rsid w:val="00BE5F56"/>
    <w:rsid w:val="00BE7788"/>
    <w:rsid w:val="00BE7B8E"/>
    <w:rsid w:val="00BE7CD8"/>
    <w:rsid w:val="00BF1C05"/>
    <w:rsid w:val="00BF27BF"/>
    <w:rsid w:val="00BF56A6"/>
    <w:rsid w:val="00BF6B5E"/>
    <w:rsid w:val="00BF76F9"/>
    <w:rsid w:val="00BF7C8D"/>
    <w:rsid w:val="00C0014E"/>
    <w:rsid w:val="00C03A16"/>
    <w:rsid w:val="00C03BAA"/>
    <w:rsid w:val="00C06417"/>
    <w:rsid w:val="00C11506"/>
    <w:rsid w:val="00C129ED"/>
    <w:rsid w:val="00C1405A"/>
    <w:rsid w:val="00C14071"/>
    <w:rsid w:val="00C1486F"/>
    <w:rsid w:val="00C15C75"/>
    <w:rsid w:val="00C15FB3"/>
    <w:rsid w:val="00C16969"/>
    <w:rsid w:val="00C16BBA"/>
    <w:rsid w:val="00C209DC"/>
    <w:rsid w:val="00C21FDE"/>
    <w:rsid w:val="00C220EC"/>
    <w:rsid w:val="00C22DA5"/>
    <w:rsid w:val="00C2316F"/>
    <w:rsid w:val="00C23A69"/>
    <w:rsid w:val="00C26762"/>
    <w:rsid w:val="00C30178"/>
    <w:rsid w:val="00C30211"/>
    <w:rsid w:val="00C3044C"/>
    <w:rsid w:val="00C306D3"/>
    <w:rsid w:val="00C326D4"/>
    <w:rsid w:val="00C33425"/>
    <w:rsid w:val="00C33AB3"/>
    <w:rsid w:val="00C34B67"/>
    <w:rsid w:val="00C37A8D"/>
    <w:rsid w:val="00C419B4"/>
    <w:rsid w:val="00C41F7F"/>
    <w:rsid w:val="00C4255F"/>
    <w:rsid w:val="00C42888"/>
    <w:rsid w:val="00C42B31"/>
    <w:rsid w:val="00C439A2"/>
    <w:rsid w:val="00C46FC7"/>
    <w:rsid w:val="00C4794A"/>
    <w:rsid w:val="00C47B3B"/>
    <w:rsid w:val="00C500FB"/>
    <w:rsid w:val="00C51FB2"/>
    <w:rsid w:val="00C554AA"/>
    <w:rsid w:val="00C555AB"/>
    <w:rsid w:val="00C55846"/>
    <w:rsid w:val="00C55BA6"/>
    <w:rsid w:val="00C56242"/>
    <w:rsid w:val="00C5638A"/>
    <w:rsid w:val="00C605DE"/>
    <w:rsid w:val="00C63BA6"/>
    <w:rsid w:val="00C65A43"/>
    <w:rsid w:val="00C66C1A"/>
    <w:rsid w:val="00C70174"/>
    <w:rsid w:val="00C70391"/>
    <w:rsid w:val="00C70B20"/>
    <w:rsid w:val="00C735BC"/>
    <w:rsid w:val="00C73612"/>
    <w:rsid w:val="00C74CB0"/>
    <w:rsid w:val="00C7560D"/>
    <w:rsid w:val="00C75806"/>
    <w:rsid w:val="00C75DD0"/>
    <w:rsid w:val="00C76A32"/>
    <w:rsid w:val="00C77C14"/>
    <w:rsid w:val="00C80840"/>
    <w:rsid w:val="00C82664"/>
    <w:rsid w:val="00C844FD"/>
    <w:rsid w:val="00C84549"/>
    <w:rsid w:val="00C846B2"/>
    <w:rsid w:val="00C8498A"/>
    <w:rsid w:val="00C84C64"/>
    <w:rsid w:val="00C853E2"/>
    <w:rsid w:val="00C8576E"/>
    <w:rsid w:val="00C85FA3"/>
    <w:rsid w:val="00C8613C"/>
    <w:rsid w:val="00C865A9"/>
    <w:rsid w:val="00C86A9E"/>
    <w:rsid w:val="00C90C8C"/>
    <w:rsid w:val="00C90F27"/>
    <w:rsid w:val="00C9104F"/>
    <w:rsid w:val="00C910FA"/>
    <w:rsid w:val="00C93374"/>
    <w:rsid w:val="00C93531"/>
    <w:rsid w:val="00C9353E"/>
    <w:rsid w:val="00C93D5B"/>
    <w:rsid w:val="00C953AD"/>
    <w:rsid w:val="00C9600C"/>
    <w:rsid w:val="00C96FFA"/>
    <w:rsid w:val="00C977CA"/>
    <w:rsid w:val="00CA03B3"/>
    <w:rsid w:val="00CA1A96"/>
    <w:rsid w:val="00CA36AF"/>
    <w:rsid w:val="00CA372A"/>
    <w:rsid w:val="00CA41EC"/>
    <w:rsid w:val="00CA5F20"/>
    <w:rsid w:val="00CA7516"/>
    <w:rsid w:val="00CB053B"/>
    <w:rsid w:val="00CB15E8"/>
    <w:rsid w:val="00CB18B6"/>
    <w:rsid w:val="00CB3053"/>
    <w:rsid w:val="00CB43EC"/>
    <w:rsid w:val="00CB56A0"/>
    <w:rsid w:val="00CC0E89"/>
    <w:rsid w:val="00CC164F"/>
    <w:rsid w:val="00CC1990"/>
    <w:rsid w:val="00CC328F"/>
    <w:rsid w:val="00CC57CD"/>
    <w:rsid w:val="00CC6BF6"/>
    <w:rsid w:val="00CC6C85"/>
    <w:rsid w:val="00CD0903"/>
    <w:rsid w:val="00CD0BC3"/>
    <w:rsid w:val="00CD2B67"/>
    <w:rsid w:val="00CD3AB2"/>
    <w:rsid w:val="00CD5919"/>
    <w:rsid w:val="00CD6929"/>
    <w:rsid w:val="00CD698F"/>
    <w:rsid w:val="00CD7B02"/>
    <w:rsid w:val="00CE0260"/>
    <w:rsid w:val="00CE0293"/>
    <w:rsid w:val="00CE0A84"/>
    <w:rsid w:val="00CE38E4"/>
    <w:rsid w:val="00CE47F9"/>
    <w:rsid w:val="00CE5034"/>
    <w:rsid w:val="00CE5208"/>
    <w:rsid w:val="00CF007C"/>
    <w:rsid w:val="00CF0886"/>
    <w:rsid w:val="00CF154F"/>
    <w:rsid w:val="00CF194F"/>
    <w:rsid w:val="00CF2478"/>
    <w:rsid w:val="00CF5A9D"/>
    <w:rsid w:val="00CF74EB"/>
    <w:rsid w:val="00D0042A"/>
    <w:rsid w:val="00D067D4"/>
    <w:rsid w:val="00D06895"/>
    <w:rsid w:val="00D06FB1"/>
    <w:rsid w:val="00D10BE7"/>
    <w:rsid w:val="00D12780"/>
    <w:rsid w:val="00D13528"/>
    <w:rsid w:val="00D16B49"/>
    <w:rsid w:val="00D17436"/>
    <w:rsid w:val="00D17DBB"/>
    <w:rsid w:val="00D17EFE"/>
    <w:rsid w:val="00D20C80"/>
    <w:rsid w:val="00D20D13"/>
    <w:rsid w:val="00D20D7F"/>
    <w:rsid w:val="00D21C5A"/>
    <w:rsid w:val="00D21F5A"/>
    <w:rsid w:val="00D2225F"/>
    <w:rsid w:val="00D23693"/>
    <w:rsid w:val="00D24295"/>
    <w:rsid w:val="00D25993"/>
    <w:rsid w:val="00D26D90"/>
    <w:rsid w:val="00D30227"/>
    <w:rsid w:val="00D32E8A"/>
    <w:rsid w:val="00D34FB9"/>
    <w:rsid w:val="00D36B89"/>
    <w:rsid w:val="00D36E1C"/>
    <w:rsid w:val="00D3722D"/>
    <w:rsid w:val="00D4020F"/>
    <w:rsid w:val="00D41027"/>
    <w:rsid w:val="00D4200B"/>
    <w:rsid w:val="00D435A3"/>
    <w:rsid w:val="00D43719"/>
    <w:rsid w:val="00D4434F"/>
    <w:rsid w:val="00D471D9"/>
    <w:rsid w:val="00D517BB"/>
    <w:rsid w:val="00D51997"/>
    <w:rsid w:val="00D51A3A"/>
    <w:rsid w:val="00D54189"/>
    <w:rsid w:val="00D554B8"/>
    <w:rsid w:val="00D554D1"/>
    <w:rsid w:val="00D56695"/>
    <w:rsid w:val="00D56750"/>
    <w:rsid w:val="00D56845"/>
    <w:rsid w:val="00D6195F"/>
    <w:rsid w:val="00D619F0"/>
    <w:rsid w:val="00D6232A"/>
    <w:rsid w:val="00D62F0F"/>
    <w:rsid w:val="00D64E5B"/>
    <w:rsid w:val="00D653DB"/>
    <w:rsid w:val="00D67949"/>
    <w:rsid w:val="00D707C9"/>
    <w:rsid w:val="00D726C1"/>
    <w:rsid w:val="00D73504"/>
    <w:rsid w:val="00D7458D"/>
    <w:rsid w:val="00D74BD1"/>
    <w:rsid w:val="00D75176"/>
    <w:rsid w:val="00D7700A"/>
    <w:rsid w:val="00D779D9"/>
    <w:rsid w:val="00D8116F"/>
    <w:rsid w:val="00D814E3"/>
    <w:rsid w:val="00D820C2"/>
    <w:rsid w:val="00D8266E"/>
    <w:rsid w:val="00D82DDC"/>
    <w:rsid w:val="00D84D84"/>
    <w:rsid w:val="00D855AC"/>
    <w:rsid w:val="00D90A88"/>
    <w:rsid w:val="00D934AA"/>
    <w:rsid w:val="00D94A24"/>
    <w:rsid w:val="00D94A4B"/>
    <w:rsid w:val="00D956AF"/>
    <w:rsid w:val="00DA249D"/>
    <w:rsid w:val="00DA2C72"/>
    <w:rsid w:val="00DA4226"/>
    <w:rsid w:val="00DA4791"/>
    <w:rsid w:val="00DA4889"/>
    <w:rsid w:val="00DA729A"/>
    <w:rsid w:val="00DA7679"/>
    <w:rsid w:val="00DB1B0B"/>
    <w:rsid w:val="00DB1E8C"/>
    <w:rsid w:val="00DB5D7B"/>
    <w:rsid w:val="00DB5EC5"/>
    <w:rsid w:val="00DB72B0"/>
    <w:rsid w:val="00DC0739"/>
    <w:rsid w:val="00DC0C96"/>
    <w:rsid w:val="00DC5658"/>
    <w:rsid w:val="00DC5F61"/>
    <w:rsid w:val="00DC75C4"/>
    <w:rsid w:val="00DC7F1A"/>
    <w:rsid w:val="00DD1840"/>
    <w:rsid w:val="00DD1906"/>
    <w:rsid w:val="00DD2019"/>
    <w:rsid w:val="00DD24DE"/>
    <w:rsid w:val="00DD30F7"/>
    <w:rsid w:val="00DD3556"/>
    <w:rsid w:val="00DD4716"/>
    <w:rsid w:val="00DD6AEF"/>
    <w:rsid w:val="00DD6E0D"/>
    <w:rsid w:val="00DD6EFF"/>
    <w:rsid w:val="00DD7CE4"/>
    <w:rsid w:val="00DE26CB"/>
    <w:rsid w:val="00DE2EDC"/>
    <w:rsid w:val="00DE3951"/>
    <w:rsid w:val="00DE3E5C"/>
    <w:rsid w:val="00DE4AA3"/>
    <w:rsid w:val="00DE6FC3"/>
    <w:rsid w:val="00DF00A9"/>
    <w:rsid w:val="00DF0886"/>
    <w:rsid w:val="00DF1538"/>
    <w:rsid w:val="00DF3569"/>
    <w:rsid w:val="00DF3810"/>
    <w:rsid w:val="00DF4E1D"/>
    <w:rsid w:val="00DF589E"/>
    <w:rsid w:val="00DF74EC"/>
    <w:rsid w:val="00E0027B"/>
    <w:rsid w:val="00E00CE9"/>
    <w:rsid w:val="00E02343"/>
    <w:rsid w:val="00E0442B"/>
    <w:rsid w:val="00E04FE2"/>
    <w:rsid w:val="00E0554E"/>
    <w:rsid w:val="00E06D26"/>
    <w:rsid w:val="00E0728A"/>
    <w:rsid w:val="00E07BA0"/>
    <w:rsid w:val="00E11977"/>
    <w:rsid w:val="00E1275E"/>
    <w:rsid w:val="00E12F2F"/>
    <w:rsid w:val="00E15377"/>
    <w:rsid w:val="00E17474"/>
    <w:rsid w:val="00E201C7"/>
    <w:rsid w:val="00E213B3"/>
    <w:rsid w:val="00E218D7"/>
    <w:rsid w:val="00E22815"/>
    <w:rsid w:val="00E228DF"/>
    <w:rsid w:val="00E22CDD"/>
    <w:rsid w:val="00E2309A"/>
    <w:rsid w:val="00E2458B"/>
    <w:rsid w:val="00E25221"/>
    <w:rsid w:val="00E25A89"/>
    <w:rsid w:val="00E2618D"/>
    <w:rsid w:val="00E268C1"/>
    <w:rsid w:val="00E26F54"/>
    <w:rsid w:val="00E277CE"/>
    <w:rsid w:val="00E27F3C"/>
    <w:rsid w:val="00E33977"/>
    <w:rsid w:val="00E35175"/>
    <w:rsid w:val="00E4012E"/>
    <w:rsid w:val="00E40E39"/>
    <w:rsid w:val="00E412B4"/>
    <w:rsid w:val="00E4199F"/>
    <w:rsid w:val="00E41AE7"/>
    <w:rsid w:val="00E41B6E"/>
    <w:rsid w:val="00E420C9"/>
    <w:rsid w:val="00E42912"/>
    <w:rsid w:val="00E45840"/>
    <w:rsid w:val="00E45E11"/>
    <w:rsid w:val="00E52104"/>
    <w:rsid w:val="00E52F8D"/>
    <w:rsid w:val="00E53A42"/>
    <w:rsid w:val="00E5412C"/>
    <w:rsid w:val="00E54C89"/>
    <w:rsid w:val="00E5557D"/>
    <w:rsid w:val="00E55947"/>
    <w:rsid w:val="00E57847"/>
    <w:rsid w:val="00E57DF7"/>
    <w:rsid w:val="00E61563"/>
    <w:rsid w:val="00E62F2A"/>
    <w:rsid w:val="00E64F37"/>
    <w:rsid w:val="00E65BC6"/>
    <w:rsid w:val="00E66090"/>
    <w:rsid w:val="00E66F06"/>
    <w:rsid w:val="00E67FF4"/>
    <w:rsid w:val="00E70E62"/>
    <w:rsid w:val="00E71567"/>
    <w:rsid w:val="00E71FB4"/>
    <w:rsid w:val="00E75EB3"/>
    <w:rsid w:val="00E76106"/>
    <w:rsid w:val="00E76896"/>
    <w:rsid w:val="00E77F49"/>
    <w:rsid w:val="00E805BC"/>
    <w:rsid w:val="00E80DFF"/>
    <w:rsid w:val="00E80EAE"/>
    <w:rsid w:val="00E81C0D"/>
    <w:rsid w:val="00E81CB5"/>
    <w:rsid w:val="00E83A15"/>
    <w:rsid w:val="00E86695"/>
    <w:rsid w:val="00E87175"/>
    <w:rsid w:val="00E9110C"/>
    <w:rsid w:val="00E92AD6"/>
    <w:rsid w:val="00E92EC5"/>
    <w:rsid w:val="00E9340B"/>
    <w:rsid w:val="00E93744"/>
    <w:rsid w:val="00E94221"/>
    <w:rsid w:val="00E95D5F"/>
    <w:rsid w:val="00E968A5"/>
    <w:rsid w:val="00E975F4"/>
    <w:rsid w:val="00E9799E"/>
    <w:rsid w:val="00EA1BB7"/>
    <w:rsid w:val="00EA2234"/>
    <w:rsid w:val="00EA23FD"/>
    <w:rsid w:val="00EA3D4E"/>
    <w:rsid w:val="00EA5229"/>
    <w:rsid w:val="00EA770C"/>
    <w:rsid w:val="00EA7951"/>
    <w:rsid w:val="00EB09C5"/>
    <w:rsid w:val="00EB125B"/>
    <w:rsid w:val="00EB1CAF"/>
    <w:rsid w:val="00EB225B"/>
    <w:rsid w:val="00EB48D9"/>
    <w:rsid w:val="00EB4E65"/>
    <w:rsid w:val="00EB7278"/>
    <w:rsid w:val="00EB735B"/>
    <w:rsid w:val="00EB76B7"/>
    <w:rsid w:val="00EC008B"/>
    <w:rsid w:val="00EC017B"/>
    <w:rsid w:val="00EC101D"/>
    <w:rsid w:val="00EC1BF1"/>
    <w:rsid w:val="00EC3471"/>
    <w:rsid w:val="00EC45F8"/>
    <w:rsid w:val="00EC6917"/>
    <w:rsid w:val="00ED175D"/>
    <w:rsid w:val="00ED1890"/>
    <w:rsid w:val="00ED1A04"/>
    <w:rsid w:val="00ED2C72"/>
    <w:rsid w:val="00ED3201"/>
    <w:rsid w:val="00ED5521"/>
    <w:rsid w:val="00ED5972"/>
    <w:rsid w:val="00ED719E"/>
    <w:rsid w:val="00ED74AC"/>
    <w:rsid w:val="00EE19F8"/>
    <w:rsid w:val="00EE21A2"/>
    <w:rsid w:val="00EE3557"/>
    <w:rsid w:val="00EE4DE0"/>
    <w:rsid w:val="00EE4E5B"/>
    <w:rsid w:val="00EE589A"/>
    <w:rsid w:val="00EF0142"/>
    <w:rsid w:val="00EF034F"/>
    <w:rsid w:val="00EF05A4"/>
    <w:rsid w:val="00EF06A7"/>
    <w:rsid w:val="00EF07A7"/>
    <w:rsid w:val="00EF0FDC"/>
    <w:rsid w:val="00EF1087"/>
    <w:rsid w:val="00EF10E2"/>
    <w:rsid w:val="00EF2D9D"/>
    <w:rsid w:val="00EF3175"/>
    <w:rsid w:val="00EF4418"/>
    <w:rsid w:val="00EF4F1D"/>
    <w:rsid w:val="00EF510F"/>
    <w:rsid w:val="00EF5EB4"/>
    <w:rsid w:val="00EF7CE3"/>
    <w:rsid w:val="00F00937"/>
    <w:rsid w:val="00F00C8E"/>
    <w:rsid w:val="00F02B56"/>
    <w:rsid w:val="00F03062"/>
    <w:rsid w:val="00F04F68"/>
    <w:rsid w:val="00F06575"/>
    <w:rsid w:val="00F06A43"/>
    <w:rsid w:val="00F074FF"/>
    <w:rsid w:val="00F07822"/>
    <w:rsid w:val="00F07F78"/>
    <w:rsid w:val="00F10F54"/>
    <w:rsid w:val="00F14173"/>
    <w:rsid w:val="00F16F3D"/>
    <w:rsid w:val="00F207AA"/>
    <w:rsid w:val="00F2165E"/>
    <w:rsid w:val="00F21935"/>
    <w:rsid w:val="00F225F3"/>
    <w:rsid w:val="00F225FB"/>
    <w:rsid w:val="00F22D61"/>
    <w:rsid w:val="00F237B4"/>
    <w:rsid w:val="00F23B38"/>
    <w:rsid w:val="00F24017"/>
    <w:rsid w:val="00F24290"/>
    <w:rsid w:val="00F245C1"/>
    <w:rsid w:val="00F24735"/>
    <w:rsid w:val="00F24852"/>
    <w:rsid w:val="00F250FC"/>
    <w:rsid w:val="00F26FBD"/>
    <w:rsid w:val="00F27096"/>
    <w:rsid w:val="00F272FA"/>
    <w:rsid w:val="00F30082"/>
    <w:rsid w:val="00F321C3"/>
    <w:rsid w:val="00F32D05"/>
    <w:rsid w:val="00F3332C"/>
    <w:rsid w:val="00F352DE"/>
    <w:rsid w:val="00F40875"/>
    <w:rsid w:val="00F40DEF"/>
    <w:rsid w:val="00F41789"/>
    <w:rsid w:val="00F42455"/>
    <w:rsid w:val="00F43E0A"/>
    <w:rsid w:val="00F46D2F"/>
    <w:rsid w:val="00F50F83"/>
    <w:rsid w:val="00F527F8"/>
    <w:rsid w:val="00F5439B"/>
    <w:rsid w:val="00F569B6"/>
    <w:rsid w:val="00F57152"/>
    <w:rsid w:val="00F62BBA"/>
    <w:rsid w:val="00F63B6C"/>
    <w:rsid w:val="00F65AF3"/>
    <w:rsid w:val="00F65E74"/>
    <w:rsid w:val="00F6654D"/>
    <w:rsid w:val="00F66918"/>
    <w:rsid w:val="00F677CE"/>
    <w:rsid w:val="00F67B7E"/>
    <w:rsid w:val="00F70622"/>
    <w:rsid w:val="00F70D5A"/>
    <w:rsid w:val="00F72EB9"/>
    <w:rsid w:val="00F73439"/>
    <w:rsid w:val="00F74818"/>
    <w:rsid w:val="00F755DB"/>
    <w:rsid w:val="00F7640C"/>
    <w:rsid w:val="00F76698"/>
    <w:rsid w:val="00F769BE"/>
    <w:rsid w:val="00F76B60"/>
    <w:rsid w:val="00F77A66"/>
    <w:rsid w:val="00F800A2"/>
    <w:rsid w:val="00F818A0"/>
    <w:rsid w:val="00F8190B"/>
    <w:rsid w:val="00F81CD9"/>
    <w:rsid w:val="00F82197"/>
    <w:rsid w:val="00F83AC0"/>
    <w:rsid w:val="00F83FFB"/>
    <w:rsid w:val="00F84390"/>
    <w:rsid w:val="00F84A0E"/>
    <w:rsid w:val="00F84F12"/>
    <w:rsid w:val="00F851E3"/>
    <w:rsid w:val="00F860D0"/>
    <w:rsid w:val="00F90BD9"/>
    <w:rsid w:val="00F93254"/>
    <w:rsid w:val="00F9330A"/>
    <w:rsid w:val="00F94D33"/>
    <w:rsid w:val="00F9531C"/>
    <w:rsid w:val="00F958A3"/>
    <w:rsid w:val="00FA0111"/>
    <w:rsid w:val="00FA01D7"/>
    <w:rsid w:val="00FA056C"/>
    <w:rsid w:val="00FA1326"/>
    <w:rsid w:val="00FA196A"/>
    <w:rsid w:val="00FA315B"/>
    <w:rsid w:val="00FA4142"/>
    <w:rsid w:val="00FA4D97"/>
    <w:rsid w:val="00FA5E09"/>
    <w:rsid w:val="00FA5F48"/>
    <w:rsid w:val="00FA672F"/>
    <w:rsid w:val="00FA79AC"/>
    <w:rsid w:val="00FA7A0D"/>
    <w:rsid w:val="00FB135C"/>
    <w:rsid w:val="00FB1EBD"/>
    <w:rsid w:val="00FB1F2F"/>
    <w:rsid w:val="00FB2705"/>
    <w:rsid w:val="00FB2773"/>
    <w:rsid w:val="00FB3C67"/>
    <w:rsid w:val="00FB4EF6"/>
    <w:rsid w:val="00FB5745"/>
    <w:rsid w:val="00FB6299"/>
    <w:rsid w:val="00FB6859"/>
    <w:rsid w:val="00FB6B2A"/>
    <w:rsid w:val="00FB7098"/>
    <w:rsid w:val="00FC03B4"/>
    <w:rsid w:val="00FC348E"/>
    <w:rsid w:val="00FC4661"/>
    <w:rsid w:val="00FC4A50"/>
    <w:rsid w:val="00FC4A87"/>
    <w:rsid w:val="00FC5D16"/>
    <w:rsid w:val="00FC6088"/>
    <w:rsid w:val="00FC67E8"/>
    <w:rsid w:val="00FD140A"/>
    <w:rsid w:val="00FD147C"/>
    <w:rsid w:val="00FD16D2"/>
    <w:rsid w:val="00FD24E1"/>
    <w:rsid w:val="00FD38A8"/>
    <w:rsid w:val="00FD41A7"/>
    <w:rsid w:val="00FD5333"/>
    <w:rsid w:val="00FD5563"/>
    <w:rsid w:val="00FD5AEA"/>
    <w:rsid w:val="00FD63FB"/>
    <w:rsid w:val="00FD6BED"/>
    <w:rsid w:val="00FD76E7"/>
    <w:rsid w:val="00FE0F9A"/>
    <w:rsid w:val="00FE1A3B"/>
    <w:rsid w:val="00FE2AAE"/>
    <w:rsid w:val="00FE3127"/>
    <w:rsid w:val="00FE6261"/>
    <w:rsid w:val="00FF0BC3"/>
    <w:rsid w:val="00FF1C47"/>
    <w:rsid w:val="00FF3D9E"/>
    <w:rsid w:val="00FF43B6"/>
    <w:rsid w:val="00FF55D6"/>
    <w:rsid w:val="00FF5775"/>
    <w:rsid w:val="00FF6576"/>
    <w:rsid w:val="00FF6C20"/>
    <w:rsid w:val="00FF7345"/>
    <w:rsid w:val="430F21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227"/>
        <o:r id="V:Rule2" type="connector" idref="#_x0000_s1359"/>
        <o:r id="V:Rule3" type="connector" idref="#_x0000_s1360"/>
        <o:r id="V:Rule4" type="connector" idref="#_x0000_s1365"/>
        <o:r id="V:Rule5" type="connector" idref="#_x0000_s1366"/>
        <o:r id="V:Rule6" type="connector" idref="#_x0000_s1369"/>
        <o:r id="V:Rule7" type="connector" idref="#_x0000_s1370"/>
        <o:r id="V:Rule8" type="connector" idref="#_x0000_s1371"/>
        <o:r id="V:Rule9" type="connector" idref="#_x0000_s1375"/>
        <o:r id="V:Rule10" type="connector" idref="#_x0000_s1378"/>
        <o:r id="V:Rule11" type="connector" idref="#_x0000_s1381"/>
        <o:r id="V:Rule12" type="connector" idref="#_x0000_s1382"/>
        <o:r id="V:Rule13" type="connector" idref="#_x0000_s1384"/>
        <o:r id="V:Rule14" type="connector" idref="#_x0000_s1387"/>
        <o:r id="V:Rule15" type="connector" idref="#_x0000_s1388"/>
        <o:r id="V:Rule16" type="connector" idref="#_x0000_s1389"/>
        <o:r id="V:Rule17" type="connector" idref="#_x0000_s1395"/>
        <o:r id="V:Rule18" type="connector" idref="#_x0000_s1399"/>
        <o:r id="V:Rule19" type="connector" idref="#_x0000_s1436"/>
        <o:r id="V:Rule20" type="connector" idref="#_x0000_s1437"/>
        <o:r id="V:Rule21" type="connector" idref="#_x0000_s1438"/>
        <o:r id="V:Rule22" type="connector" idref="#_x0000_s1439"/>
        <o:r id="V:Rule23" type="connector" idref="#_x0000_s1440"/>
        <o:r id="V:Rule24" type="connector" idref="#_x0000_s1441"/>
        <o:r id="V:Rule25" type="connector" idref="#_x0000_s1442"/>
        <o:r id="V:Rule26" type="connector" idref="#_x0000_s1443"/>
        <o:r id="V:Rule27" type="connector" idref="#_x0000_s1444"/>
        <o:r id="V:Rule28" type="connector" idref="#_x0000_s1445"/>
        <o:r id="V:Rule29" type="connector" idref="#_x0000_s1446"/>
        <o:r id="V:Rule30" type="connector" idref="#_x0000_s1447"/>
        <o:r id="V:Rule31" type="connector" idref="#_x0000_s1448"/>
        <o:r id="V:Rule32" type="connector" idref="#_x0000_s1449"/>
        <o:r id="V:Rule33" type="connector" idref="#_x0000_s1450"/>
        <o:r id="V:Rule34" type="connector" idref="#_x0000_s1451"/>
        <o:r id="V:Rule35" type="connector" idref="#_x0000_s1528"/>
        <o:r id="V:Rule36" type="connector" idref="#_x0000_s1536"/>
        <o:r id="V:Rule37" type="connector" idref="#_x0000_s1559"/>
        <o:r id="V:Rule38" type="connector" idref="#_x0000_s1562"/>
        <o:r id="V:Rule39" type="connector" idref="#_x0000_s1563"/>
        <o:r id="V:Rule40" type="connector" idref="#_x0000_s1564"/>
        <o:r id="V:Rule41" type="connector" idref="#_x0000_s1565"/>
        <o:r id="V:Rule42" type="connector" idref="#_x0000_s1588"/>
        <o:r id="V:Rule43" type="connector" idref="#_x0000_s1591"/>
        <o:r id="V:Rule44" type="connector" idref="#_x0000_s1592"/>
        <o:r id="V:Rule45" type="connector" idref="#_x0000_s1593"/>
        <o:r id="V:Rule46" type="connector" idref="#_x0000_s1594"/>
        <o:r id="V:Rule47" type="connector" idref="#_x0000_s1676"/>
        <o:r id="V:Rule48" type="connector" idref="#_x0000_s1677"/>
        <o:r id="V:Rule49" type="connector" idref="#_x0000_s1682"/>
        <o:r id="V:Rule50" type="connector" idref="#_x0000_s1683"/>
        <o:r id="V:Rule51" type="connector" idref="#_x0000_s1685"/>
        <o:r id="V:Rule52" type="connector" idref="#_x0000_s1686"/>
        <o:r id="V:Rule53" type="connector" idref="#_x0000_s1687"/>
        <o:r id="V:Rule54" type="connector" idref="#_x0000_s1691"/>
        <o:r id="V:Rule55" type="connector" idref="#_x0000_s1694"/>
        <o:r id="V:Rule56" type="connector" idref="#_x0000_s1697"/>
        <o:r id="V:Rule57" type="connector" idref="#_x0000_s1698"/>
        <o:r id="V:Rule58" type="connector" idref="#_x0000_s1700"/>
        <o:r id="V:Rule59" type="connector" idref="#_x0000_s1703"/>
        <o:r id="V:Rule60" type="connector" idref="#_x0000_s1704"/>
        <o:r id="V:Rule61" type="connector" idref="#_x0000_s1705"/>
        <o:r id="V:Rule62" type="connector" idref="#_x0000_s1708"/>
        <o:r id="V:Rule63" type="connector" idref="#_x0000_s1710"/>
        <o:r id="V:Rule64" type="connector" idref="#_x0000_s1714"/>
        <o:r id="V:Rule65" type="connector" idref="#_x0000_s1717"/>
        <o:r id="V:Rule66" type="connector" idref="#_x0000_s1718"/>
        <o:r id="V:Rule67" type="connector" idref="#_x0000_s1719"/>
        <o:r id="V:Rule68" type="connector" idref="#_x0000_s1720"/>
        <o:r id="V:Rule69" type="connector" idref="#_x0000_s178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uiPriority="39" w:semiHidden="0" w:name="toc 9"/>
    <w:lsdException w:qFormat="1" w:unhideWhenUsed="0" w:uiPriority="0" w:semiHidden="0" w:name="Normal Indent"/>
    <w:lsdException w:uiPriority="99" w:name="footnote text"/>
    <w:lsdException w:uiPriority="99" w:name="annotation text"/>
    <w:lsdException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0" w:semiHidden="0"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5"/>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4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9">
    <w:name w:val="Default Paragraph Font"/>
    <w:semiHidden/>
    <w:unhideWhenUsed/>
    <w:uiPriority w:val="1"/>
  </w:style>
  <w:style w:type="table" w:default="1" w:styleId="27">
    <w:name w:val="Normal Table"/>
    <w:semiHidden/>
    <w:unhideWhenUsed/>
    <w:qFormat/>
    <w:uiPriority w:val="99"/>
    <w:tblPr>
      <w:tblLayout w:type="fixed"/>
      <w:tblCellMar>
        <w:top w:w="0" w:type="dxa"/>
        <w:left w:w="108" w:type="dxa"/>
        <w:bottom w:w="0" w:type="dxa"/>
        <w:right w:w="108" w:type="dxa"/>
      </w:tblCellMar>
    </w:tblPr>
  </w:style>
  <w:style w:type="paragraph" w:styleId="6">
    <w:name w:val="toc 7"/>
    <w:basedOn w:val="1"/>
    <w:next w:val="1"/>
    <w:unhideWhenUsed/>
    <w:qFormat/>
    <w:uiPriority w:val="39"/>
    <w:pPr>
      <w:ind w:left="1260"/>
      <w:jc w:val="left"/>
    </w:pPr>
    <w:rPr>
      <w:sz w:val="18"/>
      <w:szCs w:val="18"/>
    </w:rPr>
  </w:style>
  <w:style w:type="paragraph" w:styleId="7">
    <w:name w:val="Normal Indent"/>
    <w:basedOn w:val="1"/>
    <w:link w:val="52"/>
    <w:qFormat/>
    <w:uiPriority w:val="0"/>
    <w:pPr>
      <w:ind w:firstLine="420"/>
    </w:pPr>
  </w:style>
  <w:style w:type="paragraph" w:styleId="8">
    <w:name w:val="List Bullet"/>
    <w:basedOn w:val="1"/>
    <w:unhideWhenUsed/>
    <w:qFormat/>
    <w:uiPriority w:val="99"/>
    <w:pPr>
      <w:numPr>
        <w:ilvl w:val="0"/>
        <w:numId w:val="1"/>
      </w:numPr>
      <w:contextualSpacing/>
    </w:pPr>
  </w:style>
  <w:style w:type="paragraph" w:styleId="9">
    <w:name w:val="Body Text"/>
    <w:basedOn w:val="1"/>
    <w:link w:val="47"/>
    <w:qFormat/>
    <w:uiPriority w:val="0"/>
    <w:pPr>
      <w:spacing w:after="120"/>
    </w:pPr>
    <w:rPr>
      <w:rFonts w:ascii="Times New Roman" w:hAnsi="Times New Roman" w:eastAsia="宋体" w:cs="Times New Roman"/>
      <w:szCs w:val="24"/>
    </w:rPr>
  </w:style>
  <w:style w:type="paragraph" w:styleId="10">
    <w:name w:val="Body Text Indent"/>
    <w:basedOn w:val="1"/>
    <w:link w:val="53"/>
    <w:unhideWhenUsed/>
    <w:uiPriority w:val="99"/>
    <w:pPr>
      <w:spacing w:after="120"/>
      <w:ind w:left="420" w:leftChars="200"/>
    </w:pPr>
  </w:style>
  <w:style w:type="paragraph" w:styleId="11">
    <w:name w:val="toc 5"/>
    <w:basedOn w:val="1"/>
    <w:next w:val="1"/>
    <w:unhideWhenUsed/>
    <w:qFormat/>
    <w:uiPriority w:val="39"/>
    <w:pPr>
      <w:ind w:left="840"/>
      <w:jc w:val="left"/>
    </w:pPr>
    <w:rPr>
      <w:sz w:val="18"/>
      <w:szCs w:val="18"/>
    </w:rPr>
  </w:style>
  <w:style w:type="paragraph" w:styleId="12">
    <w:name w:val="toc 3"/>
    <w:basedOn w:val="1"/>
    <w:next w:val="1"/>
    <w:unhideWhenUsed/>
    <w:qFormat/>
    <w:uiPriority w:val="39"/>
    <w:pPr>
      <w:ind w:left="420"/>
      <w:jc w:val="left"/>
    </w:pPr>
    <w:rPr>
      <w:i/>
      <w:iCs/>
      <w:sz w:val="20"/>
      <w:szCs w:val="20"/>
    </w:rPr>
  </w:style>
  <w:style w:type="paragraph" w:styleId="13">
    <w:name w:val="toc 8"/>
    <w:basedOn w:val="1"/>
    <w:next w:val="1"/>
    <w:unhideWhenUsed/>
    <w:qFormat/>
    <w:uiPriority w:val="39"/>
    <w:pPr>
      <w:ind w:left="1470"/>
      <w:jc w:val="left"/>
    </w:pPr>
    <w:rPr>
      <w:sz w:val="18"/>
      <w:szCs w:val="18"/>
    </w:rPr>
  </w:style>
  <w:style w:type="paragraph" w:styleId="14">
    <w:name w:val="Date"/>
    <w:basedOn w:val="1"/>
    <w:next w:val="1"/>
    <w:link w:val="38"/>
    <w:unhideWhenUsed/>
    <w:uiPriority w:val="0"/>
    <w:pPr>
      <w:ind w:left="100" w:leftChars="2500"/>
    </w:pPr>
  </w:style>
  <w:style w:type="paragraph" w:styleId="15">
    <w:name w:val="Body Text Indent 2"/>
    <w:basedOn w:val="1"/>
    <w:link w:val="57"/>
    <w:qFormat/>
    <w:uiPriority w:val="0"/>
    <w:pPr>
      <w:spacing w:line="264" w:lineRule="auto"/>
      <w:ind w:firstLine="482"/>
    </w:pPr>
    <w:rPr>
      <w:rFonts w:ascii="宋体" w:hAnsi="Times New Roman" w:eastAsia="宋体" w:cs="Times New Roman"/>
      <w:sz w:val="24"/>
      <w:szCs w:val="20"/>
    </w:rPr>
  </w:style>
  <w:style w:type="paragraph" w:styleId="16">
    <w:name w:val="Balloon Text"/>
    <w:basedOn w:val="1"/>
    <w:link w:val="37"/>
    <w:semiHidden/>
    <w:unhideWhenUsed/>
    <w:qFormat/>
    <w:uiPriority w:val="99"/>
    <w:rPr>
      <w:sz w:val="18"/>
      <w:szCs w:val="18"/>
    </w:rPr>
  </w:style>
  <w:style w:type="paragraph" w:styleId="17">
    <w:name w:val="footer"/>
    <w:basedOn w:val="1"/>
    <w:link w:val="32"/>
    <w:unhideWhenUsed/>
    <w:qFormat/>
    <w:uiPriority w:val="99"/>
    <w:pPr>
      <w:tabs>
        <w:tab w:val="center" w:pos="4153"/>
        <w:tab w:val="right" w:pos="8306"/>
      </w:tabs>
      <w:snapToGrid w:val="0"/>
      <w:jc w:val="left"/>
    </w:pPr>
    <w:rPr>
      <w:sz w:val="18"/>
      <w:szCs w:val="18"/>
    </w:rPr>
  </w:style>
  <w:style w:type="paragraph" w:styleId="18">
    <w:name w:val="header"/>
    <w:basedOn w:val="1"/>
    <w:link w:val="31"/>
    <w:unhideWhenUsed/>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spacing w:before="120" w:after="120"/>
      <w:jc w:val="left"/>
    </w:pPr>
    <w:rPr>
      <w:b/>
      <w:bCs/>
      <w:caps/>
      <w:sz w:val="20"/>
      <w:szCs w:val="20"/>
    </w:rPr>
  </w:style>
  <w:style w:type="paragraph" w:styleId="20">
    <w:name w:val="toc 4"/>
    <w:basedOn w:val="1"/>
    <w:next w:val="1"/>
    <w:unhideWhenUsed/>
    <w:qFormat/>
    <w:uiPriority w:val="39"/>
    <w:pPr>
      <w:ind w:left="630"/>
      <w:jc w:val="left"/>
    </w:pPr>
    <w:rPr>
      <w:sz w:val="18"/>
      <w:szCs w:val="18"/>
    </w:rPr>
  </w:style>
  <w:style w:type="paragraph" w:styleId="21">
    <w:name w:val="toc 6"/>
    <w:basedOn w:val="1"/>
    <w:next w:val="1"/>
    <w:unhideWhenUsed/>
    <w:qFormat/>
    <w:uiPriority w:val="39"/>
    <w:pPr>
      <w:ind w:left="1050"/>
      <w:jc w:val="left"/>
    </w:pPr>
    <w:rPr>
      <w:sz w:val="18"/>
      <w:szCs w:val="18"/>
    </w:rPr>
  </w:style>
  <w:style w:type="paragraph" w:styleId="22">
    <w:name w:val="Body Text Indent 3"/>
    <w:basedOn w:val="1"/>
    <w:link w:val="59"/>
    <w:semiHidden/>
    <w:unhideWhenUsed/>
    <w:uiPriority w:val="99"/>
    <w:pPr>
      <w:spacing w:after="120"/>
      <w:ind w:left="420" w:leftChars="200"/>
    </w:pPr>
    <w:rPr>
      <w:sz w:val="16"/>
      <w:szCs w:val="16"/>
    </w:rPr>
  </w:style>
  <w:style w:type="paragraph" w:styleId="23">
    <w:name w:val="toc 2"/>
    <w:basedOn w:val="1"/>
    <w:next w:val="1"/>
    <w:unhideWhenUsed/>
    <w:qFormat/>
    <w:uiPriority w:val="39"/>
    <w:pPr>
      <w:ind w:left="210"/>
      <w:jc w:val="left"/>
    </w:pPr>
    <w:rPr>
      <w:smallCaps/>
      <w:sz w:val="20"/>
      <w:szCs w:val="20"/>
    </w:rPr>
  </w:style>
  <w:style w:type="paragraph" w:styleId="24">
    <w:name w:val="toc 9"/>
    <w:basedOn w:val="1"/>
    <w:next w:val="1"/>
    <w:unhideWhenUsed/>
    <w:uiPriority w:val="39"/>
    <w:pPr>
      <w:ind w:left="1680"/>
      <w:jc w:val="left"/>
    </w:pPr>
    <w:rPr>
      <w:sz w:val="18"/>
      <w:szCs w:val="18"/>
    </w:rPr>
  </w:style>
  <w:style w:type="paragraph" w:styleId="25">
    <w:name w:val="HTML Preformatted"/>
    <w:basedOn w:val="1"/>
    <w:link w:val="58"/>
    <w:semiHidden/>
    <w:unhideWhenUsed/>
    <w:qFormat/>
    <w:uiPriority w:val="99"/>
    <w:rPr>
      <w:rFonts w:ascii="Courier New" w:hAnsi="Courier New" w:cs="Courier New"/>
      <w:sz w:val="20"/>
      <w:szCs w:val="20"/>
    </w:rPr>
  </w:style>
  <w:style w:type="paragraph" w:styleId="26">
    <w:name w:val="Body Text First Indent"/>
    <w:basedOn w:val="9"/>
    <w:link w:val="55"/>
    <w:semiHidden/>
    <w:unhideWhenUsed/>
    <w:qFormat/>
    <w:uiPriority w:val="99"/>
    <w:pPr>
      <w:ind w:firstLine="420" w:firstLineChars="100"/>
    </w:pPr>
    <w:rPr>
      <w:rFonts w:asciiTheme="minorHAnsi" w:hAnsiTheme="minorHAnsi" w:eastAsiaTheme="minorEastAsia" w:cstheme="minorBidi"/>
      <w:szCs w:val="22"/>
    </w:r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30">
    <w:name w:val="Hyperlink"/>
    <w:basedOn w:val="29"/>
    <w:unhideWhenUsed/>
    <w:qFormat/>
    <w:uiPriority w:val="99"/>
    <w:rPr>
      <w:color w:val="0000FF" w:themeColor="hyperlink"/>
      <w:u w:val="single"/>
    </w:rPr>
  </w:style>
  <w:style w:type="character" w:customStyle="1" w:styleId="31">
    <w:name w:val="页眉 Char"/>
    <w:basedOn w:val="29"/>
    <w:link w:val="18"/>
    <w:uiPriority w:val="99"/>
    <w:rPr>
      <w:sz w:val="18"/>
      <w:szCs w:val="18"/>
    </w:rPr>
  </w:style>
  <w:style w:type="character" w:customStyle="1" w:styleId="32">
    <w:name w:val="页脚 Char"/>
    <w:basedOn w:val="29"/>
    <w:link w:val="17"/>
    <w:qFormat/>
    <w:uiPriority w:val="99"/>
    <w:rPr>
      <w:sz w:val="18"/>
      <w:szCs w:val="18"/>
    </w:rPr>
  </w:style>
  <w:style w:type="character" w:customStyle="1" w:styleId="33">
    <w:name w:val="标题 1 Char"/>
    <w:basedOn w:val="29"/>
    <w:link w:val="2"/>
    <w:qFormat/>
    <w:uiPriority w:val="9"/>
    <w:rPr>
      <w:b/>
      <w:bCs/>
      <w:kern w:val="44"/>
      <w:sz w:val="44"/>
      <w:szCs w:val="44"/>
    </w:rPr>
  </w:style>
  <w:style w:type="character" w:customStyle="1" w:styleId="34">
    <w:name w:val="标题 2 Char"/>
    <w:basedOn w:val="29"/>
    <w:link w:val="3"/>
    <w:qFormat/>
    <w:uiPriority w:val="9"/>
    <w:rPr>
      <w:rFonts w:asciiTheme="majorHAnsi" w:hAnsiTheme="majorHAnsi" w:eastAsiaTheme="majorEastAsia" w:cstheme="majorBidi"/>
      <w:b/>
      <w:bCs/>
      <w:sz w:val="32"/>
      <w:szCs w:val="32"/>
    </w:rPr>
  </w:style>
  <w:style w:type="character" w:customStyle="1" w:styleId="35">
    <w:name w:val="标题 3 Char"/>
    <w:basedOn w:val="29"/>
    <w:link w:val="4"/>
    <w:qFormat/>
    <w:uiPriority w:val="9"/>
    <w:rPr>
      <w:b/>
      <w:bCs/>
      <w:sz w:val="32"/>
      <w:szCs w:val="32"/>
    </w:rPr>
  </w:style>
  <w:style w:type="character" w:styleId="36">
    <w:name w:val="Placeholder Text"/>
    <w:basedOn w:val="29"/>
    <w:semiHidden/>
    <w:qFormat/>
    <w:uiPriority w:val="99"/>
    <w:rPr>
      <w:color w:val="808080"/>
    </w:rPr>
  </w:style>
  <w:style w:type="character" w:customStyle="1" w:styleId="37">
    <w:name w:val="批注框文本 Char"/>
    <w:basedOn w:val="29"/>
    <w:link w:val="16"/>
    <w:semiHidden/>
    <w:qFormat/>
    <w:uiPriority w:val="99"/>
    <w:rPr>
      <w:sz w:val="18"/>
      <w:szCs w:val="18"/>
    </w:rPr>
  </w:style>
  <w:style w:type="character" w:customStyle="1" w:styleId="38">
    <w:name w:val="日期 Char"/>
    <w:basedOn w:val="29"/>
    <w:link w:val="14"/>
    <w:uiPriority w:val="0"/>
  </w:style>
  <w:style w:type="paragraph" w:customStyle="1" w:styleId="39">
    <w:name w:val="表格正文"/>
    <w:basedOn w:val="1"/>
    <w:uiPriority w:val="0"/>
    <w:pPr>
      <w:spacing w:line="360" w:lineRule="exact"/>
      <w:jc w:val="center"/>
    </w:pPr>
    <w:rPr>
      <w:rFonts w:ascii="Times New Roman" w:hAnsi="Times New Roman" w:eastAsia="宋体" w:cs="Times New Roman"/>
      <w:szCs w:val="20"/>
    </w:rPr>
  </w:style>
  <w:style w:type="character" w:customStyle="1" w:styleId="40">
    <w:name w:val="标题 4 Char"/>
    <w:basedOn w:val="29"/>
    <w:link w:val="5"/>
    <w:uiPriority w:val="9"/>
    <w:rPr>
      <w:rFonts w:asciiTheme="majorHAnsi" w:hAnsiTheme="majorHAnsi" w:eastAsiaTheme="majorEastAsia" w:cstheme="majorBidi"/>
      <w:b/>
      <w:bCs/>
      <w:sz w:val="28"/>
      <w:szCs w:val="28"/>
    </w:rPr>
  </w:style>
  <w:style w:type="table" w:customStyle="1" w:styleId="41">
    <w:name w:val="灰度表格1"/>
    <w:basedOn w:val="27"/>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42">
    <w:name w:val="样式3"/>
    <w:basedOn w:val="1"/>
    <w:link w:val="43"/>
    <w:qFormat/>
    <w:uiPriority w:val="0"/>
    <w:pPr>
      <w:jc w:val="center"/>
    </w:pPr>
    <w:rPr>
      <w:rFonts w:ascii="Calibri Light" w:hAnsi="Calibri Light" w:eastAsia="Calibri Light" w:cs="楷体_GB2312"/>
      <w:b/>
      <w:sz w:val="24"/>
      <w:szCs w:val="24"/>
    </w:rPr>
  </w:style>
  <w:style w:type="character" w:customStyle="1" w:styleId="43">
    <w:name w:val="样式3 Char"/>
    <w:link w:val="42"/>
    <w:qFormat/>
    <w:uiPriority w:val="0"/>
    <w:rPr>
      <w:rFonts w:ascii="Calibri Light" w:hAnsi="Calibri Light" w:eastAsia="Calibri Light" w:cs="楷体_GB2312"/>
      <w:b/>
      <w:sz w:val="24"/>
      <w:szCs w:val="24"/>
    </w:rPr>
  </w:style>
  <w:style w:type="paragraph" w:customStyle="1" w:styleId="44">
    <w:name w:val="表内"/>
    <w:basedOn w:val="1"/>
    <w:qFormat/>
    <w:uiPriority w:val="0"/>
    <w:pPr>
      <w:jc w:val="center"/>
    </w:pPr>
    <w:rPr>
      <w:rFonts w:ascii="Times New Roman" w:hAnsi="Times New Roman" w:eastAsia="宋体" w:cs="Times New Roman"/>
      <w:szCs w:val="24"/>
    </w:rPr>
  </w:style>
  <w:style w:type="paragraph" w:customStyle="1" w:styleId="45">
    <w:name w:val="正文内容"/>
    <w:basedOn w:val="1"/>
    <w:link w:val="46"/>
    <w:qFormat/>
    <w:uiPriority w:val="0"/>
    <w:pPr>
      <w:spacing w:line="360" w:lineRule="auto"/>
      <w:ind w:firstLine="200" w:firstLineChars="200"/>
    </w:pPr>
    <w:rPr>
      <w:rFonts w:ascii="宋体" w:hAnsi="Times New Roman" w:eastAsia="宋体" w:cs="Times New Roman"/>
      <w:sz w:val="24"/>
      <w:szCs w:val="20"/>
    </w:rPr>
  </w:style>
  <w:style w:type="character" w:customStyle="1" w:styleId="46">
    <w:name w:val="正文内容 Char"/>
    <w:basedOn w:val="29"/>
    <w:link w:val="45"/>
    <w:qFormat/>
    <w:uiPriority w:val="0"/>
    <w:rPr>
      <w:rFonts w:ascii="宋体" w:hAnsi="Times New Roman" w:eastAsia="宋体" w:cs="Times New Roman"/>
      <w:sz w:val="24"/>
      <w:szCs w:val="20"/>
    </w:rPr>
  </w:style>
  <w:style w:type="character" w:customStyle="1" w:styleId="47">
    <w:name w:val="正文文本 Char"/>
    <w:basedOn w:val="29"/>
    <w:link w:val="9"/>
    <w:qFormat/>
    <w:uiPriority w:val="0"/>
    <w:rPr>
      <w:rFonts w:ascii="Times New Roman" w:hAnsi="Times New Roman" w:eastAsia="宋体" w:cs="Times New Roman"/>
      <w:szCs w:val="24"/>
    </w:rPr>
  </w:style>
  <w:style w:type="paragraph" w:customStyle="1" w:styleId="48">
    <w:name w:val="表格标题"/>
    <w:basedOn w:val="1"/>
    <w:qFormat/>
    <w:uiPriority w:val="0"/>
    <w:pPr>
      <w:overflowPunct w:val="0"/>
      <w:topLinePunct/>
      <w:autoSpaceDE w:val="0"/>
      <w:autoSpaceDN w:val="0"/>
      <w:adjustRightInd w:val="0"/>
      <w:snapToGrid w:val="0"/>
      <w:spacing w:line="520" w:lineRule="exact"/>
      <w:ind w:firstLine="567"/>
      <w:textAlignment w:val="baseline"/>
    </w:pPr>
    <w:rPr>
      <w:rFonts w:ascii="Times New Roman" w:hAnsi="Times New Roman" w:eastAsia="黑体" w:cs="Times New Roman"/>
      <w:b/>
      <w:spacing w:val="6"/>
      <w:kern w:val="0"/>
      <w:szCs w:val="20"/>
    </w:rPr>
  </w:style>
  <w:style w:type="paragraph" w:customStyle="1" w:styleId="49">
    <w:name w:val="武正文"/>
    <w:basedOn w:val="1"/>
    <w:uiPriority w:val="0"/>
    <w:pPr>
      <w:spacing w:line="360" w:lineRule="auto"/>
      <w:ind w:firstLine="200" w:firstLineChars="200"/>
    </w:pPr>
    <w:rPr>
      <w:rFonts w:ascii="Times New Roman" w:hAnsi="Times New Roman" w:eastAsia="宋体" w:cs="Times New Roman"/>
      <w:color w:val="000000"/>
      <w:sz w:val="24"/>
      <w:szCs w:val="24"/>
    </w:rPr>
  </w:style>
  <w:style w:type="paragraph" w:styleId="50">
    <w:name w:val="List Paragraph"/>
    <w:basedOn w:val="1"/>
    <w:qFormat/>
    <w:uiPriority w:val="34"/>
    <w:pPr>
      <w:ind w:firstLine="420" w:firstLineChars="200"/>
    </w:pPr>
  </w:style>
  <w:style w:type="paragraph" w:customStyle="1" w:styleId="51">
    <w:name w:val="正文（林诺）"/>
    <w:basedOn w:val="1"/>
    <w:qFormat/>
    <w:uiPriority w:val="0"/>
    <w:pPr>
      <w:tabs>
        <w:tab w:val="left" w:pos="8277"/>
      </w:tabs>
      <w:spacing w:line="540" w:lineRule="exact"/>
      <w:ind w:firstLine="480"/>
    </w:pPr>
    <w:rPr>
      <w:rFonts w:ascii="宋体" w:hAnsi="宋体" w:eastAsia="宋体" w:cs="宋体"/>
      <w:color w:val="000000"/>
      <w:kern w:val="1"/>
      <w:sz w:val="24"/>
      <w:szCs w:val="24"/>
    </w:rPr>
  </w:style>
  <w:style w:type="character" w:customStyle="1" w:styleId="52">
    <w:name w:val="正文缩进 Char"/>
    <w:link w:val="7"/>
    <w:qFormat/>
    <w:uiPriority w:val="0"/>
  </w:style>
  <w:style w:type="character" w:customStyle="1" w:styleId="53">
    <w:name w:val="正文文本缩进 Char"/>
    <w:basedOn w:val="29"/>
    <w:link w:val="10"/>
    <w:qFormat/>
    <w:uiPriority w:val="99"/>
  </w:style>
  <w:style w:type="paragraph" w:customStyle="1" w:styleId="54">
    <w:name w:val="表"/>
    <w:qFormat/>
    <w:uiPriority w:val="0"/>
    <w:pPr>
      <w:spacing w:line="240" w:lineRule="atLeast"/>
      <w:jc w:val="center"/>
    </w:pPr>
    <w:rPr>
      <w:rFonts w:ascii="Times New Roman" w:hAnsi="Times New Roman" w:eastAsia="宋体" w:cs="Times New Roman"/>
      <w:b/>
      <w:kern w:val="0"/>
      <w:sz w:val="21"/>
      <w:szCs w:val="20"/>
      <w:lang w:val="en-US" w:eastAsia="zh-CN" w:bidi="ar-SA"/>
    </w:rPr>
  </w:style>
  <w:style w:type="character" w:customStyle="1" w:styleId="55">
    <w:name w:val="正文首行缩进 Char"/>
    <w:basedOn w:val="47"/>
    <w:link w:val="26"/>
    <w:semiHidden/>
    <w:qFormat/>
    <w:uiPriority w:val="99"/>
    <w:rPr>
      <w:rFonts w:ascii="Times New Roman" w:hAnsi="Times New Roman" w:eastAsia="宋体" w:cs="Times New Roman"/>
      <w:szCs w:val="24"/>
    </w:rPr>
  </w:style>
  <w:style w:type="table" w:customStyle="1" w:styleId="56">
    <w:name w:val="灰度表格2"/>
    <w:basedOn w:val="27"/>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57">
    <w:name w:val="正文文本缩进 2 Char"/>
    <w:basedOn w:val="29"/>
    <w:link w:val="15"/>
    <w:qFormat/>
    <w:uiPriority w:val="0"/>
    <w:rPr>
      <w:rFonts w:ascii="宋体" w:hAnsi="Times New Roman" w:eastAsia="宋体" w:cs="Times New Roman"/>
      <w:sz w:val="24"/>
      <w:szCs w:val="20"/>
    </w:rPr>
  </w:style>
  <w:style w:type="character" w:customStyle="1" w:styleId="58">
    <w:name w:val="HTML 预设格式 Char"/>
    <w:basedOn w:val="29"/>
    <w:link w:val="25"/>
    <w:semiHidden/>
    <w:qFormat/>
    <w:uiPriority w:val="99"/>
    <w:rPr>
      <w:rFonts w:ascii="Courier New" w:hAnsi="Courier New" w:cs="Courier New"/>
      <w:sz w:val="20"/>
      <w:szCs w:val="20"/>
    </w:rPr>
  </w:style>
  <w:style w:type="character" w:customStyle="1" w:styleId="59">
    <w:name w:val="正文文本缩进 3 Char"/>
    <w:basedOn w:val="29"/>
    <w:link w:val="22"/>
    <w:semiHidden/>
    <w:qFormat/>
    <w:uiPriority w:val="99"/>
    <w:rPr>
      <w:sz w:val="16"/>
      <w:szCs w:val="16"/>
    </w:rPr>
  </w:style>
  <w:style w:type="table" w:customStyle="1" w:styleId="60">
    <w:name w:val="灰度表格3"/>
    <w:basedOn w:val="27"/>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61">
    <w:name w:val="灰度表格4"/>
    <w:basedOn w:val="27"/>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62">
    <w:name w:val="样式 标题 3标题 3 Char Char Char + 段前: 0.5 行 段后: 0.5 行"/>
    <w:basedOn w:val="4"/>
    <w:qFormat/>
    <w:uiPriority w:val="0"/>
    <w:pPr>
      <w:spacing w:before="120" w:after="120" w:line="360" w:lineRule="auto"/>
    </w:pPr>
    <w:rPr>
      <w:rFonts w:ascii="Times New Roman" w:hAnsi="Times New Roman" w:eastAsia="黑体" w:cs="宋体"/>
      <w:b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footer" Target="footer2.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28.png"/><Relationship Id="rId56" Type="http://schemas.openxmlformats.org/officeDocument/2006/relationships/image" Target="media/image27.png"/><Relationship Id="rId55" Type="http://schemas.openxmlformats.org/officeDocument/2006/relationships/image" Target="media/image26.png"/><Relationship Id="rId54" Type="http://schemas.openxmlformats.org/officeDocument/2006/relationships/image" Target="media/image25.png"/><Relationship Id="rId53" Type="http://schemas.openxmlformats.org/officeDocument/2006/relationships/image" Target="media/image24.png"/><Relationship Id="rId52" Type="http://schemas.openxmlformats.org/officeDocument/2006/relationships/image" Target="media/image23.png"/><Relationship Id="rId51" Type="http://schemas.openxmlformats.org/officeDocument/2006/relationships/image" Target="media/image22.wmf"/><Relationship Id="rId50" Type="http://schemas.openxmlformats.org/officeDocument/2006/relationships/oleObject" Target="embeddings/oleObject20.bin"/><Relationship Id="rId5" Type="http://schemas.openxmlformats.org/officeDocument/2006/relationships/header" Target="header2.xml"/><Relationship Id="rId49" Type="http://schemas.openxmlformats.org/officeDocument/2006/relationships/image" Target="media/image21.jpeg"/><Relationship Id="rId48" Type="http://schemas.openxmlformats.org/officeDocument/2006/relationships/image" Target="media/image20.wmf"/><Relationship Id="rId47" Type="http://schemas.openxmlformats.org/officeDocument/2006/relationships/oleObject" Target="embeddings/oleObject19.bin"/><Relationship Id="rId46" Type="http://schemas.openxmlformats.org/officeDocument/2006/relationships/image" Target="media/image19.wmf"/><Relationship Id="rId45" Type="http://schemas.openxmlformats.org/officeDocument/2006/relationships/oleObject" Target="embeddings/oleObject18.bin"/><Relationship Id="rId44" Type="http://schemas.openxmlformats.org/officeDocument/2006/relationships/image" Target="media/image18.wmf"/><Relationship Id="rId43" Type="http://schemas.openxmlformats.org/officeDocument/2006/relationships/oleObject" Target="embeddings/oleObject17.bin"/><Relationship Id="rId42" Type="http://schemas.openxmlformats.org/officeDocument/2006/relationships/image" Target="media/image17.wmf"/><Relationship Id="rId41" Type="http://schemas.openxmlformats.org/officeDocument/2006/relationships/oleObject" Target="embeddings/oleObject16.bin"/><Relationship Id="rId40" Type="http://schemas.openxmlformats.org/officeDocument/2006/relationships/image" Target="media/image16.wmf"/><Relationship Id="rId4" Type="http://schemas.openxmlformats.org/officeDocument/2006/relationships/footer" Target="footer1.xml"/><Relationship Id="rId39" Type="http://schemas.openxmlformats.org/officeDocument/2006/relationships/oleObject" Target="embeddings/oleObject15.bin"/><Relationship Id="rId38" Type="http://schemas.openxmlformats.org/officeDocument/2006/relationships/image" Target="media/image15.wmf"/><Relationship Id="rId37" Type="http://schemas.openxmlformats.org/officeDocument/2006/relationships/oleObject" Target="embeddings/oleObject14.bin"/><Relationship Id="rId36" Type="http://schemas.openxmlformats.org/officeDocument/2006/relationships/image" Target="media/image14.wmf"/><Relationship Id="rId35" Type="http://schemas.openxmlformats.org/officeDocument/2006/relationships/oleObject" Target="embeddings/oleObject13.bin"/><Relationship Id="rId34" Type="http://schemas.openxmlformats.org/officeDocument/2006/relationships/image" Target="media/image13.wmf"/><Relationship Id="rId33" Type="http://schemas.openxmlformats.org/officeDocument/2006/relationships/oleObject" Target="embeddings/oleObject12.bin"/><Relationship Id="rId32" Type="http://schemas.openxmlformats.org/officeDocument/2006/relationships/image" Target="media/image12.wmf"/><Relationship Id="rId31" Type="http://schemas.openxmlformats.org/officeDocument/2006/relationships/oleObject" Target="embeddings/oleObject11.bin"/><Relationship Id="rId30" Type="http://schemas.openxmlformats.org/officeDocument/2006/relationships/image" Target="media/image11.wmf"/><Relationship Id="rId3" Type="http://schemas.openxmlformats.org/officeDocument/2006/relationships/header" Target="header1.xml"/><Relationship Id="rId29" Type="http://schemas.openxmlformats.org/officeDocument/2006/relationships/oleObject" Target="embeddings/oleObject10.bin"/><Relationship Id="rId28" Type="http://schemas.openxmlformats.org/officeDocument/2006/relationships/image" Target="media/image10.wmf"/><Relationship Id="rId27" Type="http://schemas.openxmlformats.org/officeDocument/2006/relationships/oleObject" Target="embeddings/oleObject9.bin"/><Relationship Id="rId26" Type="http://schemas.openxmlformats.org/officeDocument/2006/relationships/image" Target="media/image9.wmf"/><Relationship Id="rId25" Type="http://schemas.openxmlformats.org/officeDocument/2006/relationships/oleObject" Target="embeddings/oleObject8.bin"/><Relationship Id="rId24" Type="http://schemas.openxmlformats.org/officeDocument/2006/relationships/image" Target="media/image8.wmf"/><Relationship Id="rId23" Type="http://schemas.openxmlformats.org/officeDocument/2006/relationships/oleObject" Target="embeddings/oleObject7.bin"/><Relationship Id="rId22" Type="http://schemas.openxmlformats.org/officeDocument/2006/relationships/image" Target="media/image7.wmf"/><Relationship Id="rId21" Type="http://schemas.openxmlformats.org/officeDocument/2006/relationships/oleObject" Target="embeddings/oleObject6.bin"/><Relationship Id="rId20" Type="http://schemas.openxmlformats.org/officeDocument/2006/relationships/image" Target="media/image6.w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5.wmf"/><Relationship Id="rId17" Type="http://schemas.openxmlformats.org/officeDocument/2006/relationships/oleObject" Target="embeddings/oleObject4.bin"/><Relationship Id="rId16" Type="http://schemas.openxmlformats.org/officeDocument/2006/relationships/image" Target="media/image4.wmf"/><Relationship Id="rId15" Type="http://schemas.openxmlformats.org/officeDocument/2006/relationships/oleObject" Target="embeddings/oleObject3.bin"/><Relationship Id="rId14" Type="http://schemas.openxmlformats.org/officeDocument/2006/relationships/image" Target="media/image3.wmf"/><Relationship Id="rId13" Type="http://schemas.openxmlformats.org/officeDocument/2006/relationships/oleObject" Target="embeddings/oleObject2.bin"/><Relationship Id="rId12" Type="http://schemas.openxmlformats.org/officeDocument/2006/relationships/image" Target="media/image2.wmf"/><Relationship Id="rId11" Type="http://schemas.openxmlformats.org/officeDocument/2006/relationships/oleObject" Target="embeddings/oleObject1.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5"/>
    <customShpInfo spid="_x0000_s1398"/>
    <customShpInfo spid="_x0000_s1399"/>
    <customShpInfo spid="_x0000_s1400"/>
    <customShpInfo spid="_x0000_s1401"/>
    <customShpInfo spid="_x0000_s1402"/>
    <customShpInfo spid="_x0000_s1559"/>
    <customShpInfo spid="_x0000_s1560"/>
    <customShpInfo spid="_x0000_s1561"/>
    <customShpInfo spid="_x0000_s1562"/>
    <customShpInfo spid="_x0000_s1563"/>
    <customShpInfo spid="_x0000_s1564"/>
    <customShpInfo spid="_x0000_s1565"/>
    <customShpInfo spid="_x0000_s1566"/>
    <customShpInfo spid="_x0000_s1588"/>
    <customShpInfo spid="_x0000_s1589"/>
    <customShpInfo spid="_x0000_s1590"/>
    <customShpInfo spid="_x0000_s1591"/>
    <customShpInfo spid="_x0000_s1592"/>
    <customShpInfo spid="_x0000_s1593"/>
    <customShpInfo spid="_x0000_s1594"/>
    <customShpInfo spid="_x0000_s1595"/>
    <customShpInfo spid="_x0000_s1616"/>
    <customShpInfo spid="_x0000_s1673"/>
    <customShpInfo spid="_x0000_s1693"/>
    <customShpInfo spid="_x0000_s1692"/>
    <customShpInfo spid="_x0000_s1685"/>
    <customShpInfo spid="_x0000_s1691"/>
    <customShpInfo spid="_x0000_s1688"/>
    <customShpInfo spid="_x0000_s1686"/>
    <customShpInfo spid="_x0000_s1675"/>
    <customShpInfo spid="_x0000_s1712"/>
    <customShpInfo spid="_x0000_s1711"/>
    <customShpInfo spid="_x0000_s1710"/>
    <customShpInfo spid="_x0000_s1709"/>
    <customShpInfo spid="_x0000_s1705"/>
    <customShpInfo spid="_x0000_s1677"/>
    <customShpInfo spid="_x0000_s1708"/>
    <customShpInfo spid="_x0000_s1706"/>
    <customShpInfo spid="_x0000_s1690"/>
    <customShpInfo spid="_x0000_s1698"/>
    <customShpInfo spid="_x0000_s1697"/>
    <customShpInfo spid="_x0000_s1689"/>
    <customShpInfo spid="_x0000_s1687"/>
    <customShpInfo spid="_x0000_s1684"/>
    <customShpInfo spid="_x0000_s1680"/>
    <customShpInfo spid="_x0000_s1679"/>
    <customShpInfo spid="_x0000_s1713"/>
    <customShpInfo spid="_x0000_s1702"/>
    <customShpInfo spid="_x0000_s1699"/>
    <customShpInfo spid="_x0000_s1696"/>
    <customShpInfo spid="_x0000_s1682"/>
    <customShpInfo spid="_x0000_s1676"/>
    <customShpInfo spid="_x0000_s1707"/>
    <customShpInfo spid="_x0000_s1703"/>
    <customShpInfo spid="_x0000_s1701"/>
    <customShpInfo spid="_x0000_s1700"/>
    <customShpInfo spid="_x0000_s1681"/>
    <customShpInfo spid="_x0000_s1704"/>
    <customShpInfo spid="_x0000_s1695"/>
    <customShpInfo spid="_x0000_s1694"/>
    <customShpInfo spid="_x0000_s1683"/>
    <customShpInfo spid="_x0000_s1716"/>
    <customShpInfo spid="_x0000_s1678"/>
    <customShpInfo spid="_x0000_s1718"/>
    <customShpInfo spid="_x0000_s1717"/>
    <customShpInfo spid="_x0000_s1715"/>
    <customShpInfo spid="_x0000_s1714"/>
    <customShpInfo spid="_x0000_s1720"/>
    <customShpInfo spid="_x0000_s1721"/>
    <customShpInfo spid="_x0000_s1730"/>
    <customShpInfo spid="_x0000_s1719"/>
    <customShpInfo spid="_x0000_s1427"/>
    <customShpInfo spid="_x0000_s1428"/>
    <customShpInfo spid="_x0000_s1429"/>
    <customShpInfo spid="_x0000_s1430"/>
    <customShpInfo spid="_x0000_s1431"/>
    <customShpInfo spid="_x0000_s1432"/>
    <customShpInfo spid="_x0000_s1433"/>
    <customShpInfo spid="_x0000_s1434"/>
    <customShpInfo spid="_x0000_s1435"/>
    <customShpInfo spid="_x0000_s1436"/>
    <customShpInfo spid="_x0000_s1437"/>
    <customShpInfo spid="_x0000_s1438"/>
    <customShpInfo spid="_x0000_s1439"/>
    <customShpInfo spid="_x0000_s1440"/>
    <customShpInfo spid="_x0000_s1441"/>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1"/>
    <customShpInfo spid="_x0000_s1452"/>
    <customShpInfo spid="_x0000_s1587"/>
    <customShpInfo spid="_x0000_s1538"/>
    <customShpInfo spid="_x0000_s1537"/>
    <customShpInfo spid="_x0000_s1536"/>
    <customShpInfo spid="_x0000_s1324"/>
    <customShpInfo spid="_x0000_s1327"/>
    <customShpInfo spid="_x0000_s1325"/>
    <customShpInfo spid="_x0000_s1328"/>
    <customShpInfo spid="_x0000_s1326"/>
    <customShpInfo spid="_x0000_s1330"/>
    <customShpInfo spid="_x0000_s1329"/>
    <customShpInfo spid="_x0000_s1333"/>
    <customShpInfo spid="_x0000_s1332"/>
    <customShpInfo spid="_x0000_s1331"/>
    <customShpInfo spid="_x0000_s1527"/>
    <customShpInfo spid="_x0000_s1529"/>
    <customShpInfo spid="_x0000_s1528"/>
    <customShpInfo spid="_x0000_s1784"/>
    <customShpInfo spid="_x0000_s1783"/>
    <customShpInfo spid="_x0000_s1782"/>
    <customShpInfo spid="_x0000_s1229"/>
    <customShpInfo spid="_x0000_s1227"/>
    <customShpInfo spid="_x0000_s1228"/>
    <customShpInfo spid="_x0000_s1731"/>
    <customShpInfo spid="_x0000_s1752"/>
    <customShpInfo spid="_x0000_s1489"/>
    <customShpInfo spid="_x0000_s1499"/>
    <customShpInfo spid="_x0000_s1483"/>
    <customShpInfo spid="_x0000_s1477"/>
    <customShpInfo spid="_x0000_s1503"/>
    <customShpInfo spid="_x0000_s1502"/>
    <customShpInfo spid="_x0000_s1486"/>
    <customShpInfo spid="_x0000_s1485"/>
    <customShpInfo spid="_x0000_s1496"/>
    <customShpInfo spid="_x0000_s1478"/>
    <customShpInfo spid="_x0000_s1500"/>
    <customShpInfo spid="_x0000_s1498"/>
    <customShpInfo spid="_x0000_s1488"/>
    <customShpInfo spid="_x0000_s1501"/>
    <customShpInfo spid="_x0000_s1494"/>
    <customShpInfo spid="_x0000_s1497"/>
    <customShpInfo spid="_x0000_s1493"/>
    <customShpInfo spid="_x0000_s1479"/>
    <customShpInfo spid="_x0000_s1495"/>
    <customShpInfo spid="_x0000_s1492"/>
    <customShpInfo spid="_x0000_s1480"/>
    <customShpInfo spid="_x0000_s1504"/>
    <customShpInfo spid="_x0000_s1487"/>
    <customShpInfo spid="_x0000_s1505"/>
    <customShpInfo spid="_x0000_s1482"/>
    <customShpInfo spid="_x0000_s1484"/>
    <customShpInfo spid="_x0000_s1481"/>
    <customShpInfo spid="_x0000_s1490"/>
    <customShpInfo spid="_x0000_s1491"/>
    <customShpInfo spid="_x0000_s150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D8FB25-7BB2-4F9F-B600-68645BC86DC0}">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123</Pages>
  <Words>13657</Words>
  <Characters>77847</Characters>
  <Lines>648</Lines>
  <Paragraphs>182</Paragraphs>
  <TotalTime>332</TotalTime>
  <ScaleCrop>false</ScaleCrop>
  <LinksUpToDate>false</LinksUpToDate>
  <CharactersWithSpaces>91322</CharactersWithSpaces>
  <Application>WPS Office_11.1.0.9005_F1E327BC-269C-435d-A152-05C5408002CA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2019-07-12T09:35:00Z</dcterms:created>
  <dc:creator>Administrator</dc:creator>
  <cp:lastModifiedBy>Administrator</cp:lastModifiedBy>
  <cp:lastPrinted>2019-07-12T08:36:00Z</cp:lastPrinted>
  <dcterms:modified xsi:type="dcterms:W3CDTF">2019-09-04T03:59:06Z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2052-11.1.0.9005</vt:lpwstr>
  </property>
</Properties>
</file>